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March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Semantic Governance (HiL-SG).</w:t>
      </w:r>
    </w:p>
    <w:p>
      <w:pPr>
        <w:pStyle w:val="Abstract"/>
      </w:pPr>
      <w:r>
        <w:t xml:space="preserve">HiL-SG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Analytics Resilience Index (ARI) proposes a measurement instrument that extends static maturity assessments with a complementary resilience dimension, quantifying an organization’s ability to sustain analytical capability despite staff churn.</w:t>
      </w:r>
    </w:p>
    <w:p>
      <w:pPr>
        <w:pStyle w:val="Abstract"/>
      </w:pPr>
      <w:r>
        <w:t xml:space="preserve">A critical objection, the</w:t>
      </w:r>
      <w:r>
        <w:t xml:space="preserve"> </w:t>
      </w:r>
      <w:r>
        <w:t xml:space="preserve">“Validator Paradox”</w:t>
      </w:r>
      <w:r>
        <w:t xml:space="preserve"> </w:t>
      </w:r>
      <w:r>
        <w:t xml:space="preserve">(who validates the AI when experts leave?), is resolved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rPr>
          <w:rStyle w:val="SectionNumber"/>
        </w:rPr>
        <w:t xml:space="preserve">1</w:t>
      </w:r>
      <w:r>
        <w:tab/>
      </w: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b/>
          <w:bCs/>
        </w:rPr>
        <w:t xml:space="preserve">Low Analytics Maturity</w:t>
      </w:r>
      <w:r>
        <w:t xml:space="preserve">, where despite decades of investment, only 39 organizations globally, 26 at HIMSS AMAM Stage 6 and 13 at Stage 7, have achieved these maturity levels</w:t>
      </w:r>
      <w:r>
        <w:t xml:space="preserve"> </w:t>
      </w:r>
      <w:r>
        <w:t xml:space="preserve">(</w:t>
      </w:r>
      <w:hyperlink w:anchor="ref-himss2024">
        <w:r>
          <w:rPr>
            <w:rStyle w:val="Hyperlink"/>
          </w:rPr>
          <w:t xml:space="preserve">1</w:t>
        </w:r>
      </w:hyperlink>
      <w:r>
        <w:t xml:space="preserve">)</w:t>
      </w:r>
      <w:r>
        <w:t xml:space="preserve">; (2) a</w:t>
      </w:r>
      <w:r>
        <w:t xml:space="preserve"> </w:t>
      </w:r>
      <w:r>
        <w:rPr>
          <w:b/>
          <w:b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b/>
          <w:b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b/>
          <w:b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b/>
          <w:bCs/>
        </w:rPr>
        <w:t xml:space="preserve">Human-in-the-Loop Semantic Governance (HiL-SG)</w:t>
      </w:r>
      <w:r>
        <w:t xml:space="preserve">.</w:t>
      </w:r>
    </w:p>
    <w:bookmarkEnd w:id="9"/>
    <w:bookmarkStart w:id="12" w:name="Xd1e5d85c386cb0a54481a328e393ff51b6e18a9"/>
    <w:p>
      <w:pPr>
        <w:pStyle w:val="Heading1"/>
      </w:pPr>
      <w:r>
        <w:rPr>
          <w:rStyle w:val="SectionNumber"/>
        </w:rPr>
        <w:t xml:space="preserve">2</w:t>
      </w:r>
      <w:r>
        <w:tab/>
      </w: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b/>
          <w:b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b/>
          <w:b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b/>
          <w:b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b/>
          <w:b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-&gt;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-&gt;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-&gt;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10" w:name="the-broken-cycle-socialization-failure"/>
    <w:p>
      <w:pPr>
        <w:pStyle w:val="Heading2"/>
      </w:pPr>
      <w:r>
        <w:rPr>
          <w:rStyle w:val="SectionNumber"/>
        </w:rPr>
        <w:t xml:space="preserve">2.1</w:t>
      </w:r>
      <w:r>
        <w:tab/>
      </w:r>
      <w:r>
        <w:t xml:space="preserve">The Broken Cycle: Socialization Failure</w:t>
      </w:r>
    </w:p>
    <w:p>
      <w:pPr>
        <w:pStyle w:val="FirstParagraph"/>
      </w:pPr>
      <w:r>
        <w:t xml:space="preserve">In Nonaka’s model,</w:t>
      </w:r>
      <w:r>
        <w:t xml:space="preserve"> </w:t>
      </w:r>
      <w:r>
        <w:rPr>
          <w:b/>
          <w:b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available workforce data reveals an</w:t>
      </w:r>
      <w:r>
        <w:t xml:space="preserve"> </w:t>
      </w:r>
      <w:r>
        <w:t xml:space="preserve">“apprenticeship window”</w:t>
      </w:r>
      <w:r>
        <w:t xml:space="preserve"> </w:t>
      </w:r>
      <w:r>
        <w:t xml:space="preserve">that is shorter than the knowledge transfer cycle it must support. With 53% of healthcare CIOs holding their roles for less than three years</w:t>
      </w:r>
      <w:r>
        <w:t xml:space="preserve"> </w:t>
      </w:r>
      <w:r>
        <w:t xml:space="preserve">(</w:t>
      </w:r>
      <w:hyperlink w:anchor="ref-wittkieffer2024">
        <w:r>
          <w:rPr>
            <w:rStyle w:val="Hyperlink"/>
          </w:rPr>
          <w:t xml:space="preserve">5</w:t>
        </w:r>
      </w:hyperlink>
      <w:r>
        <w:t xml:space="preserve">)</w:t>
      </w:r>
      <w:r>
        <w:t xml:space="preserve">, strategic knowledge at the leadership level turns over before it can be transmitted. At the operational level,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 and 30% of new employees depart within their first year</w:t>
      </w:r>
      <w:r>
        <w:t xml:space="preserve"> </w:t>
      </w:r>
      <w:r>
        <w:t xml:space="preserve">(</w:t>
      </w:r>
      <w:hyperlink w:anchor="ref-nsi2025">
        <w:r>
          <w:rPr>
            <w:rStyle w:val="Hyperlink"/>
          </w:rPr>
          <w:t xml:space="preserve">19</w:t>
        </w:r>
      </w:hyperlink>
      <w:r>
        <w:t xml:space="preserve">)</w:t>
      </w:r>
      <w:r>
        <w:t xml:space="preserve">. Meanwhile,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10"/>
    <w:bookmarkStart w:id="11" w:name="Xf458f350ef8764fcb7ec571ecbc945d28921a42"/>
    <w:p>
      <w:pPr>
        <w:pStyle w:val="Heading2"/>
      </w:pPr>
      <w:r>
        <w:rPr>
          <w:rStyle w:val="SectionNumber"/>
        </w:rPr>
        <w:t xml:space="preserve">2.2</w:t>
      </w:r>
      <w:r>
        <w:tab/>
      </w:r>
      <w:r>
        <w:t xml:space="preserve">The Solution: Externalization via Socio-Technical Artifacts</w:t>
      </w:r>
    </w:p>
    <w:p>
      <w:pPr>
        <w:pStyle w:val="FirstParagraph"/>
      </w:pPr>
      <w:r>
        <w:t xml:space="preserve">To survive, organizations must shift reliance from Socialization to</w:t>
      </w:r>
      <w:r>
        <w:t xml:space="preserve"> </w:t>
      </w:r>
      <w:r>
        <w:rPr>
          <w:b/>
          <w:b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b/>
          <w:bCs/>
        </w:rPr>
        <w:t xml:space="preserve">Validated Query Triple</w:t>
      </w:r>
      <w:r>
        <w:t xml:space="preserve">.</w:t>
      </w:r>
      <w:r>
        <w:t xml:space="preserve"> </w:t>
      </w:r>
      <w:r>
        <w:t xml:space="preserve">This artifact consists of:</w:t>
      </w:r>
      <w:r>
        <w:t xml:space="preserve"> </w:t>
      </w:r>
      <w:r>
        <w:t xml:space="preserve">1.</w:t>
      </w:r>
      <w:r>
        <w:t xml:space="preserve"> </w:t>
      </w:r>
      <w:r>
        <w:rPr>
          <w:b/>
          <w:b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b/>
          <w:bCs/>
        </w:rPr>
        <w:t xml:space="preserve">Executable SQL</w:t>
      </w:r>
      <w:r>
        <w:t xml:space="preserve">: The technical implementation.</w:t>
      </w:r>
      <w:r>
        <w:t xml:space="preserve"> </w:t>
      </w:r>
      <w:r>
        <w:t xml:space="preserve">3.</w:t>
      </w:r>
      <w:r>
        <w:t xml:space="preserve"> </w:t>
      </w:r>
      <w:r>
        <w:rPr>
          <w:b/>
          <w:b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11"/>
    <w:bookmarkEnd w:id="12"/>
    <w:bookmarkStart w:id="22" w:name="human-in-the-loop-semantic-governance"/>
    <w:p>
      <w:pPr>
        <w:pStyle w:val="Heading1"/>
      </w:pPr>
      <w:r>
        <w:rPr>
          <w:rStyle w:val="SectionNumber"/>
        </w:rPr>
        <w:t xml:space="preserve">3</w:t>
      </w:r>
      <w:r>
        <w:tab/>
      </w:r>
      <w:r>
        <w:t xml:space="preserve">Human-in-the-Loop Semantic Governance</w:t>
      </w:r>
    </w:p>
    <w:p>
      <w:pPr>
        <w:pStyle w:val="FirstParagraph"/>
      </w:pPr>
      <w:r>
        <w:t xml:space="preserve">We rename the traditional</w:t>
      </w:r>
      <w:r>
        <w:t xml:space="preserve"> </w:t>
      </w:r>
      <w:r>
        <w:t xml:space="preserve">“Validated Query Cycle”</w:t>
      </w:r>
      <w:r>
        <w:t xml:space="preserve"> </w:t>
      </w:r>
      <w:r>
        <w:t xml:space="preserve">to</w:t>
      </w:r>
      <w:r>
        <w:t xml:space="preserve"> </w:t>
      </w:r>
      <w:r>
        <w:rPr>
          <w:b/>
          <w:bCs/>
        </w:rPr>
        <w:t xml:space="preserve">Human-in-the-Loop Semantic Governance (HiL-SG)</w:t>
      </w:r>
      <w:r>
        <w:t xml:space="preserve"> </w:t>
      </w:r>
      <w:r>
        <w:t xml:space="preserve">to reflect its role as a governance mechanism rather than just a productivity tool.</w:t>
      </w:r>
    </w:p>
    <w:bookmarkStart w:id="19" w:name="the-hil-sg-architecture"/>
    <w:p>
      <w:pPr>
        <w:pStyle w:val="Heading2"/>
      </w:pPr>
      <w:r>
        <w:rPr>
          <w:rStyle w:val="SectionNumber"/>
        </w:rPr>
        <w:t xml:space="preserve">3.1</w:t>
      </w:r>
      <w:r>
        <w:tab/>
      </w:r>
      <w:r>
        <w:t xml:space="preserve">The HiL-SG Architecture</w:t>
      </w:r>
    </w:p>
    <w:p>
      <w:pPr>
        <w:pStyle w:val="FirstParagraph"/>
      </w:pPr>
      <w:r>
        <w:t xml:space="preserve">The HiL-SG architecture (Figure 1) functions as a</w:t>
      </w:r>
      <w:r>
        <w:t xml:space="preserve"> </w:t>
      </w:r>
      <w:r>
        <w:rPr>
          <w:b/>
          <w:b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5067300" cy="5062370"/>
            <wp:effectExtent b="0" l="0" r="0" t="0"/>
            <wp:docPr descr="Flowchart of the Healthcare Analytics Architecture as a Socio-Technical System.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5067300" cy="5062370"/>
                    </a:xfrm>
                    <a:prstGeom prst="rect">
                      <a:avLst/>
                    </a:prstGeom>
                    <a:noFill/>
                    <a:ln w="9525">
                      <a:noFill/>
                      <a:headEnd/>
                      <a:tailEnd/>
                    </a:ln>
                  </pic:spPr>
                </pic:pic>
              </a:graphicData>
            </a:graphic>
          </wp:inline>
        </w:drawing>
      </w:r>
    </w:p>
    <w:p>
      <w:pPr>
        <w:pStyle w:val="ImageCaption"/>
      </w:pPr>
      <w:r>
        <w:t xml:space="preserve">Flowchart of the Healthcare Analytics Architecture as a Socio-Technical System.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informs future queries alongside a Knowledge Base of ontologies and best practices.</w:t>
      </w:r>
    </w:p>
    <w:p>
      <w:pPr>
        <w:pStyle w:val="BodyText"/>
      </w:pPr>
      <w:r>
        <w:t xml:space="preserve">The corresponding six step Validated Query Cycle is summarized in Figure 2, which shows how queries move from initial clinical intent through expert validation into durable organizational memory.</w:t>
      </w:r>
    </w:p>
    <w:p>
      <w:pPr>
        <w:pStyle w:val="CaptionedFigure"/>
      </w:pPr>
      <w:r>
        <w:drawing>
          <wp:inline>
            <wp:extent cx="4267200" cy="9456573"/>
            <wp:effectExtent b="0" l="0" r="0" t="0"/>
            <wp:docPr descr="Flowchart of the six-step Validated Query Cycle for Human-in-the-Loop Semantic Governance. Step 1 (Query): domain expert asks a natural language question. Step 2 (Generation): system generates candidate SQL. Step 3 (Validation): AI explains SQL logic and results; expert confirms intent. If incorrect, the cycle loops back to Generation. If correct, Step 4 (Storage): validated triple is stored in organizational memory. Step 5 (Retrieval): future queries match against validated triples. Step 6 (Persistence): knowledge survives staff turnover, and new exper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4267200" cy="9456573"/>
                    </a:xfrm>
                    <a:prstGeom prst="rect">
                      <a:avLst/>
                    </a:prstGeom>
                    <a:noFill/>
                    <a:ln w="9525">
                      <a:noFill/>
                      <a:headEnd/>
                      <a:tailEnd/>
                    </a:ln>
                  </pic:spPr>
                </pic:pic>
              </a:graphicData>
            </a:graphic>
          </wp:inline>
        </w:drawing>
      </w:r>
    </w:p>
    <w:p>
      <w:pPr>
        <w:pStyle w:val="ImageCaption"/>
      </w:pPr>
      <w:r>
        <w:t xml:space="preserve">Flowchart of the six-step Validated Query Cycle for Human-in-the-Loop Semantic Governance. Step 1 (Query): domain expert asks a natural language question. Step 2 (Generation): system generates candidate SQL. Step 3 (Validation): AI explains SQL logic and results; expert confirms intent. If incorrect, the cycle loops back to Generation. If correct, Step 4 (Storage): validated triple is stored in organizational memory. Step 5 (Retrieval): future queries match against validated triples. Step 6 (Persistence): knowledge survives staff turnover, and new experts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rPr>
          <w:rStyle w:val="SectionNumber"/>
        </w:rPr>
        <w:t xml:space="preserve">3.2</w:t>
      </w:r>
      <w:r>
        <w:tab/>
      </w:r>
      <w:r>
        <w:t xml:space="preserve">The Process of Externalization</w:t>
      </w:r>
    </w:p>
    <w:p>
      <w:pPr>
        <w:pStyle w:val="Compact"/>
        <w:numPr>
          <w:ilvl w:val="0"/>
          <w:numId w:val="1002"/>
        </w:numPr>
      </w:pPr>
      <w:r>
        <w:rPr>
          <w:b/>
          <w:bCs/>
        </w:rPr>
        <w:t xml:space="preserve">Query Generation</w:t>
      </w:r>
      <w:r>
        <w:t xml:space="preserve">: A user asks a question. The AI proposes SQL based on schema knowledge</w:t>
      </w:r>
      <w:r>
        <w:t xml:space="preserve"> </w:t>
      </w:r>
      <w:r>
        <w:t xml:space="preserve">(</w:t>
      </w:r>
      <w:hyperlink w:anchor="ref-wang2020">
        <w:r>
          <w:rPr>
            <w:rStyle w:val="Hyperlink"/>
          </w:rPr>
          <w:t xml:space="preserve">10</w:t>
        </w:r>
      </w:hyperlink>
      <w:r>
        <w:t xml:space="preserve">,</w:t>
      </w:r>
      <w:hyperlink w:anchor="ref-lee2023">
        <w:r>
          <w:rPr>
            <w:rStyle w:val="Hyperlink"/>
          </w:rPr>
          <w:t xml:space="preserve">27</w:t>
        </w:r>
      </w:hyperlink>
      <w:r>
        <w:t xml:space="preserve">)</w:t>
      </w:r>
      <w:r>
        <w:t xml:space="preserve">.</w:t>
      </w:r>
    </w:p>
    <w:p>
      <w:pPr>
        <w:pStyle w:val="Compact"/>
        <w:numPr>
          <w:ilvl w:val="0"/>
          <w:numId w:val="1002"/>
        </w:numPr>
      </w:pPr>
      <w:r>
        <w:rPr>
          <w:b/>
          <w:bCs/>
        </w:rPr>
        <w:t xml:space="preserve">Semantic Translation</w:t>
      </w:r>
      <w:r>
        <w:t xml:space="preserve">: The AI translates the SQL back into a natural language explanation</w:t>
      </w:r>
      <w:r>
        <w:t xml:space="preserve"> </w:t>
      </w:r>
      <w:r>
        <w:t xml:space="preserve">(</w:t>
      </w:r>
      <w:hyperlink w:anchor="ref-ziletti2024">
        <w:r>
          <w:rPr>
            <w:rStyle w:val="Hyperlink"/>
          </w:rPr>
          <w:t xml:space="preserve">28</w:t>
        </w:r>
      </w:hyperlink>
      <w:r>
        <w:t xml:space="preserve">)</w:t>
      </w:r>
      <w:r>
        <w:t xml:space="preserve">.</w:t>
      </w:r>
    </w:p>
    <w:p>
      <w:pPr>
        <w:pStyle w:val="Compact"/>
        <w:numPr>
          <w:ilvl w:val="0"/>
          <w:numId w:val="1002"/>
        </w:numPr>
      </w:pPr>
      <w:r>
        <w:rPr>
          <w:b/>
          <w:bCs/>
        </w:rPr>
        <w:t xml:space="preserve">Expert Validation</w:t>
      </w:r>
      <w:r>
        <w:t xml:space="preserve">: The domain expert confirms or corrects this interpretation.</w:t>
      </w:r>
      <w:r>
        <w:t xml:space="preserve"> </w:t>
      </w:r>
      <w:r>
        <w:rPr>
          <w:i/>
          <w:iCs/>
        </w:rPr>
        <w:t xml:space="preserve">This is the critical moment of Externalization.</w:t>
      </w:r>
      <w:r>
        <w:t xml:space="preserve"> </w:t>
      </w:r>
      <w:r>
        <w:t xml:space="preserve">This</w:t>
      </w:r>
      <w:r>
        <w:t xml:space="preserve"> </w:t>
      </w:r>
      <w:r>
        <w:t xml:space="preserve">“Human-on-the-Loop”</w:t>
      </w:r>
      <w:r>
        <w:t xml:space="preserve"> </w:t>
      </w:r>
      <w:r>
        <w:t xml:space="preserve">(HotL) step transforms validation into an iterative knowledge capture process</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w:t>
      </w:r>
    </w:p>
    <w:p>
      <w:pPr>
        <w:pStyle w:val="Compact"/>
        <w:numPr>
          <w:ilvl w:val="0"/>
          <w:numId w:val="1002"/>
        </w:numPr>
      </w:pPr>
      <w:r>
        <w:rPr>
          <w:b/>
          <w:bCs/>
        </w:rPr>
        <w:t xml:space="preserve">Artifact Storage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w:t>
      </w:r>
    </w:p>
    <w:p>
      <w:pPr>
        <w:pStyle w:val="Compact"/>
        <w:numPr>
          <w:ilvl w:val="0"/>
          <w:numId w:val="1002"/>
        </w:numPr>
      </w:pPr>
      <w:r>
        <w:rPr>
          <w:b/>
          <w:bCs/>
        </w:rPr>
        <w:t xml:space="preserve">Retrieval</w:t>
      </w:r>
      <w:r>
        <w:t xml:space="preserve">: Future queries semantically match against this repository first, retrieving</w:t>
      </w:r>
      <w:r>
        <w:t xml:space="preserve"> </w:t>
      </w:r>
      <w:r>
        <w:rPr>
          <w:i/>
          <w:iCs/>
        </w:rPr>
        <w:t xml:space="preserve">trusted</w:t>
      </w:r>
      <w:r>
        <w:t xml:space="preserve"> </w:t>
      </w:r>
      <w:r>
        <w:t xml:space="preserve">human knowledge before attempting</w:t>
      </w:r>
      <w:r>
        <w:t xml:space="preserve"> </w:t>
      </w:r>
      <w:r>
        <w:rPr>
          <w:i/>
          <w:iCs/>
        </w:rPr>
        <w:t xml:space="preserve">probabilistic</w:t>
      </w:r>
      <w:r>
        <w:t xml:space="preserve"> </w:t>
      </w:r>
      <w:r>
        <w:t xml:space="preserve">generation</w:t>
      </w:r>
      <w:r>
        <w:t xml:space="preserve"> </w:t>
      </w:r>
      <w:r>
        <w:t xml:space="preserve">(</w:t>
      </w:r>
      <w:hyperlink w:anchor="ref-whittaker2008">
        <w:r>
          <w:rPr>
            <w:rStyle w:val="Hyperlink"/>
          </w:rPr>
          <w:t xml:space="preserve">32</w:t>
        </w:r>
      </w:hyperlink>
      <w:r>
        <w:t xml:space="preserve">)</w:t>
      </w:r>
      <w:r>
        <w:t xml:space="preserve">.</w:t>
      </w:r>
    </w:p>
    <w:bookmarkEnd w:id="20"/>
    <w:bookmarkStart w:id="21" w:name="comparison-with-existing-approaches"/>
    <w:p>
      <w:pPr>
        <w:pStyle w:val="Heading2"/>
      </w:pPr>
      <w:r>
        <w:rPr>
          <w:rStyle w:val="SectionNumber"/>
        </w:rPr>
        <w:t xml:space="preserve">3.3</w:t>
      </w:r>
      <w:r>
        <w:tab/>
      </w:r>
      <w:r>
        <w:t xml:space="preserve">Comparison with Existing Approaches</w:t>
      </w:r>
    </w:p>
    <w:p>
      <w:pPr>
        <w:pStyle w:val="FirstParagraph"/>
      </w:pPr>
      <w:r>
        <w:t xml:space="preserve">Organizations have attempted to address institutional memory loss through several strategies, each with limitations that HiL-SG is designed to overcome.</w:t>
      </w:r>
    </w:p>
    <w:p>
      <w:pPr>
        <w:pStyle w:val="BodyText"/>
      </w:pPr>
      <w:r>
        <w:rPr>
          <w:i/>
          <w:iCs/>
        </w:rPr>
        <w:t xml:space="preserve">Code-based semantic layers</w:t>
      </w:r>
      <w:r>
        <w:t xml:space="preserve"> </w:t>
      </w:r>
      <w:r>
        <w:t xml:space="preserve">(e.g., dbt, LookML) encode business logic in version-controlled repositories. However,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HiL-SG’s validated query triples share the version-control principle but add the rationale metadata that semantic layers lack: not just</w:t>
      </w:r>
      <w:r>
        <w:t xml:space="preserve"> </w:t>
      </w:r>
      <w:r>
        <w:rPr>
          <w:i/>
          <w:iCs/>
        </w:rPr>
        <w:t xml:space="preserve">what</w:t>
      </w:r>
      <w:r>
        <w:t xml:space="preserve"> </w:t>
      </w:r>
      <w:r>
        <w:t xml:space="preserve">the query does, but</w:t>
      </w:r>
      <w:r>
        <w:t xml:space="preserve"> </w:t>
      </w:r>
      <w:r>
        <w:rPr>
          <w:i/>
          <w:iCs/>
        </w:rPr>
        <w:t xml:space="preserve">why</w:t>
      </w:r>
      <w:r>
        <w:t xml:space="preserve"> </w:t>
      </w:r>
      <w:r>
        <w:t xml:space="preserve">it was constructed that way.</w:t>
      </w:r>
    </w:p>
    <w:p>
      <w:pPr>
        <w:pStyle w:val="BodyText"/>
      </w:pPr>
      <w:r>
        <w:rPr>
          <w:i/>
          <w:iCs/>
        </w:rPr>
        <w:t xml:space="preserve">Traditional knowledge management</w:t>
      </w:r>
      <w:r>
        <w:t xml:space="preserve"> </w:t>
      </w:r>
      <w:r>
        <w:t xml:space="preserve">(wikis, data dictionaries, runbooks) relies on passive capture where users must stop working to document. Evidence suggests this negatively impacts participation and produces inaccurate records due to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HiL-SG instead implements active capture: the query itself is the documentation, and validation happens at the point of use rather than as a separate maintenance task</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represents the opposite extreme: removing human oversight entirely. Current NL2SQL accuracy levels make this unsafe for clinical analytics</w:t>
      </w:r>
      <w:r>
        <w:t xml:space="preserve"> </w:t>
      </w:r>
      <w:r>
        <w:t xml:space="preserve">(</w:t>
      </w:r>
      <w:hyperlink w:anchor="ref-ziletti2024">
        <w:r>
          <w:rPr>
            <w:rStyle w:val="Hyperlink"/>
          </w:rPr>
          <w:t xml:space="preserve">28</w:t>
        </w:r>
      </w:hyperlink>
      <w:r>
        <w:t xml:space="preserve">)</w:t>
      </w:r>
      <w:r>
        <w:t xml:space="preserve">. HiL-SG occupies the middle ground, using AI as the generation engine while preserving human judgment as the validation gate.</w:t>
      </w:r>
    </w:p>
    <w:bookmarkEnd w:id="21"/>
    <w:bookmarkEnd w:id="22"/>
    <w:bookmarkStart w:id="26" w:name="the-evidence-base-three-pillars"/>
    <w:p>
      <w:pPr>
        <w:pStyle w:val="Heading1"/>
      </w:pPr>
      <w:r>
        <w:rPr>
          <w:rStyle w:val="SectionNumber"/>
        </w:rPr>
        <w:t xml:space="preserve">4</w:t>
      </w:r>
      <w:r>
        <w:tab/>
      </w:r>
      <w:r>
        <w:t xml:space="preserve">The Evidence Base: Three Pillars</w:t>
      </w:r>
    </w:p>
    <w:p>
      <w:pPr>
        <w:pStyle w:val="FirstParagraph"/>
      </w:pPr>
      <w:r>
        <w:t xml:space="preserve">The evidence presented below supports the existence and severity of the problem HiL-SG addresses, and the maturity of the technologies it requires. It does not constitute empirical validation of the framework itself, which remains a theoretically grounded, testable proposition whose empirical evaluation is the subject of Paper 2.</w:t>
      </w:r>
    </w:p>
    <w:p>
      <w:pPr>
        <w:pStyle w:val="BodyText"/>
      </w:pPr>
      <w:r>
        <w:t xml:space="preserve">The HiL-SG framework is supported by three pillars of empirical evidence synthesized from over 130 sources.</w:t>
      </w:r>
    </w:p>
    <w:bookmarkStart w:id="23" w:name="pillar-1-analytics-maturity-evidence"/>
    <w:p>
      <w:pPr>
        <w:pStyle w:val="Heading2"/>
      </w:pPr>
      <w:r>
        <w:rPr>
          <w:rStyle w:val="SectionNumber"/>
        </w:rPr>
        <w:t xml:space="preserve">4.1</w:t>
      </w:r>
      <w:r>
        <w:tab/>
      </w:r>
      <w:r>
        <w:t xml:space="preserve">Pillar 1: Analytics Maturity Evidence</w:t>
      </w:r>
    </w:p>
    <w:p>
      <w:pPr>
        <w:pStyle w:val="FirstParagraph"/>
      </w:pPr>
      <w:r>
        <w:t xml:space="preserve">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35</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36</w:t>
        </w:r>
      </w:hyperlink>
      <w:r>
        <w:t xml:space="preserve">)</w:t>
      </w:r>
      <w:r>
        <w:t xml:space="preserve">. However, maturity is not merely an IT metric; it is a clinical safety predictor. EMRAM levels 6-7 correlate with 3.25 times higher odds of better Leapfrog Safety Grades</w:t>
      </w:r>
      <w:r>
        <w:t xml:space="preserve"> </w:t>
      </w:r>
      <w:r>
        <w:t xml:space="preserve">(</w:t>
      </w:r>
      <w:hyperlink w:anchor="ref-snowdon2024">
        <w:r>
          <w:rPr>
            <w:rStyle w:val="Hyperlink"/>
          </w:rPr>
          <w:t xml:space="preserve">37</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38</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ACO that implemented analytics to overcome EHR fragmentation reduced readmission rates from 24% to 17.8% and achieved $1.6 million in cost savings</w:t>
      </w:r>
      <w:r>
        <w:t xml:space="preserve"> </w:t>
      </w:r>
      <w:r>
        <w:t xml:space="preserve">(</w:t>
      </w:r>
      <w:hyperlink w:anchor="ref-latrella2024">
        <w:r>
          <w:rPr>
            <w:rStyle w:val="Hyperlink"/>
          </w:rPr>
          <w:t xml:space="preserve">39</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40</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41</w:t>
        </w:r>
      </w:hyperlink>
      <w:r>
        <w:t xml:space="preserve">,</w:t>
      </w:r>
      <w:hyperlink w:anchor="ref-kamble2019">
        <w:r>
          <w:rPr>
            <w:rStyle w:val="Hyperlink"/>
          </w:rPr>
          <w:t xml:space="preserve">42</w:t>
        </w:r>
      </w:hyperlink>
      <w:r>
        <w:t xml:space="preserve">)</w:t>
      </w:r>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rPr>
          <w:rStyle w:val="SectionNumber"/>
        </w:rPr>
        <w:t xml:space="preserve">4.2</w:t>
      </w:r>
      <w:r>
        <w:tab/>
      </w:r>
      <w:r>
        <w:t xml:space="preserve">Pillar 2: Workforce Agility Evidence</w:t>
      </w:r>
    </w:p>
    <w:p>
      <w:pPr>
        <w:pStyle w:val="FirstParagraph"/>
      </w:pPr>
      <w:r>
        <w:t xml:space="preserve">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43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44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15</w:t>
        </w:r>
      </w:hyperlink>
      <w:r>
        <w:t xml:space="preserve">)</w:t>
      </w:r>
      <w:r>
        <w:t xml:space="preserve">. That this two-decade-old benchmark remains a primary reference point is itself evidence of the crisis: the field has lacked the stability even to systematically track its own attrition over the intervening decades.</w:t>
      </w:r>
    </w:p>
    <w:bookmarkEnd w:id="24"/>
    <w:bookmarkStart w:id="25" w:name="pillar-3-technical-enablement-evidence"/>
    <w:p>
      <w:pPr>
        <w:pStyle w:val="Heading2"/>
      </w:pPr>
      <w:r>
        <w:rPr>
          <w:rStyle w:val="SectionNumber"/>
        </w:rPr>
        <w:t xml:space="preserve">4.3</w:t>
      </w:r>
      <w:r>
        <w:tab/>
      </w:r>
      <w:r>
        <w:t xml:space="preserve">Pillar 3: Technical Enablement Evidence</w:t>
      </w:r>
    </w:p>
    <w:p>
      <w:pPr>
        <w:pStyle w:val="FirstParagraph"/>
      </w:pPr>
      <w:r>
        <w:t xml:space="preserve">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45</w:t>
        </w:r>
      </w:hyperlink>
      <w:r>
        <w:t xml:space="preserve">)</w:t>
      </w:r>
      <w:r>
        <w:t xml:space="preserve">; domain-adapted systems like MedT5SQL reach 80%</w:t>
      </w:r>
      <w:r>
        <w:t xml:space="preserve"> </w:t>
      </w:r>
      <w:r>
        <w:t xml:space="preserve">(</w:t>
      </w:r>
      <w:hyperlink w:anchor="ref-marshan2024">
        <w:r>
          <w:rPr>
            <w:rStyle w:val="Hyperlink"/>
          </w:rPr>
          <w:t xml:space="preserve">46</w:t>
        </w:r>
      </w:hyperlink>
      <w:r>
        <w:t xml:space="preserve">)</w:t>
      </w:r>
      <w:r>
        <w:t xml:space="preserve">; and architecturally specialized approaches combining LLMs with structured knowledge representations achieve 94% on the same benchmarks</w:t>
      </w:r>
      <w:r>
        <w:t xml:space="preserve"> </w:t>
      </w:r>
      <w:r>
        <w:t xml:space="preserve">(</w:t>
      </w:r>
      <w:hyperlink w:anchor="ref-chen2026graph">
        <w:r>
          <w:rPr>
            <w:rStyle w:val="Hyperlink"/>
          </w:rPr>
          <w:t xml:space="preserve">47</w:t>
        </w:r>
      </w:hyperlink>
      <w:r>
        <w:t xml:space="preserve">)</w:t>
      </w:r>
      <w:r>
        <w:t xml:space="preserve">. While insufficient for unsupervised clinical deployment</w:t>
      </w:r>
      <w:r>
        <w:t xml:space="preserve"> </w:t>
      </w:r>
      <w:r>
        <w:t xml:space="preserve">(</w:t>
      </w:r>
      <w:hyperlink w:anchor="ref-ziletti2024">
        <w:r>
          <w:rPr>
            <w:rStyle w:val="Hyperlink"/>
          </w:rPr>
          <w:t xml:space="preserve">28</w:t>
        </w:r>
      </w:hyperlink>
      <w:r>
        <w:t xml:space="preserve">)</w:t>
      </w:r>
      <w:r>
        <w:t xml:space="preserve">, this gradient demonstrates that the generation engine required for HiL-SG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48</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49</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50</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HiL-SG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51</w:t>
        </w:r>
      </w:hyperlink>
      <w:r>
        <w:t xml:space="preserve">–</w:t>
      </w:r>
      <w:hyperlink w:anchor="ref-arora2025">
        <w:r>
          <w:rPr>
            <w:rStyle w:val="Hyperlink"/>
          </w:rPr>
          <w:t xml:space="preserve">54</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29" w:name="the-analytics-resilience-index"/>
    <w:p>
      <w:pPr>
        <w:pStyle w:val="Heading1"/>
      </w:pPr>
      <w:r>
        <w:rPr>
          <w:rStyle w:val="SectionNumber"/>
        </w:rPr>
        <w:t xml:space="preserve">5</w:t>
      </w:r>
      <w:r>
        <w:tab/>
      </w:r>
      <w:r>
        <w:t xml:space="preserve">The Analytics Resilience Index</w:t>
      </w:r>
    </w:p>
    <w:p>
      <w:pPr>
        <w:pStyle w:val="FirstParagraph"/>
      </w:pPr>
      <w:r>
        <w:t xml:space="preserve">To measure success, we propose the</w:t>
      </w:r>
      <w:r>
        <w:t xml:space="preserve"> </w:t>
      </w:r>
      <w:r>
        <w:rPr>
          <w:b/>
          <w:bCs/>
        </w:rPr>
        <w:t xml:space="preserve">Analytics Resilience Index (ARI)</w:t>
      </w:r>
      <w:r>
        <w:t xml:space="preserve">, extending static maturity assessments with a complementary resilience dimension.</w:t>
      </w:r>
    </w:p>
    <w:bookmarkStart w:id="27" w:name="why-resilience-not-maturity"/>
    <w:p>
      <w:pPr>
        <w:pStyle w:val="Heading2"/>
      </w:pPr>
      <w:r>
        <w:rPr>
          <w:rStyle w:val="SectionNumber"/>
        </w:rPr>
        <w:t xml:space="preserve">5.1</w:t>
      </w:r>
      <w:r>
        <w:tab/>
      </w:r>
      <w:r>
        <w:t xml:space="preserve">Why Resilience, Not Maturity</w:t>
      </w:r>
    </w:p>
    <w:p>
      <w:pPr>
        <w:pStyle w:val="FirstParagraph"/>
      </w:pPr>
      <w:r>
        <w:t xml:space="preserve">Existing maturity models such as the HIMSS Analytics Maturity Assessment Model (AMAM) assume linear progression through discrete stages and implicitly presuppose a stable workforce capable of sustaining each level once achieved</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this assumption is violated routinely. An organization that reaches AMAM Stage 5 but regresses to Stage 3 after the departure of two senior analysts has not failed to mature; it has failed to be</w:t>
      </w:r>
      <w:r>
        <w:t xml:space="preserve"> </w:t>
      </w:r>
      <w:r>
        <w:rPr>
          <w:i/>
          <w:iCs/>
        </w:rPr>
        <w:t xml:space="preserve">resilient</w:t>
      </w:r>
      <w:r>
        <w:t xml:space="preserve">. Static maturity scores capture a snapshot of peak capability but reveal nothing about the organization’s ability to sustain that capability through disruption. The ARI addresses this gap by shifting the measurement focus from</w:t>
      </w:r>
      <w:r>
        <w:t xml:space="preserve"> </w:t>
      </w:r>
      <w:r>
        <w:t xml:space="preserve">“where you are”</w:t>
      </w:r>
      <w:r>
        <w:t xml:space="preserve"> </w:t>
      </w:r>
      <w:r>
        <w:t xml:space="preserve">to</w:t>
      </w:r>
      <w:r>
        <w:t xml:space="preserve"> </w:t>
      </w:r>
      <w:r>
        <w:t xml:space="preserve">“how far you fall when someone leaves.”</w:t>
      </w:r>
    </w:p>
    <w:bookmarkEnd w:id="27"/>
    <w:bookmarkStart w:id="28" w:name="operationalizing-the-ari"/>
    <w:p>
      <w:pPr>
        <w:pStyle w:val="Heading2"/>
      </w:pPr>
      <w:r>
        <w:rPr>
          <w:rStyle w:val="SectionNumber"/>
        </w:rPr>
        <w:t xml:space="preserve">5.2</w:t>
      </w:r>
      <w:r>
        <w:tab/>
      </w:r>
      <w:r>
        <w:t xml:space="preserve">Operationalizing the ARI</w:t>
      </w:r>
    </w:p>
    <w:p>
      <w:pPr>
        <w:pStyle w:val="FirstParagraph"/>
      </w:pPr>
      <w:r>
        <w:t xml:space="preserve">Each ARI dimension (Table 1) can be scored on a Likert-type scale from 1 (fragile) to 5 (antifragile). For example, the</w:t>
      </w:r>
      <w:r>
        <w:t xml:space="preserve"> </w:t>
      </w:r>
      <w:r>
        <w:t xml:space="preserve">“Knowledge Locus”</w:t>
      </w:r>
      <w:r>
        <w:t xml:space="preserve"> </w:t>
      </w:r>
      <w:r>
        <w:t xml:space="preserve">dimension would be scored by surveying whether key analytical queries are documented in a shared, version-controlled repository (score 5) or known only to named individuals who could leave at any time (score 1). Similarly,</w:t>
      </w:r>
      <w:r>
        <w:t xml:space="preserve"> </w:t>
      </w:r>
      <w:r>
        <w:t xml:space="preserve">“Turnover Impact”</w:t>
      </w:r>
      <w:r>
        <w:t xml:space="preserve"> </w:t>
      </w:r>
      <w:r>
        <w:t xml:space="preserve">could be assessed through scenario exercises that simulate the departure of a critical team member and measure the time required to restore reporting capability. An aggregate ARI score across all dimensions provides a composite indicator of organizational resilience posture, enabling longitudinal tracking and cross-institutional benchmarking.</w:t>
      </w:r>
    </w:p>
    <w:p>
      <w:pPr>
        <w:pStyle w:val="BodyText"/>
      </w:pPr>
      <w:r>
        <w:t xml:space="preserve">The</w:t>
      </w:r>
      <w:r>
        <w:t xml:space="preserve"> </w:t>
      </w:r>
      <w:r>
        <w:t xml:space="preserve">“Schema Coupling”</w:t>
      </w:r>
      <w:r>
        <w:t xml:space="preserve"> </w:t>
      </w:r>
      <w:r>
        <w:t xml:space="preserve">dimension can be operationalized through</w:t>
      </w:r>
      <w:r>
        <w:t xml:space="preserve"> </w:t>
      </w:r>
      <w:r>
        <w:rPr>
          <w:i/>
          <w:iCs/>
        </w:rPr>
        <w:t xml:space="preserve">Continuous Analytic Integration</w:t>
      </w:r>
      <w:r>
        <w:t xml:space="preserve">: treating validated query triples not as static wiki entries but as software assets within a CI/CD pipeline</w:t>
      </w:r>
      <w:r>
        <w:t xml:space="preserve"> </w:t>
      </w:r>
      <w:r>
        <w:t xml:space="preserve">(</w:t>
      </w:r>
      <w:hyperlink w:anchor="ref-valiaiev2025">
        <w:r>
          <w:rPr>
            <w:rStyle w:val="Hyperlink"/>
          </w:rPr>
          <w:t xml:space="preserve">55</w:t>
        </w:r>
      </w:hyperlink>
      <w:r>
        <w:t xml:space="preserve">)</w:t>
      </w:r>
      <w:r>
        <w:t xml:space="preserve">. When a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r>
        <w:t xml:space="preserve"> </w:t>
      </w:r>
      <w:r>
        <w:t xml:space="preserve">(</w:t>
      </w:r>
      <w:hyperlink w:anchor="ref-betha2023">
        <w:r>
          <w:rPr>
            <w:rStyle w:val="Hyperlink"/>
          </w:rPr>
          <w:t xml:space="preserve">56</w:t>
        </w:r>
      </w:hyperlink>
      <w:r>
        <w:t xml:space="preserve">)</w:t>
      </w:r>
      <w:r>
        <w:t xml:space="preserve">. Existing NL2SQL systems are known to lack resilience to vocabulary drift and OMOP CDM schema changes</w:t>
      </w:r>
      <w:r>
        <w:t xml:space="preserve"> </w:t>
      </w:r>
      <w:r>
        <w:t xml:space="preserve">(</w:t>
      </w:r>
      <w:hyperlink w:anchor="ref-kottam2025">
        <w:r>
          <w:rPr>
            <w:rStyle w:val="Hyperlink"/>
          </w:rPr>
          <w:t xml:space="preserve">57</w:t>
        </w:r>
      </w:hyperlink>
      <w:r>
        <w:t xml:space="preserve">)</w:t>
      </w:r>
      <w:r>
        <w:t xml:space="preserve">, making such automated regression essential.</w:t>
      </w:r>
    </w:p>
    <w:p>
      <w:pPr>
        <w:pStyle w:val="BodyText"/>
      </w:pPr>
      <w:r>
        <w:t xml:space="preserve">A recent systematic review identified 23 distinct organizational resilience instruments applied in health facilities, yet found no consensus on what to measure or which indicators to use</w:t>
      </w:r>
      <w:r>
        <w:t xml:space="preserve"> </w:t>
      </w:r>
      <w:r>
        <w:t xml:space="preserve">(</w:t>
      </w:r>
      <w:hyperlink w:anchor="ref-ignatowicz2023">
        <w:r>
          <w:rPr>
            <w:rStyle w:val="Hyperlink"/>
          </w:rPr>
          <w:t xml:space="preserve">58</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59</w:t>
        </w:r>
      </w:hyperlink>
      <w:r>
        <w:t xml:space="preserve">)</w:t>
      </w:r>
      <w:r>
        <w:t xml:space="preserve">. The newest, the Resilience in Healthcare Capacities Assessment (RHCA), demonstrates significant correlations between organizational resilience and both staff turnover intention and patient safety outcomes</w:t>
      </w:r>
      <w:r>
        <w:t xml:space="preserve"> </w:t>
      </w:r>
      <w:r>
        <w:t xml:space="preserve">(</w:t>
      </w:r>
      <w:hyperlink w:anchor="ref-ellis2026">
        <w:r>
          <w:rPr>
            <w:rStyle w:val="Hyperlink"/>
          </w:rPr>
          <w:t xml:space="preserve">60</w:t>
        </w:r>
      </w:hyperlink>
      <w:r>
        <w:t xml:space="preserve">)</w:t>
      </w:r>
      <w:r>
        <w:t xml:space="preserve">. The ARI extends this emerging measurement tradition into the specific domain of analytics capability resilience, which no existing instrument addresses. Both the ARI and the broader pillar assessment require psychometric development, including construct validation, inter-rater reliability testing, and discriminant validity assessment against AMAM, before organizational deployment. This development is planned for future work in this series.</w:t>
      </w:r>
    </w:p>
    <w:p>
      <w:pPr>
        <w:pStyle w:val="BodyText"/>
      </w:pPr>
      <w:r>
        <w:t xml:space="preserve">Critically, the ARI complements rather than replaces AMAM. Where AMAM measures the sophistication of an organization’s analytical capabilities at a point in time, the ARI measures the durability of those capabilities under workforce stress. An organization should aspire to high scores on both instruments: AMAM for capability and ARI for sustainability. Used together, they provide a two-dimensional view of analytics health that neither instrument offers alone.</w:t>
      </w:r>
    </w:p>
    <w:p>
      <w:pPr>
        <w:pStyle w:val="TableCaption"/>
      </w:pPr>
      <w:r>
        <w:t xml:space="preserve">The Analytics Resilience Index (ARI).</w:t>
      </w:r>
      <w:r>
        <w:t xml:space="preserve"> </w:t>
      </w:r>
    </w:p>
    <w:tbl>
      <w:tblPr>
        <w:tblStyle w:val="Table"/>
        <w:tblW w:type="pct" w:w="5000"/>
        <w:tblLayout w:type="fixed"/>
        <w:tblLook w:firstRow="1" w:lastRow="0" w:firstColumn="0" w:lastColumn="0" w:noHBand="0" w:noVBand="0" w:val="0020"/>
        <w:tblCaption w:val="The Analytics Resilience Index (ARI). "/>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Low Resilience (Fragile)</w:t>
            </w:r>
          </w:p>
        </w:tc>
        <w:tc>
          <w:tcPr/>
          <w:p>
            <w:pPr>
              <w:pStyle w:val="Compact"/>
              <w:jc w:val="left"/>
            </w:pPr>
            <w:r>
              <w:t xml:space="preserve">High Resilience (Antifragile)</w:t>
            </w:r>
          </w:p>
        </w:tc>
        <w:tc>
          <w:tcPr/>
          <w:p>
            <w:pPr>
              <w:pStyle w:val="Compact"/>
              <w:jc w:val="left"/>
            </w:pPr>
            <w:r>
              <w:t xml:space="preserve">Evidence</w:t>
            </w:r>
          </w:p>
        </w:tc>
      </w:tr>
      <w:tr>
        <w:tc>
          <w:tcPr/>
          <w:p>
            <w:pPr>
              <w:pStyle w:val="Compact"/>
              <w:jc w:val="left"/>
            </w:pPr>
            <w:r>
              <w:rPr>
                <w:b/>
                <w:bCs/>
              </w:rPr>
              <w:t xml:space="preserve">Knowledge Locus</w:t>
            </w:r>
          </w:p>
        </w:tc>
        <w:tc>
          <w:tcPr/>
          <w:p>
            <w:pPr>
              <w:pStyle w:val="Compact"/>
              <w:jc w:val="left"/>
            </w:pPr>
            <w:r>
              <w:t xml:space="preserve">Knowledge resides in</w:t>
            </w:r>
            <w:r>
              <w:t xml:space="preserve"> </w:t>
            </w:r>
            <w:r>
              <w:t xml:space="preserve">“Hero”</w:t>
            </w:r>
            <w:r>
              <w:t xml:space="preserve"> </w:t>
            </w:r>
            <w:r>
              <w:t xml:space="preserve">analysts.</w:t>
            </w:r>
          </w:p>
        </w:tc>
        <w:tc>
          <w:tcPr/>
          <w:p>
            <w:pPr>
              <w:pStyle w:val="Compact"/>
              <w:jc w:val="left"/>
            </w:pPr>
            <w:r>
              <w:t xml:space="preserve">Knowledge resides in the System/Repository.</w:t>
            </w:r>
          </w:p>
        </w:tc>
        <w:tc>
          <w:tcPr/>
          <w:p>
            <w:pPr>
              <w:pStyle w:val="Compact"/>
              <w:jc w:val="left"/>
            </w:pPr>
            <w:r>
              <w:t xml:space="preserve">(</w:t>
            </w:r>
            <w:hyperlink w:anchor="ref-hong2025">
              <w:r>
                <w:rPr>
                  <w:rStyle w:val="Hyperlink"/>
                </w:rPr>
                <w:t xml:space="preserve">4</w:t>
              </w:r>
            </w:hyperlink>
            <w:r>
              <w:t xml:space="preserve">,</w:t>
            </w:r>
            <w:hyperlink w:anchor="ref-benbya2004">
              <w:r>
                <w:rPr>
                  <w:rStyle w:val="Hyperlink"/>
                </w:rPr>
                <w:t xml:space="preserve">31</w:t>
              </w:r>
            </w:hyperlink>
            <w:r>
              <w:t xml:space="preserve">)</w:t>
            </w:r>
          </w:p>
        </w:tc>
      </w:tr>
      <w:tr>
        <w:tc>
          <w:tcPr/>
          <w:p>
            <w:pPr>
              <w:pStyle w:val="Compact"/>
              <w:jc w:val="left"/>
            </w:pPr>
            <w:r>
              <w:rPr>
                <w:b/>
                <w:bCs/>
              </w:rPr>
              <w:t xml:space="preserve">Turnover Impact</w:t>
            </w:r>
          </w:p>
        </w:tc>
        <w:tc>
          <w:tcPr/>
          <w:p>
            <w:pPr>
              <w:pStyle w:val="Compact"/>
              <w:jc w:val="left"/>
            </w:pPr>
            <w:r>
              <w:t xml:space="preserve">Departure of 1 staff member stops reporting.</w:t>
            </w:r>
          </w:p>
        </w:tc>
        <w:tc>
          <w:tcPr/>
          <w:p>
            <w:pPr>
              <w:pStyle w:val="Compact"/>
              <w:jc w:val="left"/>
            </w:pPr>
            <w:r>
              <w:t xml:space="preserve">Departure causes minimal disruption; successors inherit queries.</w:t>
            </w:r>
          </w:p>
        </w:tc>
        <w:tc>
          <w:tcPr/>
          <w:p>
            <w:pPr>
              <w:pStyle w:val="Compact"/>
              <w:jc w:val="left"/>
            </w:pPr>
            <w:r>
              <w:t xml:space="preserve">(</w:t>
            </w:r>
            <w:hyperlink w:anchor="ref-rao2006">
              <w:r>
                <w:rPr>
                  <w:rStyle w:val="Hyperlink"/>
                </w:rPr>
                <w:t xml:space="preserve">11</w:t>
              </w:r>
            </w:hyperlink>
            <w:r>
              <w:t xml:space="preserve">,</w:t>
            </w:r>
            <w:hyperlink w:anchor="ref-massingham2018">
              <w:r>
                <w:rPr>
                  <w:rStyle w:val="Hyperlink"/>
                </w:rPr>
                <w:t xml:space="preserve">23</w:t>
              </w:r>
            </w:hyperlink>
            <w:r>
              <w:t xml:space="preserve">)</w:t>
            </w:r>
          </w:p>
        </w:tc>
      </w:tr>
      <w:tr>
        <w:tc>
          <w:tcPr/>
          <w:p>
            <w:pPr>
              <w:pStyle w:val="Compact"/>
              <w:jc w:val="left"/>
            </w:pPr>
            <w:r>
              <w:rPr>
                <w:b/>
                <w:bCs/>
              </w:rPr>
              <w:t xml:space="preserve">Validation Mode</w:t>
            </w:r>
          </w:p>
        </w:tc>
        <w:tc>
          <w:tcPr/>
          <w:p>
            <w:pPr>
              <w:pStyle w:val="Compact"/>
              <w:jc w:val="left"/>
            </w:pPr>
            <w:r>
              <w:t xml:space="preserve">Ad-hoc, email-based, ephemeral.</w:t>
            </w:r>
          </w:p>
        </w:tc>
        <w:tc>
          <w:tcPr/>
          <w:p>
            <w:pPr>
              <w:pStyle w:val="Compact"/>
              <w:jc w:val="left"/>
            </w:pPr>
            <w:r>
              <w:t xml:space="preserve">Systematic, artifact-based, durable (HiL-SG).</w:t>
            </w:r>
          </w:p>
        </w:tc>
        <w:tc>
          <w:tcPr/>
          <w:p>
            <w:pPr>
              <w:pStyle w:val="Compact"/>
              <w:jc w:val="left"/>
            </w:pPr>
            <w:r>
              <w:t xml:space="preserve">(</w:t>
            </w:r>
            <w:hyperlink w:anchor="ref-moore2018">
              <w:r>
                <w:rPr>
                  <w:rStyle w:val="Hyperlink"/>
                </w:rPr>
                <w:t xml:space="preserve">26</w:t>
              </w:r>
            </w:hyperlink>
            <w:r>
              <w:t xml:space="preserve">,</w:t>
            </w:r>
            <w:hyperlink w:anchor="ref-mosqueirarey2023">
              <w:r>
                <w:rPr>
                  <w:rStyle w:val="Hyperlink"/>
                </w:rPr>
                <w:t xml:space="preserve">30</w:t>
              </w:r>
            </w:hyperlink>
            <w:r>
              <w:t xml:space="preserve">)</w:t>
            </w:r>
          </w:p>
        </w:tc>
      </w:tr>
      <w:tr>
        <w:tc>
          <w:tcPr/>
          <w:p>
            <w:pPr>
              <w:pStyle w:val="Compact"/>
              <w:jc w:val="left"/>
            </w:pPr>
            <w:r>
              <w:rPr>
                <w:b/>
                <w:bCs/>
              </w:rPr>
              <w:t xml:space="preserve">Schema Coupling</w:t>
            </w:r>
          </w:p>
        </w:tc>
        <w:tc>
          <w:tcPr/>
          <w:p>
            <w:pPr>
              <w:pStyle w:val="Compact"/>
              <w:jc w:val="left"/>
            </w:pPr>
            <w:r>
              <w:t xml:space="preserve">Hard-coded reports break on schema change.</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bookmarkEnd w:id="28"/>
    <w:bookmarkEnd w:id="29"/>
    <w:bookmarkStart w:id="30" w:name="the-validator-paradox-and-standard-work"/>
    <w:p>
      <w:pPr>
        <w:pStyle w:val="Heading1"/>
      </w:pPr>
      <w:r>
        <w:rPr>
          <w:rStyle w:val="SectionNumber"/>
        </w:rPr>
        <w:t xml:space="preserve">6</w:t>
      </w:r>
      <w:r>
        <w:tab/>
      </w:r>
      <w:r>
        <w:t xml:space="preserve">The Validator Paradox and Standard Work</w:t>
      </w:r>
    </w:p>
    <w:p>
      <w:pPr>
        <w:pStyle w:val="FirstParagraph"/>
      </w:pPr>
      <w:r>
        <w:t xml:space="preserve">A critical objection to HiL-SG is circular: if the framework requires domain experts to validate AI-generated queries, and the core problem is that domain experts are leaving, then the framework fails precisely when it is most needed. This</w:t>
      </w:r>
      <w:r>
        <w:t xml:space="preserve"> </w:t>
      </w:r>
      <w:r>
        <w:rPr>
          <w:b/>
          <w:b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61</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61</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a</w:t>
      </w:r>
      <w:r>
        <w:t xml:space="preserve"> </w:t>
      </w:r>
      <w:r>
        <w:rPr>
          <w:b/>
          <w:bCs/>
        </w:rPr>
        <w:t xml:space="preserve">Knowledge Ratchet</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in a software repository preserves a known-good state, and future contributors can build upon it even if they occasionally introduce errors. The ratchet does not guarantee forward progress, but it does prevent catastrophic backsliding, which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62</w:t>
        </w:r>
      </w:hyperlink>
      <w:r>
        <w:t xml:space="preserve">)</w:t>
      </w:r>
      <w:r>
        <w:t xml:space="preserve">. Those codified standards survived staff turnover precisely because they existed as organizational artifacts rather than as knowledge held solely by the individuals who created them. The HiL-SG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in this series (Paper 2)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63</w:t>
        </w:r>
      </w:hyperlink>
      <w:r>
        <w:t xml:space="preserve">,</w:t>
      </w:r>
      <w:hyperlink w:anchor="ref-labkoff2024">
        <w:r>
          <w:rPr>
            <w:rStyle w:val="Hyperlink"/>
          </w:rPr>
          <w:t xml:space="preserve">64</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regression</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65</w:t>
        </w:r>
      </w:hyperlink>
      <w:r>
        <w:t xml:space="preserve">,</w:t>
      </w:r>
      <w:hyperlink w:anchor="ref-kalyanasundaram2025">
        <w:r>
          <w:rPr>
            <w:rStyle w:val="Hyperlink"/>
          </w:rPr>
          <w:t xml:space="preserve">66</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 while preserving analytical agility.</w:t>
      </w:r>
    </w:p>
    <w:bookmarkEnd w:id="30"/>
    <w:bookmarkStart w:id="31" w:name="safety-as-cognitive-forcing"/>
    <w:p>
      <w:pPr>
        <w:pStyle w:val="Heading1"/>
      </w:pPr>
      <w:r>
        <w:rPr>
          <w:rStyle w:val="SectionNumber"/>
        </w:rPr>
        <w:t xml:space="preserve">7</w:t>
      </w:r>
      <w:r>
        <w:tab/>
      </w:r>
      <w:r>
        <w:t xml:space="preserve">Safety as Cognitive Forcing</w:t>
      </w:r>
    </w:p>
    <w:p>
      <w:pPr>
        <w:pStyle w:val="FirstParagraph"/>
      </w:pPr>
      <w:r>
        <w:t xml:space="preserve">HiL-SG is fundamentally a</w:t>
      </w:r>
      <w:r>
        <w:t xml:space="preserve"> </w:t>
      </w:r>
      <w:r>
        <w:rPr>
          <w:b/>
          <w:b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HiL-SG mitigates this risk through</w:t>
      </w:r>
      <w:r>
        <w:t xml:space="preserve"> </w:t>
      </w:r>
      <w:r>
        <w:rPr>
          <w:b/>
          <w:bCs/>
        </w:rPr>
        <w:t xml:space="preserve">Cognitive Forcing Functions</w:t>
      </w:r>
      <w:r>
        <w:t xml:space="preserve"> </w:t>
      </w:r>
      <w:r>
        <w:t xml:space="preserve">(</w:t>
      </w:r>
      <w:hyperlink w:anchor="ref-ziletti2024">
        <w:r>
          <w:rPr>
            <w:rStyle w:val="Hyperlink"/>
          </w:rPr>
          <w:t xml:space="preserve">28</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67</w:t>
        </w:r>
      </w:hyperlink>
      <w:r>
        <w:t xml:space="preserve">)</w:t>
      </w:r>
      <w:r>
        <w:t xml:space="preserve">.</w:t>
      </w:r>
    </w:p>
    <w:p>
      <w:pPr>
        <w:pStyle w:val="BodyText"/>
      </w:pPr>
      <w:r>
        <w:t xml:space="preserve">The parallel to aviation safety is instructive. Checklists and mandatory call-outs transformed commercial aviation from a high-risk endeavor into one of the safest modes of transportation, not by eliminating human error but by creating procedural structures that surface errors before they propagate. HiL-SG applies the same principle to analytics: the mandatory validation step functions as an analytical</w:t>
      </w:r>
      <w:r>
        <w:t xml:space="preserve"> </w:t>
      </w:r>
      <w:r>
        <w:t xml:space="preserve">“call-out”</w:t>
      </w:r>
      <w:r>
        <w:t xml:space="preserve"> </w:t>
      </w:r>
      <w:r>
        <w:t xml:space="preserve">that interrupts the default path of uncritical acceptance. In this framing, the friction introduced by validation is not a cost; it is the mechanism of safety itself.</w:t>
      </w:r>
    </w:p>
    <w:bookmarkEnd w:id="31"/>
    <w:bookmarkStart w:id="32" w:name="Xf414813cd0afe621d2dc19456f0dc09d0fd73a3"/>
    <w:p>
      <w:pPr>
        <w:pStyle w:val="Heading1"/>
      </w:pPr>
      <w:r>
        <w:rPr>
          <w:rStyle w:val="SectionNumber"/>
        </w:rPr>
        <w:t xml:space="preserve">8</w:t>
      </w:r>
      <w:r>
        <w:tab/>
      </w: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68</w:t>
        </w:r>
      </w:hyperlink>
      <w:r>
        <w:t xml:space="preserve">,</w:t>
      </w:r>
      <w:hyperlink w:anchor="ref-strickland2019">
        <w:r>
          <w:rPr>
            <w:rStyle w:val="Hyperlink"/>
          </w:rPr>
          <w:t xml:space="preserve">69</w:t>
        </w:r>
      </w:hyperlink>
      <w:r>
        <w:t xml:space="preserve">)</w:t>
      </w:r>
      <w:r>
        <w:t xml:space="preserve">, Haven</w:t>
      </w:r>
      <w:r>
        <w:t xml:space="preserve"> </w:t>
      </w:r>
      <w:r>
        <w:t xml:space="preserve">(</w:t>
      </w:r>
      <w:hyperlink w:anchor="ref-lavito2021">
        <w:r>
          <w:rPr>
            <w:rStyle w:val="Hyperlink"/>
          </w:rPr>
          <w:t xml:space="preserve">70</w:t>
        </w:r>
      </w:hyperlink>
      <w:r>
        <w:t xml:space="preserve">,</w:t>
      </w:r>
      <w:hyperlink w:anchor="ref-acchiardo2021">
        <w:r>
          <w:rPr>
            <w:rStyle w:val="Hyperlink"/>
          </w:rPr>
          <w:t xml:space="preserve">71</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72</w:t>
        </w:r>
      </w:hyperlink>
      <w:r>
        <w:t xml:space="preserve">)</w:t>
      </w:r>
      <w:r>
        <w:t xml:space="preserve">. HiL-SG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2"/>
    <w:bookmarkStart w:id="33" w:name="limitations"/>
    <w:p>
      <w:pPr>
        <w:pStyle w:val="Heading1"/>
      </w:pPr>
      <w:r>
        <w:rPr>
          <w:rStyle w:val="SectionNumber"/>
        </w:rPr>
        <w:t xml:space="preserve">9</w:t>
      </w:r>
      <w:r>
        <w:tab/>
      </w: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HiL-SG architecture and the proposed Analytics Resilience Index (ARI) are conceptual artifacts that require future implementation and validation in diverse health systems before their effectiveness and generalizability can be fully established.</w:t>
      </w:r>
    </w:p>
    <w:bookmarkEnd w:id="33"/>
    <w:bookmarkStart w:id="34" w:name="implications-and-future-research"/>
    <w:p>
      <w:pPr>
        <w:pStyle w:val="Heading1"/>
      </w:pPr>
      <w:r>
        <w:rPr>
          <w:rStyle w:val="SectionNumber"/>
        </w:rPr>
        <w:t xml:space="preserve">10</w:t>
      </w:r>
      <w:r>
        <w:tab/>
      </w: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b/>
          <w:bCs/>
        </w:rPr>
        <w:t xml:space="preserve">Human-in-the-Loop Semantic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HiL-SG framework and the proposed Analytics Resilience Index. Priority questions include: how ARI scores correlate with observed continuity of analytics performance during leadership and staff turnover; whether HiL-SG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4"/>
    <w:bookmarkStart w:id="35" w:name="acknowledgments"/>
    <w:p>
      <w:pPr>
        <w:pStyle w:val="Heading1"/>
      </w:pPr>
      <w:r>
        <w:rPr>
          <w:rStyle w:val="SectionNumber"/>
        </w:rPr>
        <w:t xml:space="preserve">11</w:t>
      </w:r>
      <w:r>
        <w:tab/>
      </w:r>
      <w:r>
        <w:t xml:space="preserve">Acknowledgments</w:t>
      </w:r>
    </w:p>
    <w:p>
      <w:pPr>
        <w:pStyle w:val="FirstParagraph"/>
      </w:pPr>
      <w:r>
        <w:t xml:space="preserve">The author (S.T.H.) takes full responsibility for the final content, conducted the research, and verified all claims and citations. Gemini CLI (Gemini 3, Google) and Claude Code (Claude Opus 4, Anthropic) assisted with manuscript editing, refinement, and literature search. Figures were generated using the Mermaid graph language.</w:t>
      </w:r>
    </w:p>
    <w:bookmarkEnd w:id="35"/>
    <w:bookmarkStart w:id="36" w:name="author-contributions"/>
    <w:p>
      <w:pPr>
        <w:pStyle w:val="Heading1"/>
      </w:pPr>
      <w:r>
        <w:rPr>
          <w:rStyle w:val="SectionNumber"/>
        </w:rPr>
        <w:t xml:space="preserve">12</w:t>
      </w:r>
      <w:r>
        <w:tab/>
      </w:r>
      <w:r>
        <w:t xml:space="preserve">Author Contributions</w:t>
      </w:r>
    </w:p>
    <w:p>
      <w:pPr>
        <w:pStyle w:val="FirstParagraph"/>
      </w:pPr>
      <w:r>
        <w:t xml:space="preserve">S.T.H. conceived the research, conducted the literature review, and wrote the manuscript.</w:t>
      </w:r>
    </w:p>
    <w:bookmarkEnd w:id="36"/>
    <w:bookmarkStart w:id="37" w:name="conflicts-of-interest"/>
    <w:p>
      <w:pPr>
        <w:pStyle w:val="Heading1"/>
      </w:pPr>
      <w:r>
        <w:rPr>
          <w:rStyle w:val="SectionNumber"/>
        </w:rPr>
        <w:t xml:space="preserve">13</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37"/>
    <w:bookmarkStart w:id="38" w:name="data-availability"/>
    <w:p>
      <w:pPr>
        <w:pStyle w:val="Heading1"/>
      </w:pPr>
      <w:r>
        <w:rPr>
          <w:rStyle w:val="SectionNumber"/>
        </w:rPr>
        <w:t xml:space="preserve">14</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w:t>
      </w:r>
    </w:p>
    <w:bookmarkEnd w:id="38"/>
    <w:bookmarkStart w:id="39" w:name="funding"/>
    <w:p>
      <w:pPr>
        <w:pStyle w:val="Heading1"/>
      </w:pPr>
      <w:r>
        <w:rPr>
          <w:rStyle w:val="SectionNumber"/>
        </w:rPr>
        <w:t xml:space="preserve">15</w:t>
      </w:r>
      <w:r>
        <w:tab/>
      </w:r>
      <w:r>
        <w:t xml:space="preserve">Funding</w:t>
      </w:r>
    </w:p>
    <w:p>
      <w:pPr>
        <w:pStyle w:val="FirstParagraph"/>
      </w:pPr>
      <w:r>
        <w:t xml:space="preserve">Yuimedi provided funding for the author’s time writing and researching this manuscript.</w:t>
      </w:r>
    </w:p>
    <w:bookmarkEnd w:id="39"/>
    <w:bookmarkStart w:id="40" w:name="abbreviations"/>
    <w:p>
      <w:pPr>
        <w:pStyle w:val="Heading1"/>
      </w:pPr>
      <w:r>
        <w:rPr>
          <w:rStyle w:val="SectionNumber"/>
        </w:rPr>
        <w:t xml:space="preserve">16</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ARI: Analytics Resilience Index</w:t>
      </w:r>
      <w:r>
        <w:t xml:space="preserve"> </w:t>
      </w:r>
      <w:r>
        <w:t xml:space="preserve">CIO: Chief Information Officer</w:t>
      </w:r>
      <w:r>
        <w:t xml:space="preserve"> </w:t>
      </w:r>
      <w:r>
        <w:t xml:space="preserve">DSR: Design Science Research</w:t>
      </w:r>
      <w:r>
        <w:t xml:space="preserve"> </w:t>
      </w:r>
      <w:r>
        <w:t xml:space="preserve">EMRAM: Electronic Medical Record Adoption Model</w:t>
      </w:r>
      <w:r>
        <w:t xml:space="preserve"> </w:t>
      </w:r>
      <w:r>
        <w:t xml:space="preserve">HiL-SG: Human-in-the-Loop Semantic Governance</w:t>
      </w:r>
      <w:r>
        <w:t xml:space="preserve"> </w:t>
      </w:r>
      <w:r>
        <w:t xml:space="preserve">HIMSS: Healthcare Information Management Systems Society</w:t>
      </w:r>
      <w:r>
        <w:t xml:space="preserve"> </w:t>
      </w:r>
      <w:r>
        <w:t xml:space="preserve">HotL: Human-on-the-Loop</w:t>
      </w:r>
      <w:r>
        <w:t xml:space="preserve"> </w:t>
      </w:r>
      <w:r>
        <w:t xml:space="preserve">IT: Information Technology</w:t>
      </w:r>
      <w:r>
        <w:t xml:space="preserve"> </w:t>
      </w:r>
      <w:r>
        <w:t xml:space="preserve">NL2SQL: Natural Language to SQL</w:t>
      </w:r>
      <w:r>
        <w:t xml:space="preserve"> </w:t>
      </w:r>
      <w:r>
        <w:t xml:space="preserve">SECI: Socialization, Externalization, Combination, Internalization</w:t>
      </w:r>
      <w:r>
        <w:t xml:space="preserve"> </w:t>
      </w:r>
      <w:r>
        <w:t xml:space="preserve">SQL: Structured Query Language</w:t>
      </w:r>
    </w:p>
    <w:bookmarkEnd w:id="40"/>
    <w:bookmarkStart w:id="185" w:name="references"/>
    <w:p>
      <w:pPr>
        <w:pStyle w:val="Heading1"/>
      </w:pPr>
      <w:r>
        <w:rPr>
          <w:rStyle w:val="SectionNumber"/>
        </w:rPr>
        <w:t xml:space="preserve">17</w:t>
      </w:r>
      <w:r>
        <w:tab/>
      </w:r>
      <w:r>
        <w:t xml:space="preserve">References</w:t>
      </w:r>
    </w:p>
    <w:bookmarkStart w:id="184" w:name="refs"/>
    <w:bookmarkStart w:id="42" w:name="ref-himss2024"/>
    <w:p>
      <w:pPr>
        <w:pStyle w:val="Bibliography"/>
      </w:pPr>
      <w:r>
        <w:t xml:space="preserve">1.</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41">
        <w:r>
          <w:rPr>
            <w:rStyle w:val="Hyperlink"/>
          </w:rPr>
          <w:t xml:space="preserve">https://www.himss.org/maturity-models/amam/</w:t>
        </w:r>
      </w:hyperlink>
    </w:p>
    <w:bookmarkEnd w:id="42"/>
    <w:bookmarkStart w:id="44"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43">
        <w:r>
          <w:rPr>
            <w:rStyle w:val="Hyperlink"/>
          </w:rPr>
          <w:t xml:space="preserve">https://www.nyulawreview.org/issues/volume-94-number-4/data-standardization/</w:t>
        </w:r>
      </w:hyperlink>
    </w:p>
    <w:bookmarkEnd w:id="44"/>
    <w:bookmarkStart w:id="45"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45"/>
    <w:bookmarkStart w:id="47" w:name="ref-hong2025"/>
    <w:p>
      <w:pPr>
        <w:pStyle w:val="Bibliography"/>
      </w:pPr>
      <w:r>
        <w:t xml:space="preserve">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46">
        <w:r>
          <w:rPr>
            <w:rStyle w:val="Hyperlink"/>
          </w:rPr>
          <w:t xml:space="preserve">https://academic.oup.com/jpart/advance-article-abstract/doi/10.1093/jopart/muaf019/8162522</w:t>
        </w:r>
      </w:hyperlink>
    </w:p>
    <w:bookmarkEnd w:id="47"/>
    <w:bookmarkStart w:id="49" w:name="ref-wittkieffer2024"/>
    <w:p>
      <w:pPr>
        <w:pStyle w:val="Bibliography"/>
      </w:pPr>
      <w:r>
        <w:t xml:space="preserve">5.</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8">
        <w:r>
          <w:rPr>
            <w:rStyle w:val="Hyperlink"/>
          </w:rPr>
          <w:t xml:space="preserve">https://api.wittkieffer.com/wp-content/uploads/2012/10/cio-insights-the-state-of-healthcare-it-leadership-wittkieffer-october-2024.pdf</w:t>
        </w:r>
      </w:hyperlink>
    </w:p>
    <w:bookmarkEnd w:id="49"/>
    <w:bookmarkStart w:id="51" w:name="ref-himssworkforce2024"/>
    <w:p>
      <w:pPr>
        <w:pStyle w:val="Bibliography"/>
      </w:pPr>
      <w:r>
        <w:t xml:space="preserve">6.</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50">
        <w:r>
          <w:rPr>
            <w:rStyle w:val="Hyperlink"/>
          </w:rPr>
          <w:t xml:space="preserve">https://www.himss.org/resources/the-future-of-workforce/</w:t>
        </w:r>
      </w:hyperlink>
    </w:p>
    <w:bookmarkEnd w:id="51"/>
    <w:bookmarkStart w:id="53"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52">
        <w:r>
          <w:rPr>
            <w:rStyle w:val="Hyperlink"/>
          </w:rPr>
          <w:t xml:space="preserve">https://academic.oup.com/jpubhealth</w:t>
        </w:r>
      </w:hyperlink>
    </w:p>
    <w:bookmarkEnd w:id="53"/>
    <w:bookmarkStart w:id="55" w:name="ref-american2023"/>
    <w:p>
      <w:pPr>
        <w:pStyle w:val="Bibliography"/>
      </w:pPr>
      <w:r>
        <w:t xml:space="preserve">8.</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54">
        <w:r>
          <w:rPr>
            <w:rStyle w:val="Hyperlink"/>
          </w:rPr>
          <w:t xml:space="preserve">https://www.ahima.org/news-publications/press-room-press-releases/2023-press-releases/health-information-workforce-shortages-persist-as-ai-shows-promise-ahima-survey-reveals/</w:t>
        </w:r>
      </w:hyperlink>
    </w:p>
    <w:bookmarkEnd w:id="55"/>
    <w:bookmarkStart w:id="57"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56">
        <w:r>
          <w:rPr>
            <w:rStyle w:val="Hyperlink"/>
          </w:rPr>
          <w:t xml:space="preserve">https://www.sciencedirect.com/science/article/abs/pii/S0040162516000500</w:t>
        </w:r>
      </w:hyperlink>
    </w:p>
    <w:bookmarkEnd w:id="57"/>
    <w:bookmarkStart w:id="59"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58">
        <w:r>
          <w:rPr>
            <w:rStyle w:val="Hyperlink"/>
          </w:rPr>
          <w:t xml:space="preserve">https://arxiv.org/abs/1908.01839</w:t>
        </w:r>
      </w:hyperlink>
    </w:p>
    <w:bookmarkEnd w:id="59"/>
    <w:bookmarkStart w:id="61" w:name="ref-rao2006"/>
    <w:p>
      <w:pPr>
        <w:pStyle w:val="Bibliography"/>
      </w:pPr>
      <w:r>
        <w:t xml:space="preserve">11.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60">
        <w:r>
          <w:rPr>
            <w:rStyle w:val="Hyperlink"/>
          </w:rPr>
          <w:t xml:space="preserve">https://onlinelibrary.wiley.com/doi/abs/10.1057/palgrave.emr.1500057</w:t>
        </w:r>
      </w:hyperlink>
    </w:p>
    <w:bookmarkEnd w:id="61"/>
    <w:bookmarkStart w:id="63"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62">
        <w:r>
          <w:rPr>
            <w:rStyle w:val="Hyperlink"/>
          </w:rPr>
          <w:t xml:space="preserve">https://www.redjournal.org/article/S0360-3016(16)00260-1/fulltext</w:t>
        </w:r>
      </w:hyperlink>
    </w:p>
    <w:bookmarkEnd w:id="63"/>
    <w:bookmarkStart w:id="65"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64">
        <w:r>
          <w:rPr>
            <w:rStyle w:val="Hyperlink"/>
          </w:rPr>
          <w:t xml:space="preserve">https://human-resources-health.biomedcentral.com/articles/10.1186/1478-4491-11-35</w:t>
        </w:r>
      </w:hyperlink>
    </w:p>
    <w:bookmarkEnd w:id="65"/>
    <w:bookmarkStart w:id="67"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66">
        <w:r>
          <w:rPr>
            <w:rStyle w:val="Hyperlink"/>
          </w:rPr>
          <w:t xml:space="preserve">https://pubmed.ncbi.nlm.nih.gov/20054502/</w:t>
        </w:r>
      </w:hyperlink>
    </w:p>
    <w:bookmarkEnd w:id="67"/>
    <w:bookmarkStart w:id="69" w:name="ref-ang2004"/>
    <w:p>
      <w:pPr>
        <w:pStyle w:val="Bibliography"/>
      </w:pPr>
      <w:r>
        <w:t xml:space="preserve">15.</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68">
        <w:r>
          <w:rPr>
            <w:rStyle w:val="Hyperlink"/>
          </w:rPr>
          <w:t xml:space="preserve">https://dl.acm.org/doi/10.1145/1017114.1017118</w:t>
        </w:r>
      </w:hyperlink>
    </w:p>
    <w:bookmarkEnd w:id="69"/>
    <w:bookmarkStart w:id="71"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70">
        <w:r>
          <w:rPr>
            <w:rStyle w:val="Hyperlink"/>
          </w:rPr>
          <w:t xml:space="preserve">https://www.frontiersin.org/articles/10.3389/fpsyg.2019.02730</w:t>
        </w:r>
      </w:hyperlink>
    </w:p>
    <w:bookmarkEnd w:id="71"/>
    <w:bookmarkStart w:id="73"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72">
        <w:r>
          <w:rPr>
            <w:rStyle w:val="Hyperlink"/>
          </w:rPr>
          <w:t xml:space="preserve">https://dspace.flinders.edu.au/jspui/bitstream/2328/3326/4/AACODS_Checklist.pdf</w:t>
        </w:r>
      </w:hyperlink>
    </w:p>
    <w:bookmarkEnd w:id="73"/>
    <w:bookmarkStart w:id="75"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74">
        <w:r>
          <w:rPr>
            <w:rStyle w:val="Hyperlink"/>
          </w:rPr>
          <w:t xml:space="preserve">https://www.emerald.com/insight/content/doi/10.1108/13673270610650067/full/html</w:t>
        </w:r>
      </w:hyperlink>
    </w:p>
    <w:bookmarkEnd w:id="75"/>
    <w:bookmarkStart w:id="77" w:name="ref-nsi2025"/>
    <w:p>
      <w:pPr>
        <w:pStyle w:val="Bibliography"/>
      </w:pPr>
      <w:r>
        <w:t xml:space="preserve">19.</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76">
        <w:r>
          <w:rPr>
            <w:rStyle w:val="Hyperlink"/>
          </w:rPr>
          <w:t xml:space="preserve">https://www.nsinursingsolutions.com/documents/library/nsi_national_health_care_retention_report.pdf</w:t>
        </w:r>
      </w:hyperlink>
    </w:p>
    <w:bookmarkEnd w:id="77"/>
    <w:bookmarkStart w:id="79" w:name="ref-konrad2022"/>
    <w:p>
      <w:pPr>
        <w:pStyle w:val="Bibliography"/>
      </w:pPr>
      <w:r>
        <w:t xml:space="preserve">20.</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78">
        <w:r>
          <w:rPr>
            <w:rStyle w:val="Hyperlink"/>
          </w:rPr>
          <w:t xml:space="preserve">https://www.diva-portal.org/smash/record.jsf?pid=diva2:1684142</w:t>
        </w:r>
      </w:hyperlink>
    </w:p>
    <w:bookmarkEnd w:id="79"/>
    <w:bookmarkStart w:id="81"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80">
        <w:r>
          <w:rPr>
            <w:rStyle w:val="Hyperlink"/>
          </w:rPr>
          <w:t xml:space="preserve">https://pmc.ncbi.nlm.nih.gov/articles/PMC10802134/</w:t>
        </w:r>
      </w:hyperlink>
    </w:p>
    <w:bookmarkEnd w:id="81"/>
    <w:bookmarkStart w:id="83"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82">
        <w:r>
          <w:rPr>
            <w:rStyle w:val="Hyperlink"/>
          </w:rPr>
          <w:t xml:space="preserve">https://pmc.ncbi.nlm.nih.gov/articles/PMC11919231/</w:t>
        </w:r>
      </w:hyperlink>
    </w:p>
    <w:bookmarkEnd w:id="83"/>
    <w:bookmarkStart w:id="85"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84">
        <w:r>
          <w:rPr>
            <w:rStyle w:val="Hyperlink"/>
          </w:rPr>
          <w:t xml:space="preserve">https://doi.org/10.1108/JKM-08-2016-0338</w:t>
        </w:r>
      </w:hyperlink>
    </w:p>
    <w:bookmarkEnd w:id="85"/>
    <w:bookmarkStart w:id="87"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86">
        <w:r>
          <w:rPr>
            <w:rStyle w:val="Hyperlink"/>
          </w:rPr>
          <w:t xml:space="preserve">https://www.emerald.com/insight/content/doi/10.1108/JKM-03-2024-0262/full/html</w:t>
        </w:r>
      </w:hyperlink>
    </w:p>
    <w:bookmarkEnd w:id="87"/>
    <w:bookmarkStart w:id="89"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88">
        <w:r>
          <w:rPr>
            <w:rStyle w:val="Hyperlink"/>
          </w:rPr>
          <w:t xml:space="preserve">https://onlinelibrary.wiley.com/doi/abs/10.1111/j.1540-5885.2010.00798.x</w:t>
        </w:r>
      </w:hyperlink>
    </w:p>
    <w:bookmarkEnd w:id="89"/>
    <w:bookmarkStart w:id="91"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90">
        <w:r>
          <w:rPr>
            <w:rStyle w:val="Hyperlink"/>
          </w:rPr>
          <w:t xml:space="preserve">https://wendyju.com/publications/18_ijee3593.pdf</w:t>
        </w:r>
      </w:hyperlink>
    </w:p>
    <w:bookmarkEnd w:id="91"/>
    <w:bookmarkStart w:id="93" w:name="ref-lee2023"/>
    <w:p>
      <w:pPr>
        <w:pStyle w:val="Bibliography"/>
      </w:pPr>
      <w:r>
        <w:t xml:space="preserve">27.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92">
        <w:r>
          <w:rPr>
            <w:rStyle w:val="Hyperlink"/>
          </w:rPr>
          <w:t xml:space="preserve">https://arxiv.org/abs/2301.07695</w:t>
        </w:r>
      </w:hyperlink>
    </w:p>
    <w:bookmarkEnd w:id="93"/>
    <w:bookmarkStart w:id="95" w:name="ref-ziletti2024"/>
    <w:p>
      <w:pPr>
        <w:pStyle w:val="Bibliography"/>
      </w:pPr>
      <w:r>
        <w:t xml:space="preserve">28.</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94">
        <w:r>
          <w:rPr>
            <w:rStyle w:val="Hyperlink"/>
          </w:rPr>
          <w:t xml:space="preserve">https://arxiv.org/abs/2403.09226</w:t>
        </w:r>
      </w:hyperlink>
    </w:p>
    <w:bookmarkEnd w:id="95"/>
    <w:bookmarkStart w:id="97" w:name="ref-bravorocca2023"/>
    <w:p>
      <w:pPr>
        <w:pStyle w:val="Bibliography"/>
      </w:pPr>
      <w:r>
        <w:t xml:space="preserve">29.</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96">
        <w:r>
          <w:rPr>
            <w:rStyle w:val="Hyperlink"/>
          </w:rPr>
          <w:t xml:space="preserve">https://www.tdx.cat/bitstream/handle/10803/695722/TGJBR1de1.pdf?sequence=1</w:t>
        </w:r>
      </w:hyperlink>
    </w:p>
    <w:bookmarkEnd w:id="97"/>
    <w:bookmarkStart w:id="99" w:name="ref-mosqueirarey2023"/>
    <w:p>
      <w:pPr>
        <w:pStyle w:val="Bibliography"/>
      </w:pPr>
      <w:r>
        <w:t xml:space="preserve">30.</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98">
        <w:r>
          <w:rPr>
            <w:rStyle w:val="Hyperlink"/>
          </w:rPr>
          <w:t xml:space="preserve">https://link.springer.com/content/pdf/10.1007/s10462-022-10246-w.pdf</w:t>
        </w:r>
      </w:hyperlink>
    </w:p>
    <w:bookmarkEnd w:id="99"/>
    <w:bookmarkStart w:id="101"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00">
        <w:r>
          <w:rPr>
            <w:rStyle w:val="Hyperlink"/>
          </w:rPr>
          <w:t xml:space="preserve">https://doi.org/10.1016/j.ijinfomgt.2003.12.012</w:t>
        </w:r>
      </w:hyperlink>
    </w:p>
    <w:bookmarkEnd w:id="101"/>
    <w:bookmarkStart w:id="103" w:name="ref-whittaker2008"/>
    <w:p>
      <w:pPr>
        <w:pStyle w:val="Bibliography"/>
      </w:pPr>
      <w:r>
        <w:t xml:space="preserve">32.</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102">
        <w:r>
          <w:rPr>
            <w:rStyle w:val="Hyperlink"/>
          </w:rPr>
          <w:t xml:space="preserve">https://www.academia.edu/download/41283190/Design_and_evaluation_of_systems_to_supp20160117-25708-98zc50.pdf</w:t>
        </w:r>
      </w:hyperlink>
    </w:p>
    <w:bookmarkEnd w:id="103"/>
    <w:bookmarkStart w:id="105" w:name="ref-mannapur2025"/>
    <w:p>
      <w:pPr>
        <w:pStyle w:val="Bibliography"/>
      </w:pPr>
      <w:r>
        <w:t xml:space="preserve">33.</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104">
        <w:r>
          <w:rPr>
            <w:rStyle w:val="Hyperlink"/>
          </w:rPr>
          <w:t xml:space="preserve">https://www.quantbeckman.com/api/v1/file/5b240742-bf0d-4f8c-a0f9-cb29fab42611.pdf</w:t>
        </w:r>
      </w:hyperlink>
    </w:p>
    <w:bookmarkEnd w:id="105"/>
    <w:bookmarkStart w:id="107" w:name="ref-battula2025"/>
    <w:p>
      <w:pPr>
        <w:pStyle w:val="Bibliography"/>
      </w:pPr>
      <w:r>
        <w:t xml:space="preserve">34.</w:t>
      </w:r>
      <w:r>
        <w:t xml:space="preserve"> </w:t>
      </w:r>
      <w:r>
        <w:t xml:space="preserve">	</w:t>
      </w:r>
      <w:r>
        <w:t xml:space="preserve">Battula SKY.</w:t>
      </w:r>
      <w:r>
        <w:t xml:space="preserve"> </w:t>
      </w:r>
      <w:hyperlink r:id="rId106">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107"/>
    <w:bookmarkStart w:id="109" w:name="ref-himss2024news"/>
    <w:p>
      <w:pPr>
        <w:pStyle w:val="Bibliography"/>
      </w:pPr>
      <w:r>
        <w:t xml:space="preserve">35.</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08">
        <w:r>
          <w:rPr>
            <w:rStyle w:val="Hyperlink"/>
          </w:rPr>
          <w:t xml:space="preserve">https://www.healthcareitnews.com/news/asia/himss24-apac-adoption-model-analytics-maturity-gets-facelift</w:t>
        </w:r>
      </w:hyperlink>
    </w:p>
    <w:bookmarkEnd w:id="109"/>
    <w:bookmarkStart w:id="111" w:name="ref-health2020"/>
    <w:p>
      <w:pPr>
        <w:pStyle w:val="Bibliography"/>
      </w:pPr>
      <w:r>
        <w:t xml:space="preserve">36.</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10">
        <w:r>
          <w:rPr>
            <w:rStyle w:val="Hyperlink"/>
          </w:rPr>
          <w:t xml:space="preserve">https://www.healthcatalyst.com/learn/insights/healthcare-analytics-adoption-model-roadmap-analytic-maturity</w:t>
        </w:r>
      </w:hyperlink>
    </w:p>
    <w:bookmarkEnd w:id="111"/>
    <w:bookmarkStart w:id="113" w:name="ref-snowdon2024"/>
    <w:p>
      <w:pPr>
        <w:pStyle w:val="Bibliography"/>
      </w:pPr>
      <w:r>
        <w:t xml:space="preserve">37.</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2">
        <w:r>
          <w:rPr>
            <w:rStyle w:val="Hyperlink"/>
          </w:rPr>
          <w:t xml:space="preserve">https://www.jmir.org/2024/1/e56316</w:t>
        </w:r>
      </w:hyperlink>
    </w:p>
    <w:bookmarkEnd w:id="113"/>
    <w:bookmarkStart w:id="115" w:name="ref-yang2021"/>
    <w:p>
      <w:pPr>
        <w:pStyle w:val="Bibliography"/>
      </w:pPr>
      <w:r>
        <w:t xml:space="preserve">38.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14">
        <w:r>
          <w:rPr>
            <w:rStyle w:val="Hyperlink"/>
          </w:rPr>
          <w:t xml:space="preserve">https://jamanetwork.com/journals/jamanetworkopen/fullarticle/2777777</w:t>
        </w:r>
      </w:hyperlink>
    </w:p>
    <w:bookmarkEnd w:id="115"/>
    <w:bookmarkStart w:id="117" w:name="ref-latrella2024"/>
    <w:p>
      <w:pPr>
        <w:pStyle w:val="Bibliography"/>
      </w:pPr>
      <w:r>
        <w:t xml:space="preserve">39.</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16">
        <w:r>
          <w:rPr>
            <w:rStyle w:val="Hyperlink"/>
          </w:rPr>
          <w:t xml:space="preserve">https://www.ingentaconnect.com/content/hsp/mih/2024/00000008/00000004/art00006</w:t>
        </w:r>
      </w:hyperlink>
    </w:p>
    <w:bookmarkEnd w:id="117"/>
    <w:bookmarkStart w:id="119" w:name="ref-nashid2023"/>
    <w:p>
      <w:pPr>
        <w:pStyle w:val="Bibliography"/>
      </w:pPr>
      <w:r>
        <w:t xml:space="preserve">40.</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18">
        <w:r>
          <w:rPr>
            <w:rStyle w:val="Hyperlink"/>
          </w:rPr>
          <w:t xml:space="preserve">https://publishing.emanresearch.org/Journal/FullText/6104</w:t>
        </w:r>
      </w:hyperlink>
    </w:p>
    <w:bookmarkEnd w:id="119"/>
    <w:bookmarkStart w:id="121" w:name="ref-shahbaz2019"/>
    <w:p>
      <w:pPr>
        <w:pStyle w:val="Bibliography"/>
      </w:pPr>
      <w:r>
        <w:t xml:space="preserve">41.</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20">
        <w:r>
          <w:rPr>
            <w:rStyle w:val="Hyperlink"/>
          </w:rPr>
          <w:t xml:space="preserve">https://journalofbigdata.springeropen.com/articles/10.1186/s40537-019-0170-y</w:t>
        </w:r>
      </w:hyperlink>
    </w:p>
    <w:bookmarkEnd w:id="121"/>
    <w:bookmarkStart w:id="123" w:name="ref-kamble2019"/>
    <w:p>
      <w:pPr>
        <w:pStyle w:val="Bibliography"/>
      </w:pPr>
      <w:r>
        <w:t xml:space="preserve">42.</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22">
        <w:r>
          <w:rPr>
            <w:rStyle w:val="Hyperlink"/>
          </w:rPr>
          <w:t xml:space="preserve">https://www.tandfonline.com/doi/full/10.1080/20479700.2018.1531606</w:t>
        </w:r>
      </w:hyperlink>
    </w:p>
    <w:bookmarkEnd w:id="123"/>
    <w:bookmarkStart w:id="125" w:name="ref-wynendaele2025"/>
    <w:p>
      <w:pPr>
        <w:pStyle w:val="Bibliography"/>
      </w:pPr>
      <w:r>
        <w:t xml:space="preserve">43.</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 BMC Health Services Research [Internet]. 2025; Available from:</w:t>
      </w:r>
      <w:r>
        <w:t xml:space="preserve"> </w:t>
      </w:r>
      <w:hyperlink r:id="rId124">
        <w:r>
          <w:rPr>
            <w:rStyle w:val="Hyperlink"/>
          </w:rPr>
          <w:t xml:space="preserve">https://link.springer.com/article/10.1186/s12913-025-12966-5</w:t>
        </w:r>
      </w:hyperlink>
    </w:p>
    <w:bookmarkEnd w:id="125"/>
    <w:bookmarkStart w:id="127" w:name="ref-hackney2024"/>
    <w:p>
      <w:pPr>
        <w:pStyle w:val="Bibliography"/>
      </w:pPr>
      <w:r>
        <w:t xml:space="preserve">44.</w:t>
      </w:r>
      <w:r>
        <w:t xml:space="preserve"> </w:t>
      </w:r>
      <w:r>
        <w:t xml:space="preserve">	</w:t>
      </w:r>
      <w:r>
        <w:t xml:space="preserve">Hackney A.</w:t>
      </w:r>
      <w:r>
        <w:t xml:space="preserve"> </w:t>
      </w:r>
      <w:r>
        <w:t xml:space="preserve">Onboarding New Hires in the Clinical Informatics and Practice Support (CIPS) Department With the Tiered Skills Acquisition Model (TSAM): A Program Evaluation</w:t>
      </w:r>
      <w:r>
        <w:t xml:space="preserve"> </w:t>
      </w:r>
      <w:r>
        <w:t xml:space="preserve">[Internet] [PhD thesis]. ProQuest Dissertations; 2024. Available from:</w:t>
      </w:r>
      <w:r>
        <w:t xml:space="preserve"> </w:t>
      </w:r>
      <w:hyperlink r:id="rId126">
        <w:r>
          <w:rPr>
            <w:rStyle w:val="Hyperlink"/>
          </w:rPr>
          <w:t xml:space="preserve">https://search.proquest.com/openview/9a3a9ef301c01ff0129d07f685b8643f/1</w:t>
        </w:r>
      </w:hyperlink>
    </w:p>
    <w:bookmarkEnd w:id="127"/>
    <w:bookmarkStart w:id="129" w:name="ref-blaskovic2025"/>
    <w:p>
      <w:pPr>
        <w:pStyle w:val="Bibliography"/>
      </w:pPr>
      <w:r>
        <w:t xml:space="preserve">45.</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 Big Data and Cognitive Computing [Internet]. 2025;9(10):256. Available from:</w:t>
      </w:r>
      <w:r>
        <w:t xml:space="preserve"> </w:t>
      </w:r>
      <w:hyperlink r:id="rId128">
        <w:r>
          <w:rPr>
            <w:rStyle w:val="Hyperlink"/>
          </w:rPr>
          <w:t xml:space="preserve">https://www.mdpi.com/2504-2289/9/10/256</w:t>
        </w:r>
      </w:hyperlink>
    </w:p>
    <w:bookmarkEnd w:id="129"/>
    <w:bookmarkStart w:id="131" w:name="ref-marshan2024"/>
    <w:p>
      <w:pPr>
        <w:pStyle w:val="Bibliography"/>
      </w:pPr>
      <w:r>
        <w:t xml:space="preserve">46.</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30">
        <w:r>
          <w:rPr>
            <w:rStyle w:val="Hyperlink"/>
          </w:rPr>
          <w:t xml:space="preserve">https://www.frontiersin.org/articles/10.3389/fdata.2024.1371680</w:t>
        </w:r>
      </w:hyperlink>
    </w:p>
    <w:bookmarkEnd w:id="131"/>
    <w:bookmarkStart w:id="133" w:name="ref-chen2026graph"/>
    <w:p>
      <w:pPr>
        <w:pStyle w:val="Bibliography"/>
      </w:pPr>
      <w:r>
        <w:t xml:space="preserve">47.</w:t>
      </w:r>
      <w:r>
        <w:t xml:space="preserve"> </w:t>
      </w:r>
      <w:r>
        <w:t xml:space="preserve">	</w:t>
      </w:r>
      <w:r>
        <w:t xml:space="preserve">Chen Q, Peng J, Song B, Zhou Y, Ji R.</w:t>
      </w:r>
      <w:r>
        <w:t xml:space="preserve"> </w:t>
      </w:r>
      <w:r>
        <w:t xml:space="preserve">Graph-empowered Text-to-SQL generation on Electronic Medical Records</w:t>
      </w:r>
      <w:r>
        <w:t xml:space="preserve">. Pattern Recognition [Internet]. 2026; Available from:</w:t>
      </w:r>
      <w:r>
        <w:t xml:space="preserve"> </w:t>
      </w:r>
      <w:hyperlink r:id="rId132">
        <w:r>
          <w:rPr>
            <w:rStyle w:val="Hyperlink"/>
          </w:rPr>
          <w:t xml:space="preserve">https://www.sciencedirect.com/science/article/pii/S0031320325004601</w:t>
        </w:r>
      </w:hyperlink>
    </w:p>
    <w:bookmarkEnd w:id="133"/>
    <w:bookmarkStart w:id="135" w:name="ref-tarbell2024"/>
    <w:p>
      <w:pPr>
        <w:pStyle w:val="Bibliography"/>
      </w:pPr>
      <w:r>
        <w:t xml:space="preserve">48.</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 AMIA annual symposium proceedings [Internet]. 2024. Available from:</w:t>
      </w:r>
      <w:r>
        <w:t xml:space="preserve"> </w:t>
      </w:r>
      <w:hyperlink r:id="rId134">
        <w:r>
          <w:rPr>
            <w:rStyle w:val="Hyperlink"/>
          </w:rPr>
          <w:t xml:space="preserve">https://pmc.ncbi.nlm.nih.gov/articles/PMC10785918/</w:t>
        </w:r>
      </w:hyperlink>
    </w:p>
    <w:bookmarkEnd w:id="135"/>
    <w:bookmarkStart w:id="137" w:name="ref-yuan2019"/>
    <w:p>
      <w:pPr>
        <w:pStyle w:val="Bibliography"/>
      </w:pPr>
      <w:r>
        <w:t xml:space="preserve">49.</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 Journal of the American Medical Informatics Association [Internet]. 2019;26(4):294–305. Available from:</w:t>
      </w:r>
      <w:r>
        <w:t xml:space="preserve"> </w:t>
      </w:r>
      <w:hyperlink r:id="rId136">
        <w:r>
          <w:rPr>
            <w:rStyle w:val="Hyperlink"/>
          </w:rPr>
          <w:t xml:space="preserve">https://academic.oup.com/jamia/article-abstract/26/4/294/5308980</w:t>
        </w:r>
      </w:hyperlink>
    </w:p>
    <w:bookmarkEnd w:id="137"/>
    <w:bookmarkStart w:id="139" w:name="ref-nittala2024"/>
    <w:p>
      <w:pPr>
        <w:pStyle w:val="Bibliography"/>
      </w:pPr>
      <w:r>
        <w:t xml:space="preserve">50.</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 International Journal of Emerging Trends in Computer Science and Information Technology [Internet]. 2024; Available from:</w:t>
      </w:r>
      <w:r>
        <w:t xml:space="preserve"> </w:t>
      </w:r>
      <w:hyperlink r:id="rId138">
        <w:r>
          <w:rPr>
            <w:rStyle w:val="Hyperlink"/>
          </w:rPr>
          <w:t xml:space="preserve">https://www.ijetcsit.org/index.php/ijetcsit/article/view/458</w:t>
        </w:r>
      </w:hyperlink>
    </w:p>
    <w:bookmarkEnd w:id="139"/>
    <w:bookmarkStart w:id="141" w:name="ref-anthropic2025"/>
    <w:p>
      <w:pPr>
        <w:pStyle w:val="Bibliography"/>
      </w:pPr>
      <w:r>
        <w:t xml:space="preserve">51.</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40">
        <w:r>
          <w:rPr>
            <w:rStyle w:val="Hyperlink"/>
          </w:rPr>
          <w:t xml:space="preserve">https://resources.anthropic.com/code-modernization-playbook</w:t>
        </w:r>
      </w:hyperlink>
    </w:p>
    <w:bookmarkEnd w:id="141"/>
    <w:bookmarkStart w:id="143" w:name="ref-hendrix1978"/>
    <w:p>
      <w:pPr>
        <w:pStyle w:val="Bibliography"/>
      </w:pPr>
      <w:r>
        <w:t xml:space="preserve">52.</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42">
        <w:r>
          <w:rPr>
            <w:rStyle w:val="Hyperlink"/>
          </w:rPr>
          <w:t xml:space="preserve">https://dl.acm.org/doi/abs/10.1145/320251.320253</w:t>
        </w:r>
      </w:hyperlink>
    </w:p>
    <w:bookmarkEnd w:id="143"/>
    <w:bookmarkStart w:id="145" w:name="ref-ogunwole2023"/>
    <w:p>
      <w:pPr>
        <w:pStyle w:val="Bibliography"/>
      </w:pPr>
      <w:r>
        <w:t xml:space="preserve">53.</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44">
        <w:r>
          <w:rPr>
            <w:rStyle w:val="Hyperlink"/>
          </w:rPr>
          <w:t xml:space="preserve">https://www.allmultidisciplinaryjournal.com/uploads/archives/20250306182550_MGE-2025-2-018.1.pdf</w:t>
        </w:r>
      </w:hyperlink>
    </w:p>
    <w:bookmarkEnd w:id="145"/>
    <w:bookmarkStart w:id="147" w:name="ref-arora2025"/>
    <w:p>
      <w:pPr>
        <w:pStyle w:val="Bibliography"/>
      </w:pPr>
      <w:r>
        <w:t xml:space="preserve">54.</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6">
        <w:r>
          <w:rPr>
            <w:rStyle w:val="Hyperlink"/>
          </w:rPr>
          <w:t xml:space="preserve">https://papers.ssrn.com/sol3/papers.cfm?abstract_id=5268176</w:t>
        </w:r>
      </w:hyperlink>
    </w:p>
    <w:bookmarkEnd w:id="147"/>
    <w:bookmarkStart w:id="149" w:name="ref-valiaiev2025"/>
    <w:p>
      <w:pPr>
        <w:pStyle w:val="Bibliography"/>
      </w:pPr>
      <w:r>
        <w:t xml:space="preserve">55.</w:t>
      </w:r>
      <w:r>
        <w:t xml:space="preserve"> </w:t>
      </w:r>
      <w:r>
        <w:t xml:space="preserve">	</w:t>
      </w:r>
      <w:r>
        <w:t xml:space="preserve">Valiaiev D.</w:t>
      </w:r>
      <w:r>
        <w:t xml:space="preserve"> </w:t>
      </w:r>
      <w:r>
        <w:t xml:space="preserve">Implementing DataOps: A Scalable Framework for Modern Data Warehousing</w:t>
      </w:r>
      <w:r>
        <w:t xml:space="preserve"> </w:t>
      </w:r>
      <w:r>
        <w:t xml:space="preserve">[Internet] [PhD thesis]. ProQuest Dissertations; 2025. Available from:</w:t>
      </w:r>
      <w:r>
        <w:t xml:space="preserve"> </w:t>
      </w:r>
      <w:hyperlink r:id="rId148">
        <w:r>
          <w:rPr>
            <w:rStyle w:val="Hyperlink"/>
          </w:rPr>
          <w:t xml:space="preserve">https://search.proquest.com/openview/aa9acce88c488cbb8c6b3c8339062319/1</w:t>
        </w:r>
      </w:hyperlink>
    </w:p>
    <w:bookmarkEnd w:id="149"/>
    <w:bookmarkStart w:id="151" w:name="ref-betha2023"/>
    <w:p>
      <w:pPr>
        <w:pStyle w:val="Bibliography"/>
      </w:pPr>
      <w:r>
        <w:t xml:space="preserve">56.</w:t>
      </w:r>
      <w:r>
        <w:t xml:space="preserve"> </w:t>
      </w:r>
      <w:r>
        <w:t xml:space="preserve">	</w:t>
      </w:r>
      <w:r>
        <w:t xml:space="preserve">Betha R.</w:t>
      </w:r>
      <w:r>
        <w:t xml:space="preserve"> </w:t>
      </w:r>
      <w:r>
        <w:t xml:space="preserve">Data Observability and Data Quality Automation: Building Self-Healing Data Pipelines</w:t>
      </w:r>
      <w:r>
        <w:t xml:space="preserve">. International Journal of Artificial Intelligence and Data Research [Internet]. 2023; Available from:</w:t>
      </w:r>
      <w:r>
        <w:t xml:space="preserve"> </w:t>
      </w:r>
      <w:hyperlink r:id="rId150">
        <w:r>
          <w:rPr>
            <w:rStyle w:val="Hyperlink"/>
          </w:rPr>
          <w:t xml:space="preserve">https://www.ijaidr.com/papers/2023/1/1299.pdf</w:t>
        </w:r>
      </w:hyperlink>
    </w:p>
    <w:bookmarkEnd w:id="151"/>
    <w:bookmarkStart w:id="153" w:name="ref-kottam2025"/>
    <w:p>
      <w:pPr>
        <w:pStyle w:val="Bibliography"/>
      </w:pPr>
      <w:r>
        <w:t xml:space="preserve">57.</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 2025 IEEE/ACM 47th international conference on software engineering: Software engineering in practice (ICSE-SEIP) [Internet]. 2025. Available from:</w:t>
      </w:r>
      <w:r>
        <w:t xml:space="preserve"> </w:t>
      </w:r>
      <w:hyperlink r:id="rId152">
        <w:r>
          <w:rPr>
            <w:rStyle w:val="Hyperlink"/>
          </w:rPr>
          <w:t xml:space="preserve">https://ieeexplore.ieee.org/abstract/document/11402102/</w:t>
        </w:r>
      </w:hyperlink>
    </w:p>
    <w:bookmarkEnd w:id="153"/>
    <w:bookmarkStart w:id="155" w:name="ref-ignatowicz2023"/>
    <w:p>
      <w:pPr>
        <w:pStyle w:val="Bibliography"/>
      </w:pPr>
      <w:r>
        <w:t xml:space="preserve">58.</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 BMC Health Services Research [Internet]. 2023;23:242. Available from:</w:t>
      </w:r>
      <w:r>
        <w:t xml:space="preserve"> </w:t>
      </w:r>
      <w:hyperlink r:id="rId154">
        <w:r>
          <w:rPr>
            <w:rStyle w:val="Hyperlink"/>
          </w:rPr>
          <w:t xml:space="preserve">https://link.springer.com/article/10.1186/s12913-023-09242-9</w:t>
        </w:r>
      </w:hyperlink>
    </w:p>
    <w:bookmarkEnd w:id="155"/>
    <w:bookmarkStart w:id="157" w:name="ref-ratliff2025"/>
    <w:p>
      <w:pPr>
        <w:pStyle w:val="Bibliography"/>
      </w:pPr>
      <w:r>
        <w:t xml:space="preserve">59.</w:t>
      </w:r>
      <w:r>
        <w:t xml:space="preserve"> </w:t>
      </w:r>
      <w:r>
        <w:t xml:space="preserve">	</w:t>
      </w:r>
      <w:r>
        <w:t xml:space="preserve">Ratliff HC, Lee KA, Buchbinder M, Kelly LA, et al.</w:t>
      </w:r>
      <w:r>
        <w:t xml:space="preserve"> </w:t>
      </w:r>
      <w:r>
        <w:t xml:space="preserve">Organizational resilience in healthcare: a scoping review</w:t>
      </w:r>
      <w:r>
        <w:t xml:space="preserve">. Journal of Healthcare Management [Internet]. 2025;70(3). Available from:</w:t>
      </w:r>
      <w:r>
        <w:t xml:space="preserve"> </w:t>
      </w:r>
      <w:hyperlink r:id="rId156">
        <w:r>
          <w:rPr>
            <w:rStyle w:val="Hyperlink"/>
          </w:rPr>
          <w:t xml:space="preserve">https://journals.lww.com/jhmonline/fulltext/2025/05000/organizational_resilience_in_healthcare__a_scoping.4.aspx</w:t>
        </w:r>
      </w:hyperlink>
    </w:p>
    <w:bookmarkEnd w:id="157"/>
    <w:bookmarkStart w:id="159" w:name="ref-ellis2026"/>
    <w:p>
      <w:pPr>
        <w:pStyle w:val="Bibliography"/>
      </w:pPr>
      <w:r>
        <w:t xml:space="preserve">60.</w:t>
      </w:r>
      <w:r>
        <w:t xml:space="preserve"> </w:t>
      </w:r>
      <w:r>
        <w:t xml:space="preserve">	</w:t>
      </w:r>
      <w:r>
        <w:t xml:space="preserve">Ellis LA, Lyng HB, Haraldseid-Driftland C, Saba M, et al.</w:t>
      </w:r>
      <w:r>
        <w:t xml:space="preserve"> </w:t>
      </w:r>
      <w:r>
        <w:t xml:space="preserve">From theory to measurement: Development and initial validation of the Resilience in Healthcare Capacities Assessment (RHCA)</w:t>
      </w:r>
      <w:r>
        <w:t xml:space="preserve">. Applied Ergonomics [Internet]. 2026; Available from:</w:t>
      </w:r>
      <w:r>
        <w:t xml:space="preserve"> </w:t>
      </w:r>
      <w:hyperlink r:id="rId158">
        <w:r>
          <w:rPr>
            <w:rStyle w:val="Hyperlink"/>
          </w:rPr>
          <w:t xml:space="preserve">https://www.sciencedirect.com/science/article/pii/S0003687026000463</w:t>
        </w:r>
      </w:hyperlink>
    </w:p>
    <w:bookmarkEnd w:id="159"/>
    <w:bookmarkStart w:id="161" w:name="ref-alukal2006"/>
    <w:p>
      <w:pPr>
        <w:pStyle w:val="Bibliography"/>
      </w:pPr>
      <w:r>
        <w:t xml:space="preserve">61.</w:t>
      </w:r>
      <w:r>
        <w:t xml:space="preserve"> </w:t>
      </w:r>
      <w:r>
        <w:t xml:space="preserve">	</w:t>
      </w:r>
      <w:r>
        <w:t xml:space="preserve">Alukal VG, Manos A. Lean kaizen: A simplified approach to process improvement [Internet]. Milwaukee, WI: ASQ Quality Press; 2006. Available from:</w:t>
      </w:r>
      <w:r>
        <w:t xml:space="preserve"> </w:t>
      </w:r>
      <w:hyperlink r:id="rId160">
        <w:r>
          <w:rPr>
            <w:rStyle w:val="Hyperlink"/>
          </w:rPr>
          <w:t xml:space="preserve">https://books.google.com/books?id=9uqiEAAAQBAJ</w:t>
        </w:r>
      </w:hyperlink>
    </w:p>
    <w:bookmarkEnd w:id="161"/>
    <w:bookmarkStart w:id="163" w:name="ref-himss2025ucdavis"/>
    <w:p>
      <w:pPr>
        <w:pStyle w:val="Bibliography"/>
      </w:pPr>
      <w:r>
        <w:t xml:space="preserve">62.</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162">
        <w:r>
          <w:rPr>
            <w:rStyle w:val="Hyperlink"/>
          </w:rPr>
          <w:t xml:space="preserve">https://pages.himss.org/LP-HA-Case-Study-UC-Davis.html</w:t>
        </w:r>
      </w:hyperlink>
    </w:p>
    <w:bookmarkEnd w:id="163"/>
    <w:bookmarkStart w:id="165" w:name="ref-kumar2025caos"/>
    <w:p>
      <w:pPr>
        <w:pStyle w:val="Bibliography"/>
      </w:pPr>
      <w:r>
        <w:t xml:space="preserve">63.</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 Health Care Analysis [Internet]. 2025; Available from:</w:t>
      </w:r>
      <w:r>
        <w:t xml:space="preserve"> </w:t>
      </w:r>
      <w:hyperlink r:id="rId164">
        <w:r>
          <w:rPr>
            <w:rStyle w:val="Hyperlink"/>
          </w:rPr>
          <w:t xml:space="preserve">https://link.springer.com/article/10.1007/s10728-025-00537-y</w:t>
        </w:r>
      </w:hyperlink>
    </w:p>
    <w:bookmarkEnd w:id="165"/>
    <w:bookmarkStart w:id="167" w:name="ref-labkoff2024"/>
    <w:p>
      <w:pPr>
        <w:pStyle w:val="Bibliography"/>
      </w:pPr>
      <w:r>
        <w:t xml:space="preserve">64.</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 Journal of the American Medical Informatics Association [Internet]. 2024;31(11):2730. Available from:</w:t>
      </w:r>
      <w:r>
        <w:t xml:space="preserve"> </w:t>
      </w:r>
      <w:hyperlink r:id="rId166">
        <w:r>
          <w:rPr>
            <w:rStyle w:val="Hyperlink"/>
          </w:rPr>
          <w:t xml:space="preserve">https://academic.oup.com/jamia/article-abstract/31/11/2730/7776823</w:t>
        </w:r>
      </w:hyperlink>
    </w:p>
    <w:bookmarkEnd w:id="167"/>
    <w:bookmarkStart w:id="169" w:name="ref-loshin2010"/>
    <w:p>
      <w:pPr>
        <w:pStyle w:val="Bibliography"/>
      </w:pPr>
      <w:r>
        <w:t xml:space="preserve">65.</w:t>
      </w:r>
      <w:r>
        <w:t xml:space="preserve"> </w:t>
      </w:r>
      <w:r>
        <w:t xml:space="preserve">	</w:t>
      </w:r>
      <w:r>
        <w:t xml:space="preserve">Loshin D.</w:t>
      </w:r>
      <w:r>
        <w:t xml:space="preserve"> </w:t>
      </w:r>
      <w:r>
        <w:t xml:space="preserve">Master Data Management</w:t>
      </w:r>
      <w:r>
        <w:t xml:space="preserve"> </w:t>
      </w:r>
      <w:r>
        <w:t xml:space="preserve">[Internet]. Morgan Kaufmann; 2010. Available from:</w:t>
      </w:r>
      <w:r>
        <w:t xml:space="preserve"> </w:t>
      </w:r>
      <w:hyperlink r:id="rId168">
        <w:r>
          <w:rPr>
            <w:rStyle w:val="Hyperlink"/>
          </w:rPr>
          <w:t xml:space="preserve">https://books.google.com/books?id=dJtmVz3nrOUC</w:t>
        </w:r>
      </w:hyperlink>
    </w:p>
    <w:bookmarkEnd w:id="169"/>
    <w:bookmarkStart w:id="171" w:name="ref-kalyanasundaram2025"/>
    <w:p>
      <w:pPr>
        <w:pStyle w:val="Bibliography"/>
      </w:pPr>
      <w:r>
        <w:t xml:space="preserve">66.</w:t>
      </w:r>
      <w:r>
        <w:t xml:space="preserve"> </w:t>
      </w:r>
      <w:r>
        <w:t xml:space="preserve">	</w:t>
      </w:r>
      <w:r>
        <w:t xml:space="preserve">Kalyanasundaram S.</w:t>
      </w:r>
      <w:r>
        <w:t xml:space="preserve"> </w:t>
      </w:r>
      <w:r>
        <w:t xml:space="preserve">Data Lake Governance – Establishing a Single Source of Truth in Healthcare Enterprises</w:t>
      </w:r>
      <w:r>
        <w:t xml:space="preserve">. International Journal of Emerging Trends in Computer Science and Information Technology [Internet]. 2025; Available from:</w:t>
      </w:r>
      <w:r>
        <w:t xml:space="preserve"> </w:t>
      </w:r>
      <w:hyperlink r:id="rId170">
        <w:r>
          <w:rPr>
            <w:rStyle w:val="Hyperlink"/>
          </w:rPr>
          <w:t xml:space="preserve">https://www.ijetcsit.org/index.php/ijetcsit/article/view/522</w:t>
        </w:r>
      </w:hyperlink>
    </w:p>
    <w:bookmarkEnd w:id="171"/>
    <w:bookmarkStart w:id="173" w:name="ref-ipeirotis2025"/>
    <w:p>
      <w:pPr>
        <w:pStyle w:val="Bibliography"/>
      </w:pPr>
      <w:r>
        <w:t xml:space="preserve">67.</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2">
        <w:r>
          <w:rPr>
            <w:rStyle w:val="Hyperlink"/>
          </w:rPr>
          <w:t xml:space="preserve">https://arxiv.org/abs/2511.14718</w:t>
        </w:r>
      </w:hyperlink>
    </w:p>
    <w:bookmarkEnd w:id="173"/>
    <w:bookmarkStart w:id="175" w:name="ref-ibm2022"/>
    <w:p>
      <w:pPr>
        <w:pStyle w:val="Bibliography"/>
      </w:pPr>
      <w:r>
        <w:t xml:space="preserve">68.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74">
        <w:r>
          <w:rPr>
            <w:rStyle w:val="Hyperlink"/>
          </w:rPr>
          <w:t xml:space="preserve">https://newsroom.ibm.com/2022-01-21-Francisco-Partners-to-Acquire-IBMs-Healthcare-Data-and-Analytics-Assets</w:t>
        </w:r>
      </w:hyperlink>
    </w:p>
    <w:bookmarkEnd w:id="175"/>
    <w:bookmarkStart w:id="177" w:name="ref-strickland2019"/>
    <w:p>
      <w:pPr>
        <w:pStyle w:val="Bibliography"/>
      </w:pPr>
      <w:r>
        <w:t xml:space="preserve">69.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176">
        <w:r>
          <w:rPr>
            <w:rStyle w:val="Hyperlink"/>
          </w:rPr>
          <w:t xml:space="preserve">https://ieeexplore.ieee.org/abstract/document/8678513/</w:t>
        </w:r>
      </w:hyperlink>
    </w:p>
    <w:bookmarkEnd w:id="177"/>
    <w:bookmarkStart w:id="179" w:name="ref-lavito2021"/>
    <w:p>
      <w:pPr>
        <w:pStyle w:val="Bibliography"/>
      </w:pPr>
      <w:r>
        <w:t xml:space="preserve">70.</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78">
        <w:r>
          <w:rPr>
            <w:rStyle w:val="Hyperlink"/>
          </w:rPr>
          <w:t xml:space="preserve">https://www.cnbc.com/2021/01/04/haven-the-amazon-berkshire-jpmorgan-venture-to-disrupt-healthcare-is-disbanding-after-3-years.html</w:t>
        </w:r>
      </w:hyperlink>
    </w:p>
    <w:bookmarkEnd w:id="179"/>
    <w:bookmarkStart w:id="181" w:name="ref-acchiardo2021"/>
    <w:p>
      <w:pPr>
        <w:pStyle w:val="Bibliography"/>
      </w:pPr>
      <w:r>
        <w:t xml:space="preserve">71.</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180">
        <w:r>
          <w:rPr>
            <w:rStyle w:val="Hyperlink"/>
          </w:rPr>
          <w:t xml:space="preserve">https://www.academicradiology.org/article/S1076-6332(21)00140-9/abstract</w:t>
        </w:r>
      </w:hyperlink>
    </w:p>
    <w:bookmarkEnd w:id="181"/>
    <w:bookmarkStart w:id="183" w:name="ref-yang2020"/>
    <w:p>
      <w:pPr>
        <w:pStyle w:val="Bibliography"/>
      </w:pPr>
      <w:r>
        <w:t xml:space="preserve">72.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182">
        <w:r>
          <w:rPr>
            <w:rStyle w:val="Hyperlink"/>
          </w:rPr>
          <w:t xml:space="preserve">https://oulurepo.oulu.fi/bitstream/handle/10024/27921/nbnfi-fe2020050424858.pdf</w:t>
        </w:r>
      </w:hyperlink>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36" Target="https://academic.oup.com/jamia/article-abstract/26/4/294/5308980" TargetMode="External" /><Relationship Type="http://schemas.openxmlformats.org/officeDocument/2006/relationships/hyperlink" Id="rId166" Target="https://academic.oup.com/jamia/article-abstract/31/11/2730/7776823" TargetMode="External"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52" Target="https://academic.oup.com/jpubhealth"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58" Target="https://arxiv.org/abs/1908.01839" TargetMode="External" /><Relationship Type="http://schemas.openxmlformats.org/officeDocument/2006/relationships/hyperlink" Id="rId92" Target="https://arxiv.org/abs/2301.07695" TargetMode="External" /><Relationship Type="http://schemas.openxmlformats.org/officeDocument/2006/relationships/hyperlink" Id="rId94" Target="https://arxiv.org/abs/2403.09226" TargetMode="External" /><Relationship Type="http://schemas.openxmlformats.org/officeDocument/2006/relationships/hyperlink" Id="rId172"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68" Target="https://dl.acm.org/doi/10.1145/1017114.1017118" TargetMode="External" /><Relationship Type="http://schemas.openxmlformats.org/officeDocument/2006/relationships/hyperlink" Id="rId142" Target="https://dl.acm.org/doi/abs/10.1145/320251.320253" TargetMode="External" /><Relationship Type="http://schemas.openxmlformats.org/officeDocument/2006/relationships/hyperlink" Id="rId100" Target="https://doi.org/10.1016/j.ijinfomgt.2003.12.012" TargetMode="External" /><Relationship Type="http://schemas.openxmlformats.org/officeDocument/2006/relationships/hyperlink" Id="rId84" Target="https://doi.org/10.1108/JKM-08-2016-0338" TargetMode="External" /><Relationship Type="http://schemas.openxmlformats.org/officeDocument/2006/relationships/hyperlink" Id="rId106" Target="https://doi.org/10.63282/3050-9262.IJAIDSML-V6I4P130"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64" Target="https://human-resources-health.biomedcentral.com/articles/10.1186/1478-4491-11-35" TargetMode="External" /><Relationship Type="http://schemas.openxmlformats.org/officeDocument/2006/relationships/hyperlink" Id="rId152" Target="https://ieeexplore.ieee.org/abstract/document/11402102/" TargetMode="External" /><Relationship Type="http://schemas.openxmlformats.org/officeDocument/2006/relationships/hyperlink" Id="rId176" Target="https://ieeexplore.ieee.org/abstract/document/8678513/" TargetMode="External" /><Relationship Type="http://schemas.openxmlformats.org/officeDocument/2006/relationships/hyperlink" Id="rId114" Target="https://jamanetwork.com/journals/jamanetworkopen/fullarticle/2777777" TargetMode="External" /><Relationship Type="http://schemas.openxmlformats.org/officeDocument/2006/relationships/hyperlink" Id="rId120" Target="https://journalofbigdata.springeropen.com/articles/10.1186/s40537-019-0170-y" TargetMode="External" /><Relationship Type="http://schemas.openxmlformats.org/officeDocument/2006/relationships/hyperlink" Id="rId156" Target="https://journals.lww.com/jhmonline/fulltext/2025/05000/organizational_resilience_in_healthcare__a_scoping.4.aspx" TargetMode="External" /><Relationship Type="http://schemas.openxmlformats.org/officeDocument/2006/relationships/hyperlink" Id="rId164" Target="https://link.springer.com/article/10.1007/s10728-025-00537-y" TargetMode="External" /><Relationship Type="http://schemas.openxmlformats.org/officeDocument/2006/relationships/hyperlink" Id="rId154" Target="https://link.springer.com/article/10.1186/s12913-023-09242-9" TargetMode="External" /><Relationship Type="http://schemas.openxmlformats.org/officeDocument/2006/relationships/hyperlink" Id="rId124" Target="https://link.springer.com/article/10.1186/s12913-025-12966-5" TargetMode="External" /><Relationship Type="http://schemas.openxmlformats.org/officeDocument/2006/relationships/hyperlink" Id="rId98" Target="https://link.springer.com/content/pdf/10.1007/s10462-022-10246-w.pdf"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88" Target="https://onlinelibrary.wiley.com/doi/abs/10.1111/j.1540-5885.2010.00798.x" TargetMode="External" /><Relationship Type="http://schemas.openxmlformats.org/officeDocument/2006/relationships/hyperlink" Id="rId182"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6" Target="https://papers.ssrn.com/sol3/papers.cfm?abstract_id=5268176" TargetMode="External" /><Relationship Type="http://schemas.openxmlformats.org/officeDocument/2006/relationships/hyperlink" Id="rId134" Target="https://pmc.ncbi.nlm.nih.gov/articles/PMC10785918/" TargetMode="External" /><Relationship Type="http://schemas.openxmlformats.org/officeDocument/2006/relationships/hyperlink" Id="rId80" Target="https://pmc.ncbi.nlm.nih.gov/articles/PMC10802134/" TargetMode="External" /><Relationship Type="http://schemas.openxmlformats.org/officeDocument/2006/relationships/hyperlink" Id="rId82" Target="https://pmc.ncbi.nlm.nih.gov/articles/PMC11919231/" TargetMode="External" /><Relationship Type="http://schemas.openxmlformats.org/officeDocument/2006/relationships/hyperlink" Id="rId118" Target="https://publishing.emanresearch.org/Journal/FullText/6104" TargetMode="External" /><Relationship Type="http://schemas.openxmlformats.org/officeDocument/2006/relationships/hyperlink" Id="rId66" Target="https://pubmed.ncbi.nlm.nih.gov/20054502/" TargetMode="External" /><Relationship Type="http://schemas.openxmlformats.org/officeDocument/2006/relationships/hyperlink" Id="rId140" Target="https://resources.anthropic.com/code-modernization-playbook" TargetMode="External" /><Relationship Type="http://schemas.openxmlformats.org/officeDocument/2006/relationships/hyperlink" Id="rId126" Target="https://search.proquest.com/openview/9a3a9ef301c01ff0129d07f685b8643f/1" TargetMode="External" /><Relationship Type="http://schemas.openxmlformats.org/officeDocument/2006/relationships/hyperlink" Id="rId148"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2" Target="https://www.academia.edu/download/41283190/Design_and_evaluation_of_systems_to_supp20160117-25708-98zc50.pdf" TargetMode="External" /><Relationship Type="http://schemas.openxmlformats.org/officeDocument/2006/relationships/hyperlink" Id="rId180" Target="https://www.academicradiology.org/article/S1076-6332(21)00140-9/abstract"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4" Target="https://www.allmultidisciplinaryjournal.com/uploads/archives/20250306182550_MGE-2025-2-018.1.pdf" TargetMode="External" /><Relationship Type="http://schemas.openxmlformats.org/officeDocument/2006/relationships/hyperlink" Id="rId178"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74" Target="https://www.emerald.com/insight/content/doi/10.1108/13673270610650067/full/html" TargetMode="External" /><Relationship Type="http://schemas.openxmlformats.org/officeDocument/2006/relationships/hyperlink" Id="rId86" Target="https://www.emerald.com/insight/content/doi/10.1108/JKM-03-2024-0262/full/html" TargetMode="External" /><Relationship Type="http://schemas.openxmlformats.org/officeDocument/2006/relationships/hyperlink" Id="rId130" Target="https://www.frontiersin.org/articles/10.3389/fdata.2024.1371680" TargetMode="External" /><Relationship Type="http://schemas.openxmlformats.org/officeDocument/2006/relationships/hyperlink" Id="rId70" Target="https://www.frontiersin.org/articles/10.3389/fpsyg.2019.02730" TargetMode="External" /><Relationship Type="http://schemas.openxmlformats.org/officeDocument/2006/relationships/hyperlink" Id="rId108" Target="https://www.healthcareitnews.com/news/asia/himss24-apac-adoption-model-analytics-maturity-gets-facelift" TargetMode="External" /><Relationship Type="http://schemas.openxmlformats.org/officeDocument/2006/relationships/hyperlink" Id="rId110"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0" Target="https://www.ijaidr.com/papers/2023/1/1299.pdf" TargetMode="External" /><Relationship Type="http://schemas.openxmlformats.org/officeDocument/2006/relationships/hyperlink" Id="rId138"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116" Target="https://www.ingentaconnect.com/content/hsp/mih/2024/00000008/00000004/art00006" TargetMode="External" /><Relationship Type="http://schemas.openxmlformats.org/officeDocument/2006/relationships/hyperlink" Id="rId112" Target="https://www.jmir.org/2024/1/e56316" TargetMode="External" /><Relationship Type="http://schemas.openxmlformats.org/officeDocument/2006/relationships/hyperlink" Id="rId128" Target="https://www.mdpi.com/2504-2289/9/10/256"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4" Target="https://www.quantbeckman.com/api/v1/file/5b240742-bf0d-4f8c-a0f9-cb29fab42611.pdf" TargetMode="External" /><Relationship Type="http://schemas.openxmlformats.org/officeDocument/2006/relationships/hyperlink" Id="rId62" Target="https://www.redjournal.org/article/S0360-3016(16)00260-1/fulltext" TargetMode="External" /><Relationship Type="http://schemas.openxmlformats.org/officeDocument/2006/relationships/hyperlink" Id="rId56" Target="https://www.sciencedirect.com/science/article/abs/pii/S0040162516000500" TargetMode="External" /><Relationship Type="http://schemas.openxmlformats.org/officeDocument/2006/relationships/hyperlink" Id="rId158" Target="https://www.sciencedirect.com/science/article/pii/S0003687026000463" TargetMode="External" /><Relationship Type="http://schemas.openxmlformats.org/officeDocument/2006/relationships/hyperlink" Id="rId132" Target="https://www.sciencedirect.com/science/article/pii/S0031320325004601" TargetMode="External" /><Relationship Type="http://schemas.openxmlformats.org/officeDocument/2006/relationships/hyperlink" Id="rId122" Target="https://www.tandfonline.com/doi/full/10.1080/20479700.2018.1531606" TargetMode="External" /><Relationship Type="http://schemas.openxmlformats.org/officeDocument/2006/relationships/hyperlink" Id="rId96"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36" Target="https://academic.oup.com/jamia/article-abstract/26/4/294/5308980" TargetMode="External" /><Relationship Type="http://schemas.openxmlformats.org/officeDocument/2006/relationships/hyperlink" Id="rId166" Target="https://academic.oup.com/jamia/article-abstract/31/11/2730/7776823" TargetMode="External" /><Relationship Type="http://schemas.openxmlformats.org/officeDocument/2006/relationships/hyperlink" Id="rId46" Target="https://academic.oup.com/jpart/advance-article-abstract/doi/10.1093/jopart/muaf019/8162522" TargetMode="External" /><Relationship Type="http://schemas.openxmlformats.org/officeDocument/2006/relationships/hyperlink" Id="rId52" Target="https://academic.oup.com/jpubhealth" TargetMode="External" /><Relationship Type="http://schemas.openxmlformats.org/officeDocument/2006/relationships/hyperlink" Id="rId48" Target="https://api.wittkieffer.com/wp-content/uploads/2012/10/cio-insights-the-state-of-healthcare-it-leadership-wittkieffer-october-2024.pdf" TargetMode="External" /><Relationship Type="http://schemas.openxmlformats.org/officeDocument/2006/relationships/hyperlink" Id="rId58" Target="https://arxiv.org/abs/1908.01839" TargetMode="External" /><Relationship Type="http://schemas.openxmlformats.org/officeDocument/2006/relationships/hyperlink" Id="rId92" Target="https://arxiv.org/abs/2301.07695" TargetMode="External" /><Relationship Type="http://schemas.openxmlformats.org/officeDocument/2006/relationships/hyperlink" Id="rId94" Target="https://arxiv.org/abs/2403.09226" TargetMode="External" /><Relationship Type="http://schemas.openxmlformats.org/officeDocument/2006/relationships/hyperlink" Id="rId172" Target="https://arxiv.org/abs/2511.14718" TargetMode="External" /><Relationship Type="http://schemas.openxmlformats.org/officeDocument/2006/relationships/hyperlink" Id="rId160" Target="https://books.google.com/books?id=9uqiEAAAQBAJ" TargetMode="External" /><Relationship Type="http://schemas.openxmlformats.org/officeDocument/2006/relationships/hyperlink" Id="rId168" Target="https://books.google.com/books?id=dJtmVz3nrOUC" TargetMode="External" /><Relationship Type="http://schemas.openxmlformats.org/officeDocument/2006/relationships/hyperlink" Id="rId68" Target="https://dl.acm.org/doi/10.1145/1017114.1017118" TargetMode="External" /><Relationship Type="http://schemas.openxmlformats.org/officeDocument/2006/relationships/hyperlink" Id="rId142" Target="https://dl.acm.org/doi/abs/10.1145/320251.320253" TargetMode="External" /><Relationship Type="http://schemas.openxmlformats.org/officeDocument/2006/relationships/hyperlink" Id="rId100" Target="https://doi.org/10.1016/j.ijinfomgt.2003.12.012" TargetMode="External" /><Relationship Type="http://schemas.openxmlformats.org/officeDocument/2006/relationships/hyperlink" Id="rId84" Target="https://doi.org/10.1108/JKM-08-2016-0338" TargetMode="External" /><Relationship Type="http://schemas.openxmlformats.org/officeDocument/2006/relationships/hyperlink" Id="rId106" Target="https://doi.org/10.63282/3050-9262.IJAIDSML-V6I4P130" TargetMode="External" /><Relationship Type="http://schemas.openxmlformats.org/officeDocument/2006/relationships/hyperlink" Id="rId72" Target="https://dspace.flinders.edu.au/jspui/bitstream/2328/3326/4/AACODS_Checklist.pdf" TargetMode="External" /><Relationship Type="http://schemas.openxmlformats.org/officeDocument/2006/relationships/hyperlink" Id="rId64" Target="https://human-resources-health.biomedcentral.com/articles/10.1186/1478-4491-11-35" TargetMode="External" /><Relationship Type="http://schemas.openxmlformats.org/officeDocument/2006/relationships/hyperlink" Id="rId152" Target="https://ieeexplore.ieee.org/abstract/document/11402102/" TargetMode="External" /><Relationship Type="http://schemas.openxmlformats.org/officeDocument/2006/relationships/hyperlink" Id="rId176" Target="https://ieeexplore.ieee.org/abstract/document/8678513/" TargetMode="External" /><Relationship Type="http://schemas.openxmlformats.org/officeDocument/2006/relationships/hyperlink" Id="rId114" Target="https://jamanetwork.com/journals/jamanetworkopen/fullarticle/2777777" TargetMode="External" /><Relationship Type="http://schemas.openxmlformats.org/officeDocument/2006/relationships/hyperlink" Id="rId120" Target="https://journalofbigdata.springeropen.com/articles/10.1186/s40537-019-0170-y" TargetMode="External" /><Relationship Type="http://schemas.openxmlformats.org/officeDocument/2006/relationships/hyperlink" Id="rId156" Target="https://journals.lww.com/jhmonline/fulltext/2025/05000/organizational_resilience_in_healthcare__a_scoping.4.aspx" TargetMode="External" /><Relationship Type="http://schemas.openxmlformats.org/officeDocument/2006/relationships/hyperlink" Id="rId164" Target="https://link.springer.com/article/10.1007/s10728-025-00537-y" TargetMode="External" /><Relationship Type="http://schemas.openxmlformats.org/officeDocument/2006/relationships/hyperlink" Id="rId154" Target="https://link.springer.com/article/10.1186/s12913-023-09242-9" TargetMode="External" /><Relationship Type="http://schemas.openxmlformats.org/officeDocument/2006/relationships/hyperlink" Id="rId124" Target="https://link.springer.com/article/10.1186/s12913-025-12966-5" TargetMode="External" /><Relationship Type="http://schemas.openxmlformats.org/officeDocument/2006/relationships/hyperlink" Id="rId98" Target="https://link.springer.com/content/pdf/10.1007/s10462-022-10246-w.pdf" TargetMode="External" /><Relationship Type="http://schemas.openxmlformats.org/officeDocument/2006/relationships/hyperlink" Id="rId174" Target="https://newsroom.ibm.com/2022-01-21-Francisco-Partners-to-Acquire-IBMs-Healthcare-Data-and-Analytics-Assets" TargetMode="External" /><Relationship Type="http://schemas.openxmlformats.org/officeDocument/2006/relationships/hyperlink" Id="rId60" Target="https://onlinelibrary.wiley.com/doi/abs/10.1057/palgrave.emr.1500057" TargetMode="External" /><Relationship Type="http://schemas.openxmlformats.org/officeDocument/2006/relationships/hyperlink" Id="rId88" Target="https://onlinelibrary.wiley.com/doi/abs/10.1111/j.1540-5885.2010.00798.x" TargetMode="External" /><Relationship Type="http://schemas.openxmlformats.org/officeDocument/2006/relationships/hyperlink" Id="rId182" Target="https://oulurepo.oulu.fi/bitstream/handle/10024/27921/nbnfi-fe2020050424858.pdf" TargetMode="External" /><Relationship Type="http://schemas.openxmlformats.org/officeDocument/2006/relationships/hyperlink" Id="rId162" Target="https://pages.himss.org/LP-HA-Case-Study-UC-Davis.html" TargetMode="External" /><Relationship Type="http://schemas.openxmlformats.org/officeDocument/2006/relationships/hyperlink" Id="rId146" Target="https://papers.ssrn.com/sol3/papers.cfm?abstract_id=5268176" TargetMode="External" /><Relationship Type="http://schemas.openxmlformats.org/officeDocument/2006/relationships/hyperlink" Id="rId134" Target="https://pmc.ncbi.nlm.nih.gov/articles/PMC10785918/" TargetMode="External" /><Relationship Type="http://schemas.openxmlformats.org/officeDocument/2006/relationships/hyperlink" Id="rId80" Target="https://pmc.ncbi.nlm.nih.gov/articles/PMC10802134/" TargetMode="External" /><Relationship Type="http://schemas.openxmlformats.org/officeDocument/2006/relationships/hyperlink" Id="rId82" Target="https://pmc.ncbi.nlm.nih.gov/articles/PMC11919231/" TargetMode="External" /><Relationship Type="http://schemas.openxmlformats.org/officeDocument/2006/relationships/hyperlink" Id="rId118" Target="https://publishing.emanresearch.org/Journal/FullText/6104" TargetMode="External" /><Relationship Type="http://schemas.openxmlformats.org/officeDocument/2006/relationships/hyperlink" Id="rId66" Target="https://pubmed.ncbi.nlm.nih.gov/20054502/" TargetMode="External" /><Relationship Type="http://schemas.openxmlformats.org/officeDocument/2006/relationships/hyperlink" Id="rId140" Target="https://resources.anthropic.com/code-modernization-playbook" TargetMode="External" /><Relationship Type="http://schemas.openxmlformats.org/officeDocument/2006/relationships/hyperlink" Id="rId126" Target="https://search.proquest.com/openview/9a3a9ef301c01ff0129d07f685b8643f/1" TargetMode="External" /><Relationship Type="http://schemas.openxmlformats.org/officeDocument/2006/relationships/hyperlink" Id="rId148" Target="https://search.proquest.com/openview/aa9acce88c488cbb8c6b3c8339062319/1" TargetMode="External" /><Relationship Type="http://schemas.openxmlformats.org/officeDocument/2006/relationships/hyperlink" Id="rId90" Target="https://wendyju.com/publications/18_ijee3593.pdf" TargetMode="External" /><Relationship Type="http://schemas.openxmlformats.org/officeDocument/2006/relationships/hyperlink" Id="rId102" Target="https://www.academia.edu/download/41283190/Design_and_evaluation_of_systems_to_supp20160117-25708-98zc50.pdf" TargetMode="External" /><Relationship Type="http://schemas.openxmlformats.org/officeDocument/2006/relationships/hyperlink" Id="rId180" Target="https://www.academicradiology.org/article/S1076-6332(21)00140-9/abstract" TargetMode="External" /><Relationship Type="http://schemas.openxmlformats.org/officeDocument/2006/relationships/hyperlink" Id="rId54" Target="https://www.ahima.org/news-publications/press-room-press-releases/2023-press-releases/health-information-workforce-shortages-persist-as-ai-shows-promise-ahima-survey-reveals/" TargetMode="External" /><Relationship Type="http://schemas.openxmlformats.org/officeDocument/2006/relationships/hyperlink" Id="rId144" Target="https://www.allmultidisciplinaryjournal.com/uploads/archives/20250306182550_MGE-2025-2-018.1.pdf" TargetMode="External" /><Relationship Type="http://schemas.openxmlformats.org/officeDocument/2006/relationships/hyperlink" Id="rId178" Target="https://www.cnbc.com/2021/01/04/haven-the-amazon-berkshire-jpmorgan-venture-to-disrupt-healthcare-is-disbanding-after-3-years.html" TargetMode="External" /><Relationship Type="http://schemas.openxmlformats.org/officeDocument/2006/relationships/hyperlink" Id="rId78" Target="https://www.diva-portal.org/smash/record.jsf?pid=diva2:1684142" TargetMode="External" /><Relationship Type="http://schemas.openxmlformats.org/officeDocument/2006/relationships/hyperlink" Id="rId74" Target="https://www.emerald.com/insight/content/doi/10.1108/13673270610650067/full/html" TargetMode="External" /><Relationship Type="http://schemas.openxmlformats.org/officeDocument/2006/relationships/hyperlink" Id="rId86" Target="https://www.emerald.com/insight/content/doi/10.1108/JKM-03-2024-0262/full/html" TargetMode="External" /><Relationship Type="http://schemas.openxmlformats.org/officeDocument/2006/relationships/hyperlink" Id="rId130" Target="https://www.frontiersin.org/articles/10.3389/fdata.2024.1371680" TargetMode="External" /><Relationship Type="http://schemas.openxmlformats.org/officeDocument/2006/relationships/hyperlink" Id="rId70" Target="https://www.frontiersin.org/articles/10.3389/fpsyg.2019.02730" TargetMode="External" /><Relationship Type="http://schemas.openxmlformats.org/officeDocument/2006/relationships/hyperlink" Id="rId108" Target="https://www.healthcareitnews.com/news/asia/himss24-apac-adoption-model-analytics-maturity-gets-facelift" TargetMode="External" /><Relationship Type="http://schemas.openxmlformats.org/officeDocument/2006/relationships/hyperlink" Id="rId110" Target="https://www.healthcatalyst.com/learn/insights/healthcare-analytics-adoption-model-roadmap-analytic-maturity" TargetMode="External" /><Relationship Type="http://schemas.openxmlformats.org/officeDocument/2006/relationships/hyperlink" Id="rId41" Target="https://www.himss.org/maturity-models/amam/" TargetMode="External" /><Relationship Type="http://schemas.openxmlformats.org/officeDocument/2006/relationships/hyperlink" Id="rId50" Target="https://www.himss.org/resources/the-future-of-workforce/" TargetMode="External" /><Relationship Type="http://schemas.openxmlformats.org/officeDocument/2006/relationships/hyperlink" Id="rId150" Target="https://www.ijaidr.com/papers/2023/1/1299.pdf" TargetMode="External" /><Relationship Type="http://schemas.openxmlformats.org/officeDocument/2006/relationships/hyperlink" Id="rId138" Target="https://www.ijetcsit.org/index.php/ijetcsit/article/view/458" TargetMode="External" /><Relationship Type="http://schemas.openxmlformats.org/officeDocument/2006/relationships/hyperlink" Id="rId170" Target="https://www.ijetcsit.org/index.php/ijetcsit/article/view/522" TargetMode="External" /><Relationship Type="http://schemas.openxmlformats.org/officeDocument/2006/relationships/hyperlink" Id="rId116" Target="https://www.ingentaconnect.com/content/hsp/mih/2024/00000008/00000004/art00006" TargetMode="External" /><Relationship Type="http://schemas.openxmlformats.org/officeDocument/2006/relationships/hyperlink" Id="rId112" Target="https://www.jmir.org/2024/1/e56316" TargetMode="External" /><Relationship Type="http://schemas.openxmlformats.org/officeDocument/2006/relationships/hyperlink" Id="rId128" Target="https://www.mdpi.com/2504-2289/9/10/256" TargetMode="External" /><Relationship Type="http://schemas.openxmlformats.org/officeDocument/2006/relationships/hyperlink" Id="rId76" Target="https://www.nsinursingsolutions.com/documents/library/nsi_national_health_care_retention_report.pdf" TargetMode="External" /><Relationship Type="http://schemas.openxmlformats.org/officeDocument/2006/relationships/hyperlink" Id="rId43" Target="https://www.nyulawreview.org/issues/volume-94-number-4/data-standardization/" TargetMode="External" /><Relationship Type="http://schemas.openxmlformats.org/officeDocument/2006/relationships/hyperlink" Id="rId104" Target="https://www.quantbeckman.com/api/v1/file/5b240742-bf0d-4f8c-a0f9-cb29fab42611.pdf" TargetMode="External" /><Relationship Type="http://schemas.openxmlformats.org/officeDocument/2006/relationships/hyperlink" Id="rId62" Target="https://www.redjournal.org/article/S0360-3016(16)00260-1/fulltext" TargetMode="External" /><Relationship Type="http://schemas.openxmlformats.org/officeDocument/2006/relationships/hyperlink" Id="rId56" Target="https://www.sciencedirect.com/science/article/abs/pii/S0040162516000500" TargetMode="External" /><Relationship Type="http://schemas.openxmlformats.org/officeDocument/2006/relationships/hyperlink" Id="rId158" Target="https://www.sciencedirect.com/science/article/pii/S0003687026000463" TargetMode="External" /><Relationship Type="http://schemas.openxmlformats.org/officeDocument/2006/relationships/hyperlink" Id="rId132" Target="https://www.sciencedirect.com/science/article/pii/S0031320325004601" TargetMode="External" /><Relationship Type="http://schemas.openxmlformats.org/officeDocument/2006/relationships/hyperlink" Id="rId122" Target="https://www.tandfonline.com/doi/full/10.1080/20479700.2018.1531606" TargetMode="External" /><Relationship Type="http://schemas.openxmlformats.org/officeDocument/2006/relationships/hyperlink" Id="rId96"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healthcare analytics, socio-technical systems, query governance, natural language to SQL, SECI model, workforce turnover, design science research</cp:keywords>
  <dcterms:created xsi:type="dcterms:W3CDTF">2026-03-28T20:21:53Z</dcterms:created>
  <dcterms:modified xsi:type="dcterms:W3CDTF">2026-03-28T20:21:53Z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Semantic Governance (HiL-SG).HiL-SG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Analytics Resilience Index (ARI) proposes a measurement instrument that extends static maturity assessments with a complementary resilience dimension, quantifying an organization’s ability to sustain analytical capability despite staff churn.A critical objection, the “Validator Paradox” (who validates the AI when experts leave?), is resolved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March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ies>
</file>