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Multimedia Appendix</w:t>
      </w:r>
    </w:p>
    <w:p>
      <w:pPr>
        <w:pStyle w:val="Author"/>
      </w:pPr>
      <w:r>
        <w:t xml:space="preserve">Samuel T Harrold, Yuimedi, Inc.</w:t>
      </w:r>
    </w:p>
    <w:p>
      <w:pPr>
        <w:pStyle w:val="Date"/>
      </w:pPr>
      <w:r>
        <w:t xml:space="preserve">July 2026</w:t>
      </w:r>
    </w:p>
    <w:bookmarkStart w:id="45" w:name="multimedia-appendix-2"/>
    <w:p>
      <w:pPr>
        <w:pStyle w:val="Heading1"/>
      </w:pPr>
      <w:r>
        <w:t xml:space="preserve">Multimedia Appendix 2</w:t>
      </w:r>
    </w:p>
    <w:bookmarkStart w:id="12" w:name="X19af4f9ef8ebb83cdb07f2fec26b765483a3494"/>
    <w:p>
      <w:pPr>
        <w:pStyle w:val="Heading2"/>
      </w:pPr>
      <w:r>
        <w:t xml:space="preserve">Three-Pillar Organizational Assessment Rubric</w:t>
      </w:r>
    </w:p>
    <w:p>
      <w:pPr>
        <w:pStyle w:val="FirstParagraph"/>
      </w:pPr>
      <w:r>
        <w:t xml:space="preserve">This appendix presents the full Three-Pillar Assessment Rubric proposed in the main paper (section</w:t>
      </w:r>
      <w:r>
        <w:t xml:space="preserve"> </w:t>
      </w:r>
      <w:r>
        <w:t xml:space="preserve">“The Three-Pillar Rubric”</w:t>
      </w:r>
      <w:r>
        <w:t xml:space="preserve">). Each indicator is scored as Low, Medium, or High Strength using evidence-based anchors from the literature reviewed in the main paper’s Evidence Base section. Organizations scoring predominantly</w:t>
      </w:r>
      <w:r>
        <w:t xml:space="preserve"> </w:t>
      </w:r>
      <w:r>
        <w:t xml:space="preserve">“Low Strength”</w:t>
      </w:r>
      <w:r>
        <w:t xml:space="preserve"> </w:t>
      </w:r>
      <w:r>
        <w:t xml:space="preserve">across multiple pillars face the self-reinforcing degradation cycle that the framework identifies as the central threat.</w:t>
      </w:r>
    </w:p>
    <w:bookmarkStart w:id="9" w:name="pillar-1-analytics-maturity"/>
    <w:p>
      <w:pPr>
        <w:pStyle w:val="Heading3"/>
      </w:pPr>
      <w:r>
        <w:t xml:space="preserve">Pillar 1: Analytics Maturity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Med.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HIMSS AMAM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Stages 0-2: Fragmented data, limited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Stages 3-4: Integrated warehouse, standardized 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Stages 5-7: Predictive analytics, 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himss2024">
              <w:r>
                <w:rPr>
                  <w:rStyle w:val="Hyperlink"/>
                </w:rPr>
                <w:t xml:space="preserve">1</w:t>
              </w:r>
            </w:hyperlink>
            <w:r>
              <w:t xml:space="preserve">,</w:t>
            </w:r>
            <w:hyperlink w:anchor="ref-himss2024news">
              <w:r>
                <w:rPr>
                  <w:rStyle w:val="Hyperlink"/>
                </w:rPr>
                <w:t xml:space="preserve">2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Self-service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None; all analytics require IT 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Partial; BI tools available but underutilized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Widespread; clinical staff access data 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health2020">
              <w:r>
                <w:rPr>
                  <w:rStyle w:val="Hyperlink"/>
                </w:rPr>
                <w:t xml:space="preserve">3</w:t>
              </w:r>
            </w:hyperlink>
            <w:r>
              <w:t xml:space="preserve">,</w:t>
            </w:r>
            <w:hyperlink w:anchor="ref-shahbaz2019">
              <w:r>
                <w:rPr>
                  <w:rStyle w:val="Hyperlink"/>
                </w:rPr>
                <w:t xml:space="preserve">4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AI/NL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NL2SQL or conversational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programs or evaluation underway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language query capability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ziletti2024">
              <w:r>
                <w:rPr>
                  <w:rStyle w:val="Hyperlink"/>
                </w:rPr>
                <w:t xml:space="preserve">5</w:t>
              </w:r>
            </w:hyperlink>
            <w:r>
              <w:t xml:space="preserve">,</w:t>
            </w:r>
            <w:hyperlink w:anchor="ref-yuan2019">
              <w:r>
                <w:rPr>
                  <w:rStyle w:val="Hyperlink"/>
                </w:rPr>
                <w:t xml:space="preserve">6</w:t>
              </w:r>
            </w:hyperlink>
            <w:r>
              <w:t xml:space="preserve">]</w:t>
            </w:r>
          </w:p>
        </w:tc>
      </w:tr>
    </w:tbl>
    <w:bookmarkEnd w:id="9"/>
    <w:bookmarkStart w:id="10" w:name="pillar-2-workforce-agility"/>
    <w:p>
      <w:pPr>
        <w:pStyle w:val="Heading3"/>
      </w:pPr>
      <w:r>
        <w:t xml:space="preserve">Pillar 2: Workforce Agility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Med.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First-year analytics staff turnover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&gt;30% (High instability)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&lt;15% (High stability)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nsi2025">
              <w:r>
                <w:rPr>
                  <w:rStyle w:val="Hyperlink"/>
                </w:rPr>
                <w:t xml:space="preserve">7</w:t>
              </w:r>
            </w:hyperlink>
            <w:r>
              <w:t xml:space="preserve">,</w:t>
            </w:r>
            <w:hyperlink w:anchor="ref-hackney2024">
              <w:r>
                <w:rPr>
                  <w:rStyle w:val="Hyperlink"/>
                </w:rPr>
                <w:t xml:space="preserve">8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Avg. leadership tenure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wittkieffer2024">
              <w:r>
                <w:rPr>
                  <w:rStyle w:val="Hyperlink"/>
                </w:rPr>
                <w:t xml:space="preserve">9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expertise held by 3 or fewer individuals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documentation; some cross-training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expertise; documented 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massingham2018">
              <w:r>
                <w:rPr>
                  <w:rStyle w:val="Hyperlink"/>
                </w:rPr>
                <w:t xml:space="preserve">10</w:t>
              </w:r>
            </w:hyperlink>
            <w:r>
              <w:t xml:space="preserve">,</w:t>
            </w:r>
            <w:hyperlink w:anchor="ref-foss2007">
              <w:r>
                <w:rPr>
                  <w:rStyle w:val="Hyperlink"/>
                </w:rPr>
                <w:t xml:space="preserve">11</w:t>
              </w:r>
            </w:hyperlink>
            <w:r>
              <w:t xml:space="preserve">]</w:t>
            </w:r>
          </w:p>
        </w:tc>
      </w:tr>
    </w:tbl>
    <w:bookmarkEnd w:id="10"/>
    <w:bookmarkStart w:id="11" w:name="pillar-3-technical-enablement"/>
    <w:p>
      <w:pPr>
        <w:pStyle w:val="Heading3"/>
      </w:pPr>
      <w:r>
        <w:t xml:space="preserve">Pillar 3: Technical Enablement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Med.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SQL/technical expertise required for all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queue for complex queries; basic self-service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language or visual query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shahbaz2019">
              <w:r>
                <w:rPr>
                  <w:rStyle w:val="Hyperlink"/>
                </w:rPr>
                <w:t xml:space="preserve">4</w:t>
              </w:r>
            </w:hyperlink>
            <w:r>
              <w:t xml:space="preserve">,</w:t>
            </w:r>
            <w:hyperlink w:anchor="ref-yuan2019">
              <w:r>
                <w:rPr>
                  <w:rStyle w:val="Hyperlink"/>
                </w:rPr>
                <w:t xml:space="preserve">6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Interoperability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Fragmented systems; manual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integration; some automated 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data platform; real-time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gal2019">
              <w:r>
                <w:rPr>
                  <w:rStyle w:val="Hyperlink"/>
                </w:rPr>
                <w:t xml:space="preserve">12</w:t>
              </w:r>
            </w:hyperlink>
            <w:r>
              <w:t xml:space="preserve">,</w:t>
            </w:r>
            <w:hyperlink w:anchor="ref-zhang2024">
              <w:r>
                <w:rPr>
                  <w:rStyle w:val="Hyperlink"/>
                </w:rPr>
                <w:t xml:space="preserve">13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Hard-coded reports break on schema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semantic layer; some automated 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layer adapts; CI/CD detects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mannapur2025">
              <w:r>
                <w:rPr>
                  <w:rStyle w:val="Hyperlink"/>
                </w:rPr>
                <w:t xml:space="preserve">14</w:t>
              </w:r>
            </w:hyperlink>
            <w:r>
              <w:t xml:space="preserve">,</w:t>
            </w:r>
            <w:hyperlink w:anchor="ref-battula2025">
              <w:r>
                <w:rPr>
                  <w:rStyle w:val="Hyperlink"/>
                </w:rPr>
                <w:t xml:space="preserve">15</w:t>
              </w:r>
            </w:hyperlink>
            <w:r>
              <w:t xml:space="preserve">]</w:t>
            </w:r>
          </w:p>
        </w:tc>
      </w:tr>
    </w:tbl>
    <w:bookmarkEnd w:id="11"/>
    <w:bookmarkEnd w:id="1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14" w:name="ref-himss2024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HIMSS Analytics.</w:t>
      </w:r>
      <w:r>
        <w:t xml:space="preserve"> </w:t>
      </w:r>
      <w:r>
        <w:rPr>
          <w:i/>
          <w:iCs/>
        </w:rPr>
        <w:t xml:space="preserve">Analytics maturity assessment model (AMAM) global report. Healthcare Information and Management Systems Society</w:t>
      </w:r>
      <w:r>
        <w:t xml:space="preserve">.</w:t>
      </w:r>
      <w:r>
        <w:t xml:space="preserve"> </w:t>
      </w:r>
      <w:r>
        <w:t xml:space="preserve">HIMSS Analytics</w:t>
      </w:r>
      <w:r>
        <w:t xml:space="preserve">; 2024.</w:t>
      </w:r>
      <w:r>
        <w:t xml:space="preserve"> </w:t>
      </w:r>
      <w:hyperlink r:id="rId13">
        <w:r>
          <w:rPr>
            <w:rStyle w:val="Hyperlink"/>
          </w:rPr>
          <w:t xml:space="preserve">https://www.himss.org/maturity-models/amam/</w:t>
        </w:r>
      </w:hyperlink>
    </w:p>
    <w:bookmarkEnd w:id="14"/>
    <w:bookmarkStart w:id="16" w:name="ref-himss2024news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Healthcare IT News.</w:t>
      </w:r>
      <w:r>
        <w:t xml:space="preserve"> </w:t>
      </w:r>
      <w:r>
        <w:t xml:space="preserve">At HIMSS24 APAC, the Adoption Model for Analytics Maturity gets facelift</w:t>
      </w:r>
      <w:r>
        <w:t xml:space="preserve">. Published online 2024.</w:t>
      </w:r>
      <w:r>
        <w:t xml:space="preserve"> </w:t>
      </w:r>
      <w:hyperlink r:id="rId15">
        <w:r>
          <w:rPr>
            <w:rStyle w:val="Hyperlink"/>
          </w:rPr>
          <w:t xml:space="preserve">https://www.healthcareitnews.com/news/asia/himss24-apac-adoption-model-analytics-maturity-gets-facelift</w:t>
        </w:r>
      </w:hyperlink>
    </w:p>
    <w:bookmarkEnd w:id="16"/>
    <w:bookmarkStart w:id="18" w:name="ref-health2020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Health Catalyst.</w:t>
      </w:r>
      <w:r>
        <w:t xml:space="preserve"> </w:t>
      </w:r>
      <w:r>
        <w:t xml:space="preserve">The healthcare analytics adoption model: A roadmap to analytic maturity</w:t>
      </w:r>
      <w:r>
        <w:t xml:space="preserve">. Published online 2020.</w:t>
      </w:r>
      <w:r>
        <w:t xml:space="preserve"> </w:t>
      </w:r>
      <w:hyperlink r:id="rId17">
        <w:r>
          <w:rPr>
            <w:rStyle w:val="Hyperlink"/>
          </w:rPr>
          <w:t xml:space="preserve">https://www.healthcatalyst.com/learn/insights/healthcare-analytics-adoption-model-roadmap-analytic-maturity</w:t>
        </w:r>
      </w:hyperlink>
    </w:p>
    <w:bookmarkEnd w:id="18"/>
    <w:bookmarkStart w:id="20" w:name="ref-shahbaz2019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Shahbaz M, Gao C, Zhai L, Shahzad F, Hu Y.</w:t>
      </w:r>
      <w:r>
        <w:t xml:space="preserve"> </w:t>
      </w:r>
      <w:r>
        <w:t xml:space="preserve">Investigating the adoption of big data analytics in healthcare: The moderating role of resistance to change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Big Data</w:t>
      </w:r>
      <w:r>
        <w:t xml:space="preserve">. 2019;6(1). doi:</w:t>
      </w:r>
      <w:hyperlink r:id="rId19">
        <w:r>
          <w:rPr>
            <w:rStyle w:val="Hyperlink"/>
          </w:rPr>
          <w:t xml:space="preserve">10.1186/s40537-019-0170-y</w:t>
        </w:r>
      </w:hyperlink>
    </w:p>
    <w:bookmarkEnd w:id="20"/>
    <w:bookmarkStart w:id="22" w:name="ref-ziletti2024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Ziletti A, D’Ambrosi L.</w:t>
      </w:r>
      <w:r>
        <w:t xml:space="preserve"> </w:t>
      </w:r>
      <w:r>
        <w:t xml:space="preserve">Retrieval augmented text-to-SQL generation for epidemiological question answering using electronic health records</w:t>
      </w:r>
      <w:r>
        <w:t xml:space="preserve">.</w:t>
      </w:r>
      <w:r>
        <w:t xml:space="preserve"> </w:t>
      </w:r>
      <w:r>
        <w:rPr>
          <w:i/>
          <w:iCs/>
        </w:rPr>
        <w:t xml:space="preserve">NAACL</w:t>
      </w:r>
      <w:r>
        <w:rPr>
          <w:i/>
          <w:iCs/>
        </w:rPr>
        <w:t xml:space="preserve"> </w:t>
      </w:r>
      <w:r>
        <w:rPr>
          <w:i/>
          <w:iCs/>
        </w:rPr>
        <w:t xml:space="preserve">2024 Clinical</w:t>
      </w:r>
      <w:r>
        <w:rPr>
          <w:i/>
          <w:iCs/>
        </w:rPr>
        <w:t xml:space="preserve"> </w:t>
      </w:r>
      <w:r>
        <w:rPr>
          <w:i/>
          <w:iCs/>
        </w:rPr>
        <w:t xml:space="preserve">NLP</w:t>
      </w:r>
      <w:r>
        <w:rPr>
          <w:i/>
          <w:iCs/>
        </w:rPr>
        <w:t xml:space="preserve"> </w:t>
      </w:r>
      <w:r>
        <w:rPr>
          <w:i/>
          <w:iCs/>
        </w:rPr>
        <w:t xml:space="preserve">Workshop</w:t>
      </w:r>
      <w:r>
        <w:t xml:space="preserve">. Published online 2024.</w:t>
      </w:r>
      <w:r>
        <w:t xml:space="preserve"> </w:t>
      </w:r>
      <w:hyperlink r:id="rId21">
        <w:r>
          <w:rPr>
            <w:rStyle w:val="Hyperlink"/>
          </w:rPr>
          <w:t xml:space="preserve">https://arxiv.org/abs/2403.09226</w:t>
        </w:r>
      </w:hyperlink>
    </w:p>
    <w:bookmarkEnd w:id="22"/>
    <w:bookmarkStart w:id="24" w:name="ref-yuan2019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Yuan C, Ryan PB, Ta C, et al.</w:t>
      </w:r>
      <w:r>
        <w:t xml:space="preserve"> </w:t>
      </w:r>
      <w:r>
        <w:t xml:space="preserve">Criteria2Query: a natural language interface to clinical databases for cohort definition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the American Medical Informatics Association</w:t>
      </w:r>
      <w:r>
        <w:t xml:space="preserve">. 2019;26(4):294-305. doi:</w:t>
      </w:r>
      <w:hyperlink r:id="rId23">
        <w:r>
          <w:rPr>
            <w:rStyle w:val="Hyperlink"/>
          </w:rPr>
          <w:t xml:space="preserve">10.1093/jamia/ocy178</w:t>
        </w:r>
      </w:hyperlink>
    </w:p>
    <w:bookmarkEnd w:id="24"/>
    <w:bookmarkStart w:id="26" w:name="ref-nsi2025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NSI Nursing Solutions.</w:t>
      </w:r>
      <w:r>
        <w:t xml:space="preserve"> </w:t>
      </w:r>
      <w:r>
        <w:rPr>
          <w:i/>
          <w:iCs/>
        </w:rPr>
        <w:t xml:space="preserve">2026 NSI National Health Care Retention &amp; RN Staffing Report</w:t>
      </w:r>
      <w:r>
        <w:t xml:space="preserve">. NSI Nursing Solutions; 2026.</w:t>
      </w:r>
      <w:r>
        <w:t xml:space="preserve"> </w:t>
      </w:r>
      <w:hyperlink r:id="rId25">
        <w:r>
          <w:rPr>
            <w:rStyle w:val="Hyperlink"/>
          </w:rPr>
          <w:t xml:space="preserve">https://www.nsinursingsolutions.com/documents/library/nsi_national_health_care_retention_report.pdf</w:t>
        </w:r>
      </w:hyperlink>
    </w:p>
    <w:bookmarkEnd w:id="26"/>
    <w:bookmarkStart w:id="28" w:name="ref-hackney2024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Hackney A.</w:t>
      </w:r>
      <w:r>
        <w:t xml:space="preserve"> </w:t>
      </w:r>
      <w:r>
        <w:rPr>
          <w:i/>
          <w:iCs/>
        </w:rPr>
        <w:t xml:space="preserve">Onboarding New Hires in the Clinical Informatics and Practice Support (CIPS) Department With the Tiered Skills Acquisition Model (TSAM): A Program Evaluation</w:t>
      </w:r>
      <w:r>
        <w:t xml:space="preserve">. PhD thesis. ProQuest Dissertations; 2024.</w:t>
      </w:r>
      <w:r>
        <w:t xml:space="preserve"> </w:t>
      </w:r>
      <w:hyperlink r:id="rId27">
        <w:r>
          <w:rPr>
            <w:rStyle w:val="Hyperlink"/>
          </w:rPr>
          <w:t xml:space="preserve">https://search.proquest.com/openview/9a3a9ef301c01ff0129d07f685b8643f/1</w:t>
        </w:r>
      </w:hyperlink>
    </w:p>
    <w:bookmarkEnd w:id="28"/>
    <w:bookmarkStart w:id="30" w:name="ref-wittkieffer2024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WittKieffer.</w:t>
      </w:r>
      <w:r>
        <w:t xml:space="preserve"> </w:t>
      </w:r>
      <w:r>
        <w:rPr>
          <w:i/>
          <w:iCs/>
        </w:rPr>
        <w:t xml:space="preserve">CIO Insights: The State of Healthcare IT Leadership</w:t>
      </w:r>
      <w:r>
        <w:t xml:space="preserve">. WittKieffer; 2024.</w:t>
      </w:r>
      <w:r>
        <w:t xml:space="preserve"> </w:t>
      </w:r>
      <w:hyperlink r:id="rId29">
        <w:r>
          <w:rPr>
            <w:rStyle w:val="Hyperlink"/>
          </w:rPr>
          <w:t xml:space="preserve">https://api.wittkieffer.com/wp-content/uploads/2012/10/cio-insights-the-state-of-healthcare-it-leadership-wittkieffer-october-2024.pdf</w:t>
        </w:r>
      </w:hyperlink>
    </w:p>
    <w:bookmarkEnd w:id="30"/>
    <w:bookmarkStart w:id="32" w:name="ref-massingham2018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Massingham PR.</w:t>
      </w:r>
      <w:r>
        <w:t xml:space="preserve"> </w:t>
      </w:r>
      <w:r>
        <w:t xml:space="preserve">Measuring the impact of knowledge loss: A longitudinal study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Knowledge Management</w:t>
      </w:r>
      <w:r>
        <w:t xml:space="preserve">. 2018;22(4):721-758. doi:</w:t>
      </w:r>
      <w:hyperlink r:id="rId31">
        <w:r>
          <w:rPr>
            <w:rStyle w:val="Hyperlink"/>
          </w:rPr>
          <w:t xml:space="preserve">10.1108/JKM-08-2016-0338</w:t>
        </w:r>
      </w:hyperlink>
    </w:p>
    <w:bookmarkEnd w:id="32"/>
    <w:bookmarkStart w:id="34" w:name="ref-foss2007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Foss NJ.</w:t>
      </w:r>
      <w:r>
        <w:t xml:space="preserve"> </w:t>
      </w:r>
      <w:r>
        <w:t xml:space="preserve">The emerging knowledge governance approach: Challenges and characteristics</w:t>
      </w:r>
      <w:r>
        <w:t xml:space="preserve">.</w:t>
      </w:r>
      <w:r>
        <w:t xml:space="preserve"> </w:t>
      </w:r>
      <w:r>
        <w:rPr>
          <w:i/>
          <w:iCs/>
        </w:rPr>
        <w:t xml:space="preserve">Organization</w:t>
      </w:r>
      <w:r>
        <w:t xml:space="preserve">. 2007;14(1):29-52. doi:</w:t>
      </w:r>
      <w:hyperlink r:id="rId33">
        <w:r>
          <w:rPr>
            <w:rStyle w:val="Hyperlink"/>
          </w:rPr>
          <w:t xml:space="preserve">10.1177/1350508407071859</w:t>
        </w:r>
      </w:hyperlink>
    </w:p>
    <w:bookmarkEnd w:id="34"/>
    <w:bookmarkStart w:id="36" w:name="ref-gal2019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Gal MS, Rubinfeld DL.</w:t>
      </w:r>
      <w:r>
        <w:t xml:space="preserve"> </w:t>
      </w:r>
      <w:r>
        <w:t xml:space="preserve">Data Standardization</w:t>
      </w:r>
      <w:r>
        <w:t xml:space="preserve">.</w:t>
      </w:r>
      <w:r>
        <w:t xml:space="preserve"> </w:t>
      </w:r>
      <w:r>
        <w:rPr>
          <w:i/>
          <w:iCs/>
        </w:rPr>
        <w:t xml:space="preserve">NYU Law Review</w:t>
      </w:r>
      <w:r>
        <w:t xml:space="preserve">. 2019;94(4):737-770.</w:t>
      </w:r>
      <w:r>
        <w:t xml:space="preserve"> </w:t>
      </w:r>
      <w:hyperlink r:id="rId35">
        <w:r>
          <w:rPr>
            <w:rStyle w:val="Hyperlink"/>
          </w:rPr>
          <w:t xml:space="preserve">https://www.nyulawreview.org/issues/volume-94-number-4/data-standardization/</w:t>
        </w:r>
      </w:hyperlink>
    </w:p>
    <w:bookmarkEnd w:id="36"/>
    <w:bookmarkStart w:id="38" w:name="ref-zhang2024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Zhang Y, Callaghan-Koru JA, Koru G.</w:t>
      </w:r>
      <w:r>
        <w:t xml:space="preserve"> </w:t>
      </w:r>
      <w:r>
        <w:t xml:space="preserve">The challenges and opportunities of continuous data quality improvement for healthcare administration data</w:t>
      </w:r>
      <w:r>
        <w:t xml:space="preserve">.</w:t>
      </w:r>
      <w:r>
        <w:t xml:space="preserve"> </w:t>
      </w:r>
      <w:r>
        <w:rPr>
          <w:i/>
          <w:iCs/>
        </w:rPr>
        <w:t xml:space="preserve">JAMIA Open</w:t>
      </w:r>
      <w:r>
        <w:t xml:space="preserve">. 2024;7(3):ooae058. doi:</w:t>
      </w:r>
      <w:hyperlink r:id="rId37">
        <w:r>
          <w:rPr>
            <w:rStyle w:val="Hyperlink"/>
          </w:rPr>
          <w:t xml:space="preserve">10.1093/jamiaopen/ooae058</w:t>
        </w:r>
      </w:hyperlink>
    </w:p>
    <w:bookmarkEnd w:id="38"/>
    <w:bookmarkStart w:id="40" w:name="ref-mannapur2025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Mannapur SB. Understanding data drift and concept drift in machine learning systems.</w:t>
      </w:r>
      <w:r>
        <w:t xml:space="preserve"> </w:t>
      </w:r>
      <w:r>
        <w:rPr>
          <w:i/>
          <w:iCs/>
        </w:rPr>
        <w:t xml:space="preserve">International Journal of Scientific Research in Computer Science, Engineering and Information Technology</w:t>
      </w:r>
      <w:r>
        <w:t xml:space="preserve">. 2025;11(1):318-330. doi:</w:t>
      </w:r>
      <w:hyperlink r:id="rId39">
        <w:r>
          <w:rPr>
            <w:rStyle w:val="Hyperlink"/>
          </w:rPr>
          <w:t xml:space="preserve">10.32628/CSEIT25111239</w:t>
        </w:r>
      </w:hyperlink>
    </w:p>
    <w:bookmarkEnd w:id="40"/>
    <w:bookmarkStart w:id="42" w:name="ref-battula2025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Battula SKY.</w:t>
      </w:r>
      <w:r>
        <w:t xml:space="preserve"> </w:t>
      </w:r>
      <w:r>
        <w:t xml:space="preserve">Adaptive Data Quality Management for Multi-Cloud Healthcare Warehouses: FHIR-Aware Semantics and Unsupervised Thresholding</w:t>
      </w:r>
      <w:r>
        <w:t xml:space="preserve">.</w:t>
      </w:r>
      <w:r>
        <w:t xml:space="preserve"> </w:t>
      </w:r>
      <w:r>
        <w:rPr>
          <w:i/>
          <w:iCs/>
        </w:rPr>
        <w:t xml:space="preserve">International Journal of Artificial Intelligence, Data Science, and Machine Learning</w:t>
      </w:r>
      <w:r>
        <w:t xml:space="preserve">. 2025;6(4):218-226. doi:</w:t>
      </w:r>
      <w:hyperlink r:id="rId41">
        <w:r>
          <w:rPr>
            <w:rStyle w:val="Hyperlink"/>
          </w:rPr>
          <w:t xml:space="preserve">10.63282/3050-9262.IJAIDSML-V6I4P130</w:t>
        </w:r>
      </w:hyperlink>
    </w:p>
    <w:bookmarkEnd w:id="42"/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theme="minorBidi" w:eastAsiaTheme="minorEastAsia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0" w:line="480" w:lineRule="auto"/>
    </w:pPr>
    <w:name w:val="Normal"/>
    <w:qFormat/>
    <w:rPr>
      <w:rFonts w:ascii="Times New Roma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theme="majorBidi" w:eastAsiaTheme="majorEastAsia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theme="majorBidi" w:eastAsiaTheme="majorEastAsia" w:hAnsi="Times New Roman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theme="majorBidi" w:eastAsiaTheme="majorEastAsia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theme="majorBidi" w:eastAsiaTheme="majorEastAsia" w:hAnsi="Times New Roman"/>
      <w:color w:themeTint="A6"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theme="majorBidi" w:eastAsiaTheme="majorEastAsia" w:hAnsi="Times New Roman"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theme="majorBidi" w:eastAsiaTheme="majorEastAsia" w:hAnsi="Times New Roman"/>
      <w:color w:val="000000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theme="majorBidi" w:eastAsiaTheme="majorEastAsia" w:hAnsi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theme="majorBidi" w:eastAsiaTheme="majorEastAsia" w:hAnsi="Times New Roman"/>
      <w:i/>
      <w:iCs/>
      <w:color w:themeTint="A6"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theme="majorBidi" w:eastAsiaTheme="majorEastAsia" w:hAnsi="Times New Roman"/>
      <w:color w:themeTint="A6"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theme="majorBidi" w:eastAsiaTheme="majorEastAsia" w:hAnsi="Times New Roman"/>
      <w:i/>
      <w:iCs/>
      <w:color w:themeTint="D8"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theme="majorBidi" w:eastAsiaTheme="majorEastAsia" w:hAnsi="Times New Roman"/>
      <w:color w:themeTint="D8"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theme="majorBidi" w:eastAsiaTheme="majorEastAsia" w:hAnsi="Times New Roman"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theme="majorBidi" w:eastAsiaTheme="majorEastAsia" w:hAnsi="Times New Roman"/>
      <w:color w:val="000000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theme="majorBidi" w:eastAsiaTheme="majorEastAsia" w:hAnsi="Times New Roman"/>
      <w:color w:val="000000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theme="majorBidi" w:eastAsiaTheme="majorEastAsia" w:hAnsi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theme="majorBidi" w:eastAsiaTheme="majorEastAsia" w:hAnsi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theme="majorBidi" w:eastAsiaTheme="majorEastAsia" w:hAnsi="Times New Roman"/>
      <w:i/>
      <w:iCs/>
      <w:color w:themeTint="A6"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theme="majorBidi" w:eastAsiaTheme="majorEastAsia" w:hAnsi="Times New Roman"/>
      <w:color w:themeTint="A6"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theme="majorBidi" w:eastAsiaTheme="majorEastAsia" w:hAnsi="Times New Roman"/>
      <w:i/>
      <w:iCs/>
      <w:color w:themeTint="D8"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theme="majorBidi" w:eastAsiaTheme="majorEastAsia" w:hAnsi="Times New Roman"/>
      <w:color w:themeTint="D8"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tcPr>
        <w:tcBorders>
          <w:bottom w:color="auto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theme="majorBidi" w:eastAsiaTheme="majorEastAsia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api.wittkieffer.com/wp-content/uploads/2012/10/cio-insights-the-state-of-healthcare-it-leadership-wittkieffer-october-2024.pdf" TargetMode="External" /><Relationship Type="http://schemas.openxmlformats.org/officeDocument/2006/relationships/hyperlink" Id="rId21" Target="https://arxiv.org/abs/2403.09226" TargetMode="External" /><Relationship Type="http://schemas.openxmlformats.org/officeDocument/2006/relationships/hyperlink" Id="rId23" Target="https://doi.org/10.1093/jamia/ocy178" TargetMode="External" /><Relationship Type="http://schemas.openxmlformats.org/officeDocument/2006/relationships/hyperlink" Id="rId37" Target="https://doi.org/10.1093/jamiaopen/ooae058" TargetMode="External" /><Relationship Type="http://schemas.openxmlformats.org/officeDocument/2006/relationships/hyperlink" Id="rId31" Target="https://doi.org/10.1108/JKM-08-2016-0338" TargetMode="External" /><Relationship Type="http://schemas.openxmlformats.org/officeDocument/2006/relationships/hyperlink" Id="rId33" Target="https://doi.org/10.1177/1350508407071859" TargetMode="External" /><Relationship Type="http://schemas.openxmlformats.org/officeDocument/2006/relationships/hyperlink" Id="rId19" Target="https://doi.org/10.1186/s40537-019-0170-y" TargetMode="External" /><Relationship Type="http://schemas.openxmlformats.org/officeDocument/2006/relationships/hyperlink" Id="rId39" Target="https://doi.org/10.32628/CSEIT25111239" TargetMode="External" /><Relationship Type="http://schemas.openxmlformats.org/officeDocument/2006/relationships/hyperlink" Id="rId41" Target="https://doi.org/10.63282/3050-9262.IJAIDSML-V6I4P130" TargetMode="External" /><Relationship Type="http://schemas.openxmlformats.org/officeDocument/2006/relationships/hyperlink" Id="rId27" Target="https://search.proquest.com/openview/9a3a9ef301c01ff0129d07f685b8643f/1" TargetMode="External" /><Relationship Type="http://schemas.openxmlformats.org/officeDocument/2006/relationships/hyperlink" Id="rId15" Target="https://www.healthcareitnews.com/news/asia/himss24-apac-adoption-model-analytics-maturity-gets-facelift" TargetMode="External" /><Relationship Type="http://schemas.openxmlformats.org/officeDocument/2006/relationships/hyperlink" Id="rId17" Target="https://www.healthcatalyst.com/learn/insights/healthcare-analytics-adoption-model-roadmap-analytic-maturity" TargetMode="External" /><Relationship Type="http://schemas.openxmlformats.org/officeDocument/2006/relationships/hyperlink" Id="rId13" Target="https://www.himss.org/maturity-models/amam/" TargetMode="External" /><Relationship Type="http://schemas.openxmlformats.org/officeDocument/2006/relationships/hyperlink" Id="rId25" Target="https://www.nsinursingsolutions.com/documents/library/nsi_national_health_care_retention_report.pdf" TargetMode="External" /><Relationship Type="http://schemas.openxmlformats.org/officeDocument/2006/relationships/hyperlink" Id="rId35" Target="https://www.nyulawreview.org/issues/volume-94-number-4/data-standardizati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api.wittkieffer.com/wp-content/uploads/2012/10/cio-insights-the-state-of-healthcare-it-leadership-wittkieffer-october-2024.pdf" TargetMode="External" /><Relationship Type="http://schemas.openxmlformats.org/officeDocument/2006/relationships/hyperlink" Id="rId21" Target="https://arxiv.org/abs/2403.09226" TargetMode="External" /><Relationship Type="http://schemas.openxmlformats.org/officeDocument/2006/relationships/hyperlink" Id="rId23" Target="https://doi.org/10.1093/jamia/ocy178" TargetMode="External" /><Relationship Type="http://schemas.openxmlformats.org/officeDocument/2006/relationships/hyperlink" Id="rId37" Target="https://doi.org/10.1093/jamiaopen/ooae058" TargetMode="External" /><Relationship Type="http://schemas.openxmlformats.org/officeDocument/2006/relationships/hyperlink" Id="rId31" Target="https://doi.org/10.1108/JKM-08-2016-0338" TargetMode="External" /><Relationship Type="http://schemas.openxmlformats.org/officeDocument/2006/relationships/hyperlink" Id="rId33" Target="https://doi.org/10.1177/1350508407071859" TargetMode="External" /><Relationship Type="http://schemas.openxmlformats.org/officeDocument/2006/relationships/hyperlink" Id="rId19" Target="https://doi.org/10.1186/s40537-019-0170-y" TargetMode="External" /><Relationship Type="http://schemas.openxmlformats.org/officeDocument/2006/relationships/hyperlink" Id="rId39" Target="https://doi.org/10.32628/CSEIT25111239" TargetMode="External" /><Relationship Type="http://schemas.openxmlformats.org/officeDocument/2006/relationships/hyperlink" Id="rId41" Target="https://doi.org/10.63282/3050-9262.IJAIDSML-V6I4P130" TargetMode="External" /><Relationship Type="http://schemas.openxmlformats.org/officeDocument/2006/relationships/hyperlink" Id="rId27" Target="https://search.proquest.com/openview/9a3a9ef301c01ff0129d07f685b8643f/1" TargetMode="External" /><Relationship Type="http://schemas.openxmlformats.org/officeDocument/2006/relationships/hyperlink" Id="rId15" Target="https://www.healthcareitnews.com/news/asia/himss24-apac-adoption-model-analytics-maturity-gets-facelift" TargetMode="External" /><Relationship Type="http://schemas.openxmlformats.org/officeDocument/2006/relationships/hyperlink" Id="rId17" Target="https://www.healthcatalyst.com/learn/insights/healthcare-analytics-adoption-model-roadmap-analytic-maturity" TargetMode="External" /><Relationship Type="http://schemas.openxmlformats.org/officeDocument/2006/relationships/hyperlink" Id="rId13" Target="https://www.himss.org/maturity-models/amam/" TargetMode="External" /><Relationship Type="http://schemas.openxmlformats.org/officeDocument/2006/relationships/hyperlink" Id="rId25" Target="https://www.nsinursingsolutions.com/documents/library/nsi_national_health_care_retention_report.pdf" TargetMode="External" /><Relationship Type="http://schemas.openxmlformats.org/officeDocument/2006/relationships/hyperlink" Id="rId35" Target="https://www.nyulawreview.org/issues/volume-94-number-4/data-standardizati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Multimedia Appendix</dc:title>
  <dc:creator>Samuel T Harrold, Yuimedi, Inc.</dc:creator>
  <dc:language>en-US</dc:language>
  <cp:keywords/>
  <dcterms:created xsi:type="dcterms:W3CDTF">2026-08-10T22:32:59Z</dcterms:created>
  <dcterms:modified xsi:type="dcterms:W3CDTF">2026-08-10T22:32:59Z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/Users/stharrold/Documents/GitHub/yuimedi-paper-20250901/references.bib</vt:lpwstr>
  </property>
  <property fmtid="{D5CDD505-2E9C-101B-9397-08002B2CF9AE}" pid="3" name="book">
    <vt:lpwstr>False</vt:lpwstr>
  </property>
  <property fmtid="{D5CDD505-2E9C-101B-9397-08002B2CF9AE}" pid="4" name="citecolor">
    <vt:lpwstr>green</vt:lpwstr>
  </property>
  <property fmtid="{D5CDD505-2E9C-101B-9397-08002B2CF9AE}" pid="5" name="classoption">
    <vt:lpwstr/>
  </property>
  <property fmtid="{D5CDD505-2E9C-101B-9397-08002B2CF9AE}" pid="6" name="code-block-font-size">
    <vt:lpwstr/>
  </property>
  <property fmtid="{D5CDD505-2E9C-101B-9397-08002B2CF9AE}" pid="7" name="colorlinks">
    <vt:lpwstr>True</vt:lpwstr>
  </property>
  <property fmtid="{D5CDD505-2E9C-101B-9397-08002B2CF9AE}" pid="8" name="correspondence">
    <vt:lpwstr>https://us.yuimedi.com/contact-us/ (include ‘NL2SQL paper’ in message)</vt:lpwstr>
  </property>
  <property fmtid="{D5CDD505-2E9C-101B-9397-08002B2CF9AE}" pid="9" name="csl">
    <vt:lpwstr>/Users/stharrold/Documents/GitHub/yuimedi-paper-20250901/citation-style-ama.csl</vt:lpwstr>
  </property>
  <property fmtid="{D5CDD505-2E9C-101B-9397-08002B2CF9AE}" pid="10" name="date">
    <vt:lpwstr>July 2026</vt:lpwstr>
  </property>
  <property fmtid="{D5CDD505-2E9C-101B-9397-08002B2CF9AE}" pid="11" name="documentclass">
    <vt:lpwstr>article</vt:lpwstr>
  </property>
  <property fmtid="{D5CDD505-2E9C-101B-9397-08002B2CF9AE}" pid="12" name="fontsize">
    <vt:lpwstr>11pt</vt:lpwstr>
  </property>
  <property fmtid="{D5CDD505-2E9C-101B-9397-08002B2CF9AE}" pid="13" name="footer-center">
    <vt:lpwstr/>
  </property>
  <property fmtid="{D5CDD505-2E9C-101B-9397-08002B2CF9AE}" pid="14" name="footer-left">
    <vt:lpwstr/>
  </property>
  <property fmtid="{D5CDD505-2E9C-101B-9397-08002B2CF9AE}" pid="15" name="footer-right">
    <vt:lpwstr/>
  </property>
  <property fmtid="{D5CDD505-2E9C-101B-9397-08002B2CF9AE}" pid="16" name="geometry">
    <vt:lpwstr/>
  </property>
  <property fmtid="{D5CDD505-2E9C-101B-9397-08002B2CF9AE}" pid="17" name="header-includes">
    <vt:lpwstr/>
  </property>
  <property fmtid="{D5CDD505-2E9C-101B-9397-08002B2CF9AE}" pid="18" name="header-left">
    <vt:lpwstr>Health Care Analytics Challenges</vt:lpwstr>
  </property>
  <property fmtid="{D5CDD505-2E9C-101B-9397-08002B2CF9AE}" pid="19" name="header-right">
    <vt:lpwstr>July 2026</vt:lpwstr>
  </property>
  <property fmtid="{D5CDD505-2E9C-101B-9397-08002B2CF9AE}" pid="20" name="linestretch">
    <vt:lpwstr>1.5</vt:lpwstr>
  </property>
  <property fmtid="{D5CDD505-2E9C-101B-9397-08002B2CF9AE}" pid="21" name="link-citations">
    <vt:lpwstr>True</vt:lpwstr>
  </property>
  <property fmtid="{D5CDD505-2E9C-101B-9397-08002B2CF9AE}" pid="22" name="linkcolor">
    <vt:lpwstr>blue</vt:lpwstr>
  </property>
  <property fmtid="{D5CDD505-2E9C-101B-9397-08002B2CF9AE}" pid="23" name="listings">
    <vt:lpwstr>True</vt:lpwstr>
  </property>
  <property fmtid="{D5CDD505-2E9C-101B-9397-08002B2CF9AE}" pid="24" name="listings-no-page-break">
    <vt:lpwstr>True</vt:lpwstr>
  </property>
  <property fmtid="{D5CDD505-2E9C-101B-9397-08002B2CF9AE}" pid="25" name="numbersections">
    <vt:lpwstr>False</vt:lpwstr>
  </property>
  <property fmtid="{D5CDD505-2E9C-101B-9397-08002B2CF9AE}" pid="26" name="orcid">
    <vt:lpwstr>https://orcid.org/0009-0008-4596-6921</vt:lpwstr>
  </property>
  <property fmtid="{D5CDD505-2E9C-101B-9397-08002B2CF9AE}" pid="27" name="papersize">
    <vt:lpwstr>letter</vt:lpwstr>
  </property>
  <property fmtid="{D5CDD505-2E9C-101B-9397-08002B2CF9AE}" pid="28" name="prevent-widows">
    <vt:lpwstr>True</vt:lpwstr>
  </property>
  <property fmtid="{D5CDD505-2E9C-101B-9397-08002B2CF9AE}" pid="29" name="suppress-bibliography">
    <vt:lpwstr>False</vt:lpwstr>
  </property>
  <property fmtid="{D5CDD505-2E9C-101B-9397-08002B2CF9AE}" pid="30" name="titlepage">
    <vt:lpwstr>True</vt:lpwstr>
  </property>
  <property fmtid="{D5CDD505-2E9C-101B-9397-08002B2CF9AE}" pid="31" name="titlepage-color">
    <vt:lpwstr>FFFFFF</vt:lpwstr>
  </property>
  <property fmtid="{D5CDD505-2E9C-101B-9397-08002B2CF9AE}" pid="32" name="titlepage-rule-color">
    <vt:lpwstr>000000</vt:lpwstr>
  </property>
  <property fmtid="{D5CDD505-2E9C-101B-9397-08002B2CF9AE}" pid="33" name="titlepage-rule-height">
    <vt:lpwstr>2</vt:lpwstr>
  </property>
  <property fmtid="{D5CDD505-2E9C-101B-9397-08002B2CF9AE}" pid="34" name="titlepage-text-color">
    <vt:lpwstr>000000</vt:lpwstr>
  </property>
  <property fmtid="{D5CDD505-2E9C-101B-9397-08002B2CF9AE}" pid="35" name="toc">
    <vt:lpwstr>False</vt:lpwstr>
  </property>
  <property fmtid="{D5CDD505-2E9C-101B-9397-08002B2CF9AE}" pid="36" name="urlcolor">
    <vt:lpwstr>blue</vt:lpwstr>
  </property>
</Properties>
</file>