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131</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131</w:t>
        </w:r>
      </w:hyperlink>
      <w:r>
        <w:t xml:space="preserve">,</w:t>
      </w:r>
      <w:hyperlink w:anchor="ref-rivard1987">
        <w:r>
          <w:rPr>
            <w:rStyle w:val="Hyperlink"/>
          </w:rPr>
          <w:t xml:space="preserve">132</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133</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134</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135</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zimmermann2017"/>
    <w:p>
      <w:pPr>
        <w:pStyle w:val="Bibliography"/>
      </w:pPr>
      <w:r>
        <w:t xml:space="preserve">131.</w:t>
      </w:r>
      <w:r>
        <w:t xml:space="preserve"> </w:t>
      </w:r>
      <w:r>
        <w:t xml:space="preserve">	</w:t>
      </w:r>
      <w:r>
        <w:t xml:space="preserve">Zimmermann S, Rentrop C, Felden C.</w:t>
      </w:r>
      <w:r>
        <w:t xml:space="preserve"> </w:t>
      </w:r>
      <w:hyperlink r:id="rId351">
        <w:r>
          <w:rPr>
            <w:rStyle w:val="Hyperlink"/>
          </w:rPr>
          <w:t xml:space="preserve">A Multiple Case Study on the Nature and Management of Shadow Information Technology</w:t>
        </w:r>
      </w:hyperlink>
      <w:r>
        <w:t xml:space="preserve">. Journal of Information Systems. 2017;31(1):79–101.</w:t>
      </w:r>
      <w:r>
        <w:t xml:space="preserve"> </w:t>
      </w:r>
    </w:p>
    <w:bookmarkEnd w:id="352"/>
    <w:bookmarkStart w:id="354" w:name="ref-rivard1987"/>
    <w:p>
      <w:pPr>
        <w:pStyle w:val="Bibliography"/>
      </w:pPr>
      <w:r>
        <w:t xml:space="preserve">132.</w:t>
      </w:r>
      <w:r>
        <w:t xml:space="preserve"> </w:t>
      </w:r>
      <w:r>
        <w:t xml:space="preserve">	</w:t>
      </w:r>
      <w:r>
        <w:t xml:space="preserve">Rivard S.</w:t>
      </w:r>
      <w:r>
        <w:t xml:space="preserve"> </w:t>
      </w:r>
      <w:hyperlink r:id="rId353">
        <w:r>
          <w:rPr>
            <w:rStyle w:val="Hyperlink"/>
          </w:rPr>
          <w:t xml:space="preserve">Successful Implementation of End-User Computing</w:t>
        </w:r>
      </w:hyperlink>
      <w:r>
        <w:t xml:space="preserve">. Interfaces. 1987;17(3):25–33.</w:t>
      </w:r>
      <w:r>
        <w:t xml:space="preserve"> </w:t>
      </w:r>
    </w:p>
    <w:bookmarkEnd w:id="354"/>
    <w:bookmarkStart w:id="356" w:name="ref-kopper2020"/>
    <w:p>
      <w:pPr>
        <w:pStyle w:val="Bibliography"/>
      </w:pPr>
      <w:r>
        <w:t xml:space="preserve">133.</w:t>
      </w:r>
      <w:r>
        <w:t xml:space="preserve"> </w:t>
      </w:r>
      <w:r>
        <w:t xml:space="preserve">	</w:t>
      </w:r>
      <w:r>
        <w:t xml:space="preserve">Kopper A, Westner M, Strahringer S.</w:t>
      </w:r>
      <w:r>
        <w:t xml:space="preserve"> </w:t>
      </w:r>
      <w:hyperlink r:id="rId355">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6"/>
    <w:bookmarkStart w:id="358" w:name="ref-himss2025ucdavis"/>
    <w:p>
      <w:pPr>
        <w:pStyle w:val="Bibliography"/>
      </w:pPr>
      <w:r>
        <w:t xml:space="preserve">134.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7">
        <w:r>
          <w:rPr>
            <w:rStyle w:val="Hyperlink"/>
          </w:rPr>
          <w:t xml:space="preserve">https://pages.himss.org/LP-HA-Case-Study-UC-Davis.html</w:t>
        </w:r>
      </w:hyperlink>
    </w:p>
    <w:bookmarkEnd w:id="358"/>
    <w:bookmarkStart w:id="360" w:name="ref-sezgin2022"/>
    <w:p>
      <w:pPr>
        <w:pStyle w:val="Bibliography"/>
      </w:pPr>
      <w:r>
        <w:t xml:space="preserve">135.</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9">
        <w:r>
          <w:rPr>
            <w:rStyle w:val="Hyperlink"/>
          </w:rPr>
          <w:t xml:space="preserve">https://medinform.jmir.org/2022/2/e32875</w:t>
        </w:r>
      </w:hyperlink>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3"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59"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3"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59"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2026-01-15T03:22:19Z</dcterms:created>
  <dcterms:modified xsi:type="dcterms:W3CDTF">2026-01-15T03:22:19Z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