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</w:t>
      </w:r>
    </w:p>
    <w:p>
      <w:pPr>
        <w:pStyle w:val="Dat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multimedia-appendix-1"/>
    <w:p>
      <w:pPr>
        <w:pStyle w:val="Heading1"/>
      </w:pPr>
      <w:r>
        <w:t xml:space="preserve">Multimedia Appendix 1</w:t>
      </w:r>
    </w:p>
    <w:bookmarkStart w:id="9" w:name="X90f75ebb40d73f3e0fb31374ab2e38ebaf83b91"/>
    <w:p>
      <w:pPr>
        <w:pStyle w:val="Heading2"/>
      </w:pPr>
      <w:r>
        <w:t xml:space="preserve">Appendix A: HIMSS Analytics Maturity Assessment Model (AMAM) Stages</w:t>
      </w:r>
    </w:p>
    <w:tbl>
      <w:tblPr>
        <w:tblStyle w:val="Table"/>
        <w:tblW w:type="pct" w:w="4951"/>
        <w:tblLayout w:type="fixed"/>
        <w:tblLook w:firstRow="1" w:lastRow="0" w:firstColumn="0" w:lastColumn="0" w:noHBand="0" w:noVBand="0" w:val="0020"/>
      </w:tblPr>
      <w:tblGrid>
        <w:gridCol w:w="1092"/>
        <w:gridCol w:w="1209"/>
        <w:gridCol w:w="2770"/>
        <w:gridCol w:w="2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0</w:t>
            </w:r>
          </w:p>
        </w:tc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Basic data capture without integration</w:t>
            </w:r>
          </w:p>
        </w:tc>
        <w:tc>
          <w:tcPr/>
          <w:p>
            <w:pPr>
              <w:pStyle w:val="Compact"/>
            </w:pPr>
            <w:r>
              <w:t xml:space="preserve">Manual data entry, paper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Data Verification</w:t>
            </w:r>
          </w:p>
        </w:tc>
        <w:tc>
          <w:tcPr/>
          <w:p>
            <w:pPr>
              <w:pStyle w:val="Compact"/>
            </w:pPr>
            <w:r>
              <w:t xml:space="preserve">Automated data validation and error checking</w:t>
            </w:r>
          </w:p>
        </w:tc>
        <w:tc>
          <w:tcPr/>
          <w:p>
            <w:pPr>
              <w:pStyle w:val="Compact"/>
            </w:pPr>
            <w:r>
              <w:t xml:space="preserve">Basic quality controls, automated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Data Utilization</w:t>
            </w:r>
          </w:p>
        </w:tc>
        <w:tc>
          <w:tcPr/>
          <w:p>
            <w:pPr>
              <w:pStyle w:val="Compact"/>
            </w:pPr>
            <w:r>
              <w:t xml:space="preserve">Standard reporting and basic analytics</w:t>
            </w:r>
          </w:p>
        </w:tc>
        <w:tc>
          <w:tcPr/>
          <w:p>
            <w:pPr>
              <w:pStyle w:val="Compact"/>
            </w:pPr>
            <w:r>
              <w:t xml:space="preserve">Automated reports, dashboard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Automated Decision Support</w:t>
            </w:r>
          </w:p>
        </w:tc>
        <w:tc>
          <w:tcPr/>
          <w:p>
            <w:pPr>
              <w:pStyle w:val="Compact"/>
            </w:pPr>
            <w:r>
              <w:t xml:space="preserve">Rule-based clinical and operational support</w:t>
            </w:r>
          </w:p>
        </w:tc>
        <w:tc>
          <w:tcPr/>
          <w:p>
            <w:pPr>
              <w:pStyle w:val="Compact"/>
            </w:pPr>
            <w:r>
              <w:t xml:space="preserve">Clinical alerts, automated protocols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Population Health Analytics</w:t>
            </w:r>
          </w:p>
        </w:tc>
        <w:tc>
          <w:tcPr/>
          <w:p>
            <w:pPr>
              <w:pStyle w:val="Compact"/>
            </w:pPr>
            <w:r>
              <w:t xml:space="preserve">Population-level analysis and intervention</w:t>
            </w:r>
          </w:p>
        </w:tc>
        <w:tc>
          <w:tcPr/>
          <w:p>
            <w:pPr>
              <w:pStyle w:val="Compact"/>
            </w:pPr>
            <w:r>
              <w:t xml:space="preserve">Cohort identification, risk stratification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</w:pPr>
            <w:r>
              <w:t xml:space="preserve">Statistical modeling and predictive capabilities</w:t>
            </w:r>
          </w:p>
        </w:tc>
        <w:tc>
          <w:tcPr/>
          <w:p>
            <w:pPr>
              <w:pStyle w:val="Compact"/>
            </w:pPr>
            <w:r>
              <w:t xml:space="preserve">Predictive models, trend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6</w:t>
            </w:r>
          </w:p>
        </w:tc>
        <w:tc>
          <w:tcPr/>
          <w:p>
            <w:pPr>
              <w:pStyle w:val="Compact"/>
            </w:pPr>
            <w:r>
              <w:t xml:space="preserve">Cognitive Analytics</w:t>
            </w:r>
          </w:p>
        </w:tc>
        <w:tc>
          <w:tcPr/>
          <w:p>
            <w:pPr>
              <w:pStyle w:val="Compact"/>
            </w:pPr>
            <w:r>
              <w:t xml:space="preserve">Machine learning and AI integration</w:t>
            </w:r>
          </w:p>
        </w:tc>
        <w:tc>
          <w:tcPr/>
          <w:p>
            <w:pPr>
              <w:pStyle w:val="Compact"/>
            </w:pPr>
            <w:r>
              <w:t xml:space="preserve">Advanced AI, pattern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7</w:t>
            </w:r>
          </w:p>
        </w:tc>
        <w:tc>
          <w:tcPr/>
          <w:p>
            <w:pPr>
              <w:pStyle w:val="Compact"/>
            </w:pPr>
            <w:r>
              <w:t xml:space="preserve">Precision Medicine</w:t>
            </w:r>
          </w:p>
        </w:tc>
        <w:tc>
          <w:tcPr/>
          <w:p>
            <w:pPr>
              <w:pStyle w:val="Compact"/>
            </w:pPr>
            <w:r>
              <w:t xml:space="preserve">Personalized treatment and genomic integration</w:t>
            </w:r>
          </w:p>
        </w:tc>
        <w:tc>
          <w:tcPr/>
          <w:p>
            <w:pPr>
              <w:pStyle w:val="Compact"/>
            </w:pPr>
            <w:r>
              <w:t xml:space="preserve">Personalized care, genomic analytics</w:t>
            </w:r>
          </w:p>
        </w:tc>
      </w:tr>
    </w:tbl>
    <w:bookmarkEnd w:id="9"/>
    <w:bookmarkStart w:id="13" w:name="Xafdc6f5709a984387b887f928d997299a99e485"/>
    <w:p>
      <w:pPr>
        <w:pStyle w:val="Heading2"/>
      </w:pPr>
      <w:r>
        <w:t xml:space="preserve">Appendix B: Healthcare NL2SQL Query Examples</w:t>
      </w:r>
    </w:p>
    <w:bookmarkStart w:id="10" w:name="patient-population-analysis"/>
    <w:p>
      <w:pPr>
        <w:pStyle w:val="Heading3"/>
      </w:pPr>
      <w:r>
        <w:t xml:space="preserve">Patient Population Analysis</w:t>
      </w:r>
    </w:p>
    <w:p>
      <w:pPr>
        <w:pStyle w:val="FirstParagraph"/>
      </w:pPr>
      <w:r>
        <w:t xml:space="preserve">Natural Language:</w:t>
      </w:r>
      <w:r>
        <w:t xml:space="preserve"> </w:t>
      </w:r>
      <w:r>
        <w:t xml:space="preserve">“Show me all diabetic patients over 65 who had an HbA1c test in the last 6 months”</w:t>
      </w:r>
    </w:p>
    <w:p>
      <w:pPr>
        <w:pStyle w:val="BodyText"/>
      </w:pPr>
      <w:r>
        <w:t xml:space="preserve">Rationale: Aligned with NCQA HEDIS measures for Comprehensive Diabetes Care (CDC), monitoring HbA1c testing compliance in older adult populations.</w:t>
      </w:r>
    </w:p>
    <w:p>
      <w:pPr>
        <w:pStyle w:val="BodyText"/>
      </w:pPr>
      <w: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p.patient_id, p.age, l.test_date, l.result_value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patients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lab_results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l.patient_id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diagnoses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d.patient_id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d.icd10_code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'E11%'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Type 2 Diabetes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l.test_name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'HbA1c'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l.test_date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</w:t>
      </w:r>
    </w:p>
    <w:bookmarkEnd w:id="10"/>
    <w:bookmarkStart w:id="11" w:name="X4f3204a1a55f74fb94aff14df64c2c9789526a0"/>
    <w:p>
      <w:pPr>
        <w:pStyle w:val="Heading3"/>
      </w:pPr>
      <w:r>
        <w:t xml:space="preserve">Complex Clinical Cohort: Heart Failure Readmission Risk</w:t>
      </w:r>
    </w:p>
    <w:p>
      <w:pPr>
        <w:pStyle w:val="FirstParagraph"/>
      </w:pPr>
      <w:r>
        <w:t xml:space="preserve">Natural Language:</w:t>
      </w:r>
      <w:r>
        <w:t xml:space="preserve"> </w:t>
      </w:r>
      <w:r>
        <w:t xml:space="preserve">“Identify patients discharged with Heart Failure in 2024 who had a readmission within 30 days, excluding those discharged to hospice. For each, calculate their max creatinine levels during the index stay.”</w:t>
      </w:r>
    </w:p>
    <w:p>
      <w:pPr>
        <w:pStyle w:val="BodyText"/>
      </w:pPr>
      <w:r>
        <w:t xml:space="preserve">Rationale: Supports CMS Hospital Readmissions Reduction Program (HRRP) tracking by identifying 30-day all-cause readmissions for Heart Failure (HF) index stays, with standard exclusions (hospice).</w:t>
      </w:r>
    </w:p>
    <w:p>
      <w:pPr>
        <w:pStyle w:val="BodyText"/>
      </w:pPr>
      <w: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IndexAdmissions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Identify index admissions for Heart Failure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a.admission_id,</w:t>
      </w:r>
      <w:r>
        <w:br/>
      </w:r>
      <w:r>
        <w:rPr>
          <w:rStyle w:val="NormalTok"/>
        </w:rPr>
        <w:t xml:space="preserve">        a.patient_id,</w:t>
      </w:r>
      <w:r>
        <w:br/>
      </w:r>
      <w:r>
        <w:rPr>
          <w:rStyle w:val="NormalTok"/>
        </w:rPr>
        <w:t xml:space="preserve">        a.discharge_date,</w:t>
      </w:r>
      <w:r>
        <w:br/>
      </w:r>
      <w:r>
        <w:rPr>
          <w:rStyle w:val="NormalTok"/>
        </w:rPr>
        <w:t xml:space="preserve">        a.discharge_disposition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admissions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diagnoses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a.admission_id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d.admission_id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d.icd10_code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'I50%'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Heart Failure codes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a.discharge_date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'2024-12-31'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a.discharge_disposition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'HOSPICE'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Exclusion Criteria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Readmissions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Find readmissions within 30 days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i.patient_id,</w:t>
      </w:r>
      <w:r>
        <w:br/>
      </w:r>
      <w:r>
        <w:rPr>
          <w:rStyle w:val="NormalTok"/>
        </w:rPr>
        <w:t xml:space="preserve">        i.admission_id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index_admission_id,</w:t>
      </w:r>
      <w:r>
        <w:br/>
      </w:r>
      <w:r>
        <w:rPr>
          <w:rStyle w:val="NormalTok"/>
        </w:rPr>
        <w:t xml:space="preserve">        r.admission_date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readmission_date,</w:t>
      </w:r>
      <w:r>
        <w:br/>
      </w:r>
      <w:r>
        <w:rPr>
          <w:rStyle w:val="NormalTok"/>
        </w:rPr>
        <w:t xml:space="preserve">        DATEDIFF(r.admission_date, i.discharge_date)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days_to_readmit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IndexAdmissions 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admissions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r.patient_id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r.admission_date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i.discharge_date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r.admission_date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DATE_ADD(i.discharge_date,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Final Output: Cohort with Max Creatinine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r.patient_id,</w:t>
      </w:r>
      <w:r>
        <w:br/>
      </w:r>
      <w:r>
        <w:rPr>
          <w:rStyle w:val="NormalTok"/>
        </w:rPr>
        <w:t xml:space="preserve">    r.index_admission_id,</w:t>
      </w:r>
      <w:r>
        <w:br/>
      </w:r>
      <w:r>
        <w:rPr>
          <w:rStyle w:val="NormalTok"/>
        </w:rPr>
        <w:t xml:space="preserve">    r.days_to_readmit,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l.unit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'mg/dL'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l.val_num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l.unit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'mmol/L'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l.val_num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Value Normalization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max_creatinine_mgdl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Readmissions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lab_events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r.index_admission_id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l.admission_id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l.itemid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50912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50913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-- Creatinine lab codes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r.patient_id, r.index_admission_id, r.days_to_readmit;</w:t>
      </w:r>
    </w:p>
    <w:bookmarkEnd w:id="11"/>
    <w:bookmarkStart w:id="12" w:name="quality-metrics"/>
    <w:p>
      <w:pPr>
        <w:pStyle w:val="Heading3"/>
      </w:pPr>
      <w:r>
        <w:t xml:space="preserve">Quality Metrics</w:t>
      </w:r>
    </w:p>
    <w:p>
      <w:pPr>
        <w:pStyle w:val="FirstParagraph"/>
      </w:pPr>
      <w:r>
        <w:t xml:space="preserve">Natural Language:</w:t>
      </w:r>
      <w:r>
        <w:t xml:space="preserve"> </w:t>
      </w:r>
      <w:r>
        <w:t xml:space="preserve">“How many patients were readmitted within 30 days of discharge for heart failure?”</w:t>
      </w:r>
    </w:p>
    <w:p>
      <w:pPr>
        <w:pStyle w:val="BodyText"/>
      </w:pPr>
      <w:r>
        <w:t xml:space="preserve">Rationale: Aligned with CMS Hospital Readmissions Reduction Program (HRRP) requirements, demonstrating aggregation capabilities for organizational quality reporting by specifically tracking 30-day readmission rates for heart failure populations.</w:t>
      </w:r>
    </w:p>
    <w:p>
      <w:pPr>
        <w:pStyle w:val="BodyText"/>
      </w:pPr>
      <w: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r.patient_id)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readmission_count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a1.patient_id, a1.discharge_date, a2.admission_date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admissions a1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admissions a2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a1.patient_id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a2.patient_id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diagnoses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a2.admission_id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d.admission_id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d.icd10_code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'I50%'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Heart failure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a2.admission_date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a1.discharge_date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DATE_ADD(a1.discharge_date,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a1.admission_id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a2.admission_id</w:t>
      </w:r>
      <w:r>
        <w:br/>
      </w:r>
      <w:r>
        <w:rPr>
          <w:rStyle w:val="NormalTok"/>
        </w:rPr>
        <w:t xml:space="preserve">) r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</dc:creator>
  <dc:language>en-US</dc:language>
  <cp:keywords/>
  <dcterms:created xsi:type="dcterms:W3CDTF">2026-01-15T17:53:55Z</dcterms:created>
  <dcterms:modified xsi:type="dcterms:W3CDTF">2026-01-15T17:53:55Z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/Users/stharrold/Documents/GitHub/yuimedi-paper-20250901/citation-style.csl</vt:lpwstr>
  </property>
  <property fmtid="{D5CDD505-2E9C-101B-9397-08002B2CF9AE}" pid="10" name="date">
    <vt:lpwstr>January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Healthcare Analytics Challenges</vt:lpwstr>
  </property>
  <property fmtid="{D5CDD505-2E9C-101B-9397-08002B2CF9AE}" pid="19" name="header-right">
    <vt:lpwstr>January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True</vt:lpwstr>
  </property>
  <property fmtid="{D5CDD505-2E9C-101B-9397-08002B2CF9AE}" pid="26" name="papersize">
    <vt:lpwstr>letter</vt:lpwstr>
  </property>
  <property fmtid="{D5CDD505-2E9C-101B-9397-08002B2CF9AE}" pid="27" name="prevent-widows">
    <vt:lpwstr>True</vt:lpwstr>
  </property>
  <property fmtid="{D5CDD505-2E9C-101B-9397-08002B2CF9AE}" pid="28" name="suppress-bibliography">
    <vt:lpwstr>False</vt:lpwstr>
  </property>
  <property fmtid="{D5CDD505-2E9C-101B-9397-08002B2CF9AE}" pid="29" name="titlepage">
    <vt:lpwstr>True</vt:lpwstr>
  </property>
  <property fmtid="{D5CDD505-2E9C-101B-9397-08002B2CF9AE}" pid="30" name="titlepage-color">
    <vt:lpwstr>FFFFFF</vt:lpwstr>
  </property>
  <property fmtid="{D5CDD505-2E9C-101B-9397-08002B2CF9AE}" pid="31" name="titlepage-rule-color">
    <vt:lpwstr>000000</vt:lpwstr>
  </property>
  <property fmtid="{D5CDD505-2E9C-101B-9397-08002B2CF9AE}" pid="32" name="titlepage-rule-height">
    <vt:lpwstr>2</vt:lpwstr>
  </property>
  <property fmtid="{D5CDD505-2E9C-101B-9397-08002B2CF9AE}" pid="33" name="titlepage-text-color">
    <vt:lpwstr>000000</vt:lpwstr>
  </property>
  <property fmtid="{D5CDD505-2E9C-101B-9397-08002B2CF9AE}" pid="34" name="toc">
    <vt:lpwstr>True</vt:lpwstr>
  </property>
  <property fmtid="{D5CDD505-2E9C-101B-9397-08002B2CF9AE}" pid="35" name="toc-depth">
    <vt:lpwstr>3</vt:lpwstr>
  </property>
  <property fmtid="{D5CDD505-2E9C-101B-9397-08002B2CF9AE}" pid="36" name="urlcolor">
    <vt:lpwstr>blue</vt:lpwstr>
  </property>
</Properties>
</file>