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0.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 Analytics Challenges: A Three-Pillar Framework Connecting Analytics Maturity, Workforce Agility, and Technical Enablement</w:t>
      </w:r>
    </w:p>
    <w:p>
      <w:pPr>
        <w:pStyle w:val="Author"/>
      </w:pPr>
      <w:r>
        <w:t xml:space="preserve">Samuel T Harrold, Yuimedi</w:t>
      </w:r>
    </w:p>
    <w:p>
      <w:pPr>
        <w:pStyle w:val="Date"/>
      </w:pPr>
      <w:r>
        <w:t xml:space="preserve">January 2026</w:t>
      </w:r>
    </w:p>
    <w:p>
      <w:pPr>
        <w:pStyle w:val="AbstractTitle"/>
      </w:pPr>
      <w:r>
        <w:t xml:space="preserve">Abstract</w:t>
      </w:r>
    </w:p>
    <w:p>
      <w:pPr>
        <w:pStyle w:val="Abstract"/>
      </w:pPr>
      <w:r>
        <w:t xml:space="preserve">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w:t>
      </w:r>
    </w:p>
    <w:p>
      <w:pPr>
        <w:pStyle w:val="Abstract"/>
      </w:pPr>
      <w:r>
        <w:t xml:space="preserve">Objective: This research develops a three-pillar analytical framework connecting analytics maturity, workforce agility, and technical enablement. The framework reveals how these capabilities interconnect and compound each other.</w:t>
      </w:r>
    </w:p>
    <w:p>
      <w:pPr>
        <w:pStyle w:val="Abstract"/>
      </w:pPr>
      <w:r>
        <w:t xml:space="preserve">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w:t>
      </w:r>
    </w:p>
    <w:p>
      <w:pPr>
        <w:pStyle w:val="Abstract"/>
      </w:pPr>
      <w:r>
        <w:t xml:space="preserve">Results: Healthcare-specific text-to-SQL benchmarks show significant progress, though current models are</w:t>
      </w:r>
      <w:r>
        <w:t xml:space="preserve"> </w:t>
      </w:r>
      <w:r>
        <w:t xml:space="preserve">“not yet sufficiently accurate for unsupervised use”</w:t>
      </w:r>
      <w:r>
        <w:t xml:space="preserve"> </w:t>
      </w:r>
      <w:r>
        <w:t xml:space="preserve">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w:t>
      </w:r>
    </w:p>
    <w:p>
      <w:pPr>
        <w:pStyle w:val="Abstract"/>
      </w:pPr>
      <w:r>
        <w:t xml:space="preserve">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introduction"/>
    <w:p>
      <w:pPr>
        <w:pStyle w:val="Heading1"/>
      </w:pPr>
      <w:r>
        <w:rPr>
          <w:rStyle w:val="SectionNumber"/>
        </w:rPr>
        <w:t xml:space="preserve">1</w:t>
      </w:r>
      <w:r>
        <w:tab/>
      </w:r>
      <w:r>
        <w:t xml:space="preserve">Introduction</w:t>
      </w:r>
    </w:p>
    <w:bookmarkStart w:id="9"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i/>
          <w:i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i/>
          <w:i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i/>
          <w:i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9"/>
    <w:bookmarkStart w:id="10"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10"/>
    <w:bookmarkStart w:id="11"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i/>
          <w:i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i/>
          <w:iCs/>
        </w:rPr>
        <w:t xml:space="preserve">Operational Level:</w:t>
      </w:r>
      <w:r>
        <w:t xml:space="preserve"> </w:t>
      </w:r>
      <w:r>
        <w:t xml:space="preserve">79% of healthcare provider organizations report persistent shortages in</w:t>
      </w:r>
      <w:r>
        <w:t xml:space="preserve"> </w:t>
      </w:r>
      <w:r>
        <w:t xml:space="preserve">“Information and Digital Health”</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i/>
          <w:i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11"/>
    <w:bookmarkStart w:id="12"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“technical skills gap”</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“magic bullet”</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12"/>
    <w:bookmarkStart w:id="16"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13"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13"/>
    <w:bookmarkStart w:id="14" w:name="secondary-objectives"/>
    <w:p>
      <w:pPr>
        <w:pStyle w:val="Heading3"/>
      </w:pPr>
      <w:r>
        <w:rPr>
          <w:rStyle w:val="SectionNumber"/>
        </w:rPr>
        <w:t xml:space="preserve">1.5.2</w:t>
      </w:r>
      <w:r>
        <w:tab/>
      </w:r>
      <w:r>
        <w:t xml:space="preserve">Secondary Objectives</w:t>
      </w:r>
    </w:p>
    <w:p>
      <w:pPr>
        <w:pStyle w:val="Compact"/>
        <w:numPr>
          <w:ilvl w:val="0"/>
          <w:numId w:val="1003"/>
        </w:numPr>
      </w:pPr>
      <w:r>
        <w:rPr>
          <w:i/>
          <w:iCs/>
        </w:rPr>
        <w:t xml:space="preserve">Synthesize current evidence</w:t>
      </w:r>
      <w:r>
        <w:t xml:space="preserve"> </w:t>
      </w:r>
      <w:r>
        <w:t xml:space="preserve">on natural language to SQL generation as a technical barrier.</w:t>
      </w:r>
    </w:p>
    <w:p>
      <w:pPr>
        <w:pStyle w:val="Compact"/>
        <w:numPr>
          <w:ilvl w:val="0"/>
          <w:numId w:val="1003"/>
        </w:numPr>
      </w:pPr>
      <w:r>
        <w:rPr>
          <w:i/>
          <w:iCs/>
        </w:rPr>
        <w:t xml:space="preserve">Document the extent</w:t>
      </w:r>
      <w:r>
        <w:t xml:space="preserve"> </w:t>
      </w:r>
      <w:r>
        <w:t xml:space="preserve">of analytics maturity challenges in healthcare organizations globally.</w:t>
      </w:r>
    </w:p>
    <w:p>
      <w:pPr>
        <w:pStyle w:val="Compact"/>
        <w:numPr>
          <w:ilvl w:val="0"/>
          <w:numId w:val="1003"/>
        </w:numPr>
      </w:pPr>
      <w:r>
        <w:rPr>
          <w:i/>
          <w:iCs/>
        </w:rPr>
        <w:t xml:space="preserve">Quantify the impact</w:t>
      </w:r>
      <w:r>
        <w:t xml:space="preserve"> </w:t>
      </w:r>
      <w:r>
        <w:t xml:space="preserve">of workforce turnover on institutional memory and analytics capabilities.</w:t>
      </w:r>
    </w:p>
    <w:p>
      <w:pPr>
        <w:pStyle w:val="Compact"/>
        <w:numPr>
          <w:ilvl w:val="0"/>
          <w:numId w:val="1003"/>
        </w:numPr>
      </w:pPr>
      <w:r>
        <w:rPr>
          <w:i/>
          <w:iCs/>
        </w:rPr>
        <w:t xml:space="preserve">Reveal interconnections</w:t>
      </w:r>
      <w:r>
        <w:t xml:space="preserve"> </w:t>
      </w:r>
      <w:r>
        <w:t xml:space="preserve">between the three pillars through evidence synthesis.</w:t>
      </w:r>
    </w:p>
    <w:p>
      <w:pPr>
        <w:pStyle w:val="Compact"/>
        <w:numPr>
          <w:ilvl w:val="0"/>
          <w:numId w:val="1003"/>
        </w:numPr>
      </w:pPr>
      <w:r>
        <w:rPr>
          <w:i/>
          <w:iCs/>
        </w:rPr>
        <w:t xml:space="preserve">Provide an assessment rubric</w:t>
      </w:r>
      <w:r>
        <w:t xml:space="preserve"> </w:t>
      </w:r>
      <w:r>
        <w:t xml:space="preserve">for organizational self-evaluation.</w:t>
      </w:r>
    </w:p>
    <w:bookmarkEnd w:id="14"/>
    <w:bookmarkStart w:id="15"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15"/>
    <w:bookmarkEnd w:id="16"/>
    <w:bookmarkStart w:id="24"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i/>
          <w:i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i/>
          <w:i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i/>
          <w:i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p>
      <w:pPr>
        <w:pStyle w:val="CaptionedFigure"/>
      </w:pPr>
      <w:r>
        <w:drawing>
          <wp:inline>
            <wp:extent cx="5334000" cy="5055016"/>
            <wp:effectExtent b="0" l="0" r="0" t="0"/>
            <wp:docPr descr="Healthcare Analytics Architecture. Solid lines indicate the primary data flow from clinical user natural language queries through a conversational AI interface to a healthcare NLP engine for context-aware SQL generation. Bi-directional arrows at steps 5 and 8 represent the iterative ‘Query &amp; Refine’ loop where users refine their intent based on delivered insights. The critical validation step (dotted bi-directional line) shows domain experts confirming or correcting generated SQL before results are trusted. Validated NL+SQL pairs flow to organizational memory (dashed line), where they persist independent of staff tenure and inform future query generation." title="" id="18" name="Picture"/>
            <a:graphic>
              <a:graphicData uri="http://schemas.openxmlformats.org/drawingml/2006/picture">
                <pic:pic>
                  <pic:nvPicPr>
                    <pic:cNvPr descr="figures/architecture.mmd.png" id="19" name="Picture"/>
                    <pic:cNvPicPr>
                      <a:picLocks noChangeArrowheads="1" noChangeAspect="1"/>
                    </pic:cNvPicPr>
                  </pic:nvPicPr>
                  <pic:blipFill>
                    <a:blip r:embed="rId17"/>
                    <a:stretch>
                      <a:fillRect/>
                    </a:stretch>
                  </pic:blipFill>
                  <pic:spPr bwMode="auto">
                    <a:xfrm>
                      <a:off x="0" y="0"/>
                      <a:ext cx="5334000" cy="5055016"/>
                    </a:xfrm>
                    <a:prstGeom prst="rect">
                      <a:avLst/>
                    </a:prstGeom>
                    <a:noFill/>
                    <a:ln w="9525">
                      <a:noFill/>
                      <a:headEnd/>
                      <a:tailEnd/>
                    </a:ln>
                  </pic:spPr>
                </pic:pic>
              </a:graphicData>
            </a:graphic>
          </wp:inline>
        </w:drawing>
      </w:r>
    </w:p>
    <w:p>
      <w:pPr>
        <w:pStyle w:val="ImageCaption"/>
      </w:pPr>
      <w:r>
        <w:t xml:space="preserve">Healthcare Analytics Architecture. Solid lines indicate the primary data flow from clinical user natural language queries through a conversational AI interface to a healthcare NLP engine for context-aware SQL generation. Bi-directional arrows at steps 5 and 8 represent the iterative</w:t>
      </w:r>
      <w:r>
        <w:t xml:space="preserve"> </w:t>
      </w:r>
      <w:r>
        <w:t xml:space="preserve">‘Query &amp; Refine’</w:t>
      </w:r>
      <w:r>
        <w:t xml:space="preserve"> </w:t>
      </w:r>
      <w:r>
        <w:t xml:space="preserve">loop where users refine their intent based on delivered insights. The critical validation step (dotted bi-directional line) shows domain experts confirming or correcting generated SQL before results are trusted. Validated NL+SQL pairs flow to organizational memory (dashed line), where they persist independent of staff tenure and inform future query generation.</w:t>
      </w:r>
    </w:p>
    <w:bookmarkStart w:id="23"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i/>
          <w:i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i/>
          <w:iCs/>
        </w:rPr>
        <w:t xml:space="preserve">Query</w:t>
      </w:r>
      <w:r>
        <w:t xml:space="preserve">: A domain expert (clinician, analyst, or administrator) asks a natural language question, such as,</w:t>
      </w:r>
      <w:r>
        <w:t xml:space="preserve"> </w:t>
      </w:r>
      <w:r>
        <w:t xml:space="preserve">“What was our 30-day readmission rate for heart failure patients last quarter?”</w:t>
      </w:r>
    </w:p>
    <w:p>
      <w:pPr>
        <w:numPr>
          <w:ilvl w:val="0"/>
          <w:numId w:val="1006"/>
        </w:numPr>
      </w:pPr>
      <w:r>
        <w:rPr>
          <w:i/>
          <w:iCs/>
        </w:rPr>
        <w:t xml:space="preserve">Generation</w:t>
      </w:r>
      <w:r>
        <w:t xml:space="preserve">: The conversational AI system generates candidate SQL code, leveraging healthcare ontologies and organizational schema knowledge.</w:t>
      </w:r>
    </w:p>
    <w:p>
      <w:pPr>
        <w:numPr>
          <w:ilvl w:val="0"/>
          <w:numId w:val="1006"/>
        </w:numPr>
      </w:pPr>
      <w:r>
        <w:rPr>
          <w:i/>
          <w:i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“Human-on-the-Loop”</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“not yet sufficiently accurate for unsupervised use”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i/>
          <w:iCs/>
        </w:rPr>
        <w:t xml:space="preserve">Storage</w:t>
      </w:r>
      <w:r>
        <w:t xml:space="preserve">: Once validated, the NL+SQL pair is stored in organizational memory as a durable knowledge artifact, along with mandatory</w:t>
      </w:r>
      <w:r>
        <w:t xml:space="preserve"> </w:t>
      </w:r>
      <w:r>
        <w:t xml:space="preserve">“Rationale Metadata”</w:t>
      </w:r>
      <w:r>
        <w:t xml:space="preserve"> </w:t>
      </w:r>
      <w:r>
        <w:t xml:space="preserve">documenting the query’s business logic (e.g.,</w:t>
      </w:r>
      <w:r>
        <w:t xml:space="preserve"> </w:t>
      </w:r>
      <w:r>
        <w:t xml:space="preserve">“Excluding Hospice per 2025 CMS rules”</w:t>
      </w:r>
      <w:r>
        <w:t xml:space="preserve">).</w:t>
      </w:r>
    </w:p>
    <w:p>
      <w:pPr>
        <w:numPr>
          <w:ilvl w:val="0"/>
          <w:numId w:val="1006"/>
        </w:numPr>
      </w:pPr>
      <w:r>
        <w:rPr>
          <w:i/>
          <w:iCs/>
        </w:rPr>
        <w:t xml:space="preserve">Retrieval</w:t>
      </w:r>
      <w:r>
        <w:t xml:space="preserve">: When future users ask similar questions, the system retrieves relevant validated pairs, reducing dependence on individual expertise.</w:t>
      </w:r>
    </w:p>
    <w:p>
      <w:pPr>
        <w:numPr>
          <w:ilvl w:val="0"/>
          <w:numId w:val="1006"/>
        </w:numPr>
      </w:pPr>
      <w:r>
        <w:rPr>
          <w:i/>
          <w:iCs/>
        </w:rPr>
        <w:t xml:space="preserve">Persistence</w:t>
      </w:r>
      <w:r>
        <w:t xml:space="preserve">: When the original expert leaves, their analytical knowledge remains embedded in the system. New staff inherit executable knowledge rather than starting from scratch.</w:t>
      </w:r>
    </w:p>
    <w:p>
      <w:pPr>
        <w:pStyle w:val="CaptionedFigure"/>
      </w:pPr>
      <w:r>
        <w:drawing>
          <wp:inline>
            <wp:extent cx="5334000" cy="10802400"/>
            <wp:effectExtent b="0" l="0" r="0" t="0"/>
            <wp:docPr descr="The Validated Query Cycle, shown as six numbered steps in the diagram. (1) Domain experts ask natural language questions, (2) the system generates candidate SQL, (3) AI provides a natural language explanation of the SQL logic; domain expert confirms the intent and results, (4) validated pairs are stored, (5) future queries retrieve validated knowledge, and (6) expertise persists through staff turnover. This cycle breaks the compounding effect where turnover erases institutional memory." title="" id="21" name="Picture"/>
            <a:graphic>
              <a:graphicData uri="http://schemas.openxmlformats.org/drawingml/2006/picture">
                <pic:pic>
                  <pic:nvPicPr>
                    <pic:cNvPr descr="figures/knowledge-cycle.mmd.png" id="22" name="Picture"/>
                    <pic:cNvPicPr>
                      <a:picLocks noChangeArrowheads="1" noChangeAspect="1"/>
                    </pic:cNvPicPr>
                  </pic:nvPicPr>
                  <pic:blipFill>
                    <a:blip r:embed="rId20"/>
                    <a:stretch>
                      <a:fillRect/>
                    </a:stretch>
                  </pic:blipFill>
                  <pic:spPr bwMode="auto">
                    <a:xfrm>
                      <a:off x="0" y="0"/>
                      <a:ext cx="5334000" cy="10802400"/>
                    </a:xfrm>
                    <a:prstGeom prst="rect">
                      <a:avLst/>
                    </a:prstGeom>
                    <a:noFill/>
                    <a:ln w="9525">
                      <a:noFill/>
                      <a:headEnd/>
                      <a:tailEnd/>
                    </a:ln>
                  </pic:spPr>
                </pic:pic>
              </a:graphicData>
            </a:graphic>
          </wp:inline>
        </w:drawing>
      </w:r>
    </w:p>
    <w:p>
      <w:pPr>
        <w:pStyle w:val="ImageCaption"/>
      </w:pPr>
      <w:r>
        <w:t xml:space="preserve">The Validated Query Cycle, shown as six numbered steps in the diagram. (1) Domain experts ask natural language questions, (2) the system generates candidate SQL, (3) AI provides a natural language explanation of the SQL logic; domain expert confirms the intent and results, (4) validated pairs are stored, (5) future queries retrieve validated knowledge, and (6) expertise persists through staff turnover. This cycle breaks the compounding effect where turnover erases institutional memory.</w:t>
      </w:r>
    </w:p>
    <w:p>
      <w:pPr>
        <w:pStyle w:val="BodyText"/>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3"/>
    <w:bookmarkEnd w:id="24"/>
    <w:bookmarkStart w:id="25"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25"/>
    <w:bookmarkEnd w:id="26"/>
    <w:bookmarkStart w:id="36" w:name="methodology"/>
    <w:p>
      <w:pPr>
        <w:pStyle w:val="Heading1"/>
      </w:pPr>
      <w:r>
        <w:rPr>
          <w:rStyle w:val="SectionNumber"/>
        </w:rPr>
        <w:t xml:space="preserve">2</w:t>
      </w:r>
      <w:r>
        <w:tab/>
      </w:r>
      <w:r>
        <w:t xml:space="preserve">Methodology</w:t>
      </w:r>
    </w:p>
    <w:bookmarkStart w:id="27"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i/>
          <w:i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i/>
          <w:iCs/>
        </w:rPr>
        <w:t xml:space="preserve">Original analytical framework</w:t>
      </w:r>
      <w:r>
        <w:t xml:space="preserve">: The three-pillar framework emerged iteratively from the literature rather than being pre-specified</w:t>
      </w:r>
    </w:p>
    <w:p>
      <w:pPr>
        <w:pStyle w:val="Compact"/>
        <w:numPr>
          <w:ilvl w:val="0"/>
          <w:numId w:val="1007"/>
        </w:numPr>
      </w:pPr>
      <w:r>
        <w:rPr>
          <w:i/>
          <w:iCs/>
        </w:rPr>
        <w:t xml:space="preserve">Heterogeneous evidence types</w:t>
      </w:r>
      <w:r>
        <w:t xml:space="preserve">: The evidence base includes peer-reviewed research, industry reports, and benchmark datasets that cannot be meaningfully combined through meta-analysis</w:t>
      </w:r>
    </w:p>
    <w:bookmarkEnd w:id="27"/>
    <w:bookmarkStart w:id="31"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 Analytics Maturity (</w:t>
      </w:r>
      <w:r>
        <w:t xml:space="preserve">“healthcare analytics maturity”</w:t>
      </w:r>
      <w:r>
        <w:t xml:space="preserve">,</w:t>
      </w:r>
      <w:r>
        <w:t xml:space="preserve"> </w:t>
      </w:r>
      <w:r>
        <w:t xml:space="preserve">“HIMSS AMAM”</w:t>
      </w:r>
      <w:r>
        <w:t xml:space="preserve">,</w:t>
      </w:r>
      <w:r>
        <w:t xml:space="preserve"> </w:t>
      </w:r>
      <w:r>
        <w:t xml:space="preserve">“analytics adoption”</w:t>
      </w:r>
      <w:r>
        <w:t xml:space="preserve">,</w:t>
      </w:r>
      <w:r>
        <w:t xml:space="preserve"> </w:t>
      </w:r>
      <w:r>
        <w:t xml:space="preserve">“big data analytics adoption”</w:t>
      </w:r>
      <w:r>
        <w:t xml:space="preserve">,</w:t>
      </w:r>
      <w:r>
        <w:t xml:space="preserve"> </w:t>
      </w:r>
      <w:r>
        <w:t xml:space="preserve">“resistance to change”</w:t>
      </w:r>
      <w:r>
        <w:t xml:space="preserve">,</w:t>
      </w:r>
      <w:r>
        <w:t xml:space="preserve"> </w:t>
      </w:r>
      <w:r>
        <w:t xml:space="preserve">“analytics standardization failure”</w:t>
      </w:r>
      <w:r>
        <w:t xml:space="preserve">,</w:t>
      </w:r>
      <w:r>
        <w:t xml:space="preserve"> </w:t>
      </w:r>
      <w:r>
        <w:t xml:space="preserve">“low-code ROI”</w:t>
      </w:r>
      <w:r>
        <w:t xml:space="preserve">); Workforce Agility (</w:t>
      </w:r>
      <w:r>
        <w:t xml:space="preserve">“healthcare IT tenure”</w:t>
      </w:r>
      <w:r>
        <w:t xml:space="preserve">,</w:t>
      </w:r>
      <w:r>
        <w:t xml:space="preserve"> </w:t>
      </w:r>
      <w:r>
        <w:t xml:space="preserve">“IT training time”</w:t>
      </w:r>
      <w:r>
        <w:t xml:space="preserve">,</w:t>
      </w:r>
      <w:r>
        <w:t xml:space="preserve"> </w:t>
      </w:r>
      <w:r>
        <w:t xml:space="preserve">“turnover cost”</w:t>
      </w:r>
      <w:r>
        <w:t xml:space="preserve">,</w:t>
      </w:r>
      <w:r>
        <w:t xml:space="preserve"> </w:t>
      </w:r>
      <w:r>
        <w:t xml:space="preserve">“institutional memory loss”</w:t>
      </w:r>
      <w:r>
        <w:t xml:space="preserve">,</w:t>
      </w:r>
      <w:r>
        <w:t xml:space="preserve"> </w:t>
      </w:r>
      <w:r>
        <w:t xml:space="preserve">“organizational forgetting”</w:t>
      </w:r>
      <w:r>
        <w:t xml:space="preserve">,</w:t>
      </w:r>
      <w:r>
        <w:t xml:space="preserve"> </w:t>
      </w:r>
      <w:r>
        <w:t xml:space="preserve">“competence loss”</w:t>
      </w:r>
      <w:r>
        <w:t xml:space="preserve">,</w:t>
      </w:r>
      <w:r>
        <w:t xml:space="preserve"> </w:t>
      </w:r>
      <w:r>
        <w:t xml:space="preserve">“knowledge portal”</w:t>
      </w:r>
      <w:r>
        <w:t xml:space="preserve">,</w:t>
      </w:r>
      <w:r>
        <w:t xml:space="preserve"> </w:t>
      </w:r>
      <w:r>
        <w:t xml:space="preserve">“SECI model”</w:t>
      </w:r>
      <w:r>
        <w:t xml:space="preserve">); Technical Enablement (</w:t>
      </w:r>
      <w:r>
        <w:t xml:space="preserve">“NL2SQL healthcare”</w:t>
      </w:r>
      <w:r>
        <w:t xml:space="preserve">,</w:t>
      </w:r>
      <w:r>
        <w:t xml:space="preserve"> </w:t>
      </w:r>
      <w:r>
        <w:t xml:space="preserve">“text-to-SQL clinical”</w:t>
      </w:r>
      <w:r>
        <w:t xml:space="preserve">,</w:t>
      </w:r>
      <w:r>
        <w:t xml:space="preserve"> </w:t>
      </w:r>
      <w:r>
        <w:t xml:space="preserve">“MIMICSQL”</w:t>
      </w:r>
      <w:r>
        <w:t xml:space="preserve">,</w:t>
      </w:r>
      <w:r>
        <w:t xml:space="preserve"> </w:t>
      </w:r>
      <w:r>
        <w:t xml:space="preserve">“EHRSQL”</w:t>
      </w:r>
      <w:r>
        <w:t xml:space="preserve">,</w:t>
      </w:r>
      <w:r>
        <w:t xml:space="preserve"> </w:t>
      </w:r>
      <w:r>
        <w:t xml:space="preserve">“schema discovery”</w:t>
      </w:r>
      <w:r>
        <w:t xml:space="preserve">,</w:t>
      </w:r>
      <w:r>
        <w:t xml:space="preserve"> </w:t>
      </w:r>
      <w:r>
        <w:t xml:space="preserve">“semantic column matching”</w:t>
      </w:r>
      <w:r>
        <w:t xml:space="preserve">,</w:t>
      </w:r>
      <w:r>
        <w:t xml:space="preserve"> </w:t>
      </w:r>
      <w:r>
        <w:t xml:space="preserve">“vector embeddings”</w:t>
      </w:r>
      <w:r>
        <w:t xml:space="preserve">).</w:t>
      </w:r>
    </w:p>
    <w:tbl>
      <w:tblPr>
        <w:tblStyle w:val="Table"/>
        <w:tblW w:type="pct" w:w="4859"/>
        <w:tblLayout w:type="fixed"/>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450"/>
        <w:gridCol w:w="1171"/>
        <w:gridCol w:w="1171"/>
        <w:gridCol w:w="892"/>
        <w:gridCol w:w="1450"/>
        <w:gridCol w:w="1561"/>
      </w:tblGrid>
      <w:tr>
        <w:trPr>
          <w:tblHeader w:val="on"/>
        </w:trPr>
        <w:tc>
          <w:tcPr/>
          <w:p>
            <w:pPr>
              <w:pStyle w:val="Compact"/>
            </w:pPr>
            <w:r>
              <w:t xml:space="preserve">Pillar</w:t>
            </w:r>
          </w:p>
        </w:tc>
        <w:tc>
          <w:tcPr/>
          <w:p>
            <w:pPr>
              <w:pStyle w:val="Compact"/>
            </w:pPr>
            <w:r>
              <w:t xml:space="preserve">Crossref</w:t>
            </w:r>
          </w:p>
        </w:tc>
        <w:tc>
          <w:tcPr/>
          <w:p>
            <w:pPr>
              <w:pStyle w:val="Compact"/>
            </w:pPr>
            <w:r>
              <w:t xml:space="preserve">PubMed</w:t>
            </w:r>
          </w:p>
        </w:tc>
        <w:tc>
          <w:tcPr/>
          <w:p>
            <w:pPr>
              <w:pStyle w:val="Compact"/>
            </w:pPr>
            <w:r>
              <w:t xml:space="preserve">arXiv</w:t>
            </w:r>
          </w:p>
        </w:tc>
        <w:tc>
          <w:tcPr/>
          <w:p>
            <w:pPr>
              <w:pStyle w:val="Compact"/>
            </w:pPr>
            <w:r>
              <w:t xml:space="preserve">Semantic Scholar</w:t>
            </w:r>
          </w:p>
        </w:tc>
        <w:tc>
          <w:tcPr/>
          <w:p>
            <w:pPr>
              <w:pStyle w:val="Compact"/>
            </w:pPr>
            <w:r>
              <w:t xml:space="preserve">Total (Screened)</w:t>
            </w:r>
          </w:p>
        </w:tc>
      </w:tr>
      <w:tr>
        <w:tc>
          <w:tcPr/>
          <w:p>
            <w:pPr>
              <w:pStyle w:val="Compact"/>
            </w:pPr>
            <w:r>
              <w:rPr>
                <w:i/>
                <w:iCs/>
              </w:rPr>
              <w:t xml:space="preserve">Analytics Maturity</w:t>
            </w:r>
          </w:p>
        </w:tc>
        <w:tc>
          <w:tcPr/>
          <w:p>
            <w:pPr>
              <w:pStyle w:val="Compact"/>
            </w:pPr>
            <w:r>
              <w:t xml:space="preserve">285</w:t>
            </w:r>
          </w:p>
        </w:tc>
        <w:tc>
          <w:tcPr/>
          <w:p/>
        </w:tc>
        <w:tc>
          <w:tcPr/>
          <w:p/>
        </w:tc>
        <w:tc>
          <w:tcPr/>
          <w:p/>
        </w:tc>
        <w:tc>
          <w:tcPr/>
          <w:p>
            <w:pPr>
              <w:pStyle w:val="Compact"/>
            </w:pPr>
            <w:r>
              <w:t xml:space="preserve">285 (15)</w:t>
            </w:r>
          </w:p>
        </w:tc>
      </w:tr>
      <w:tr>
        <w:tc>
          <w:tcPr/>
          <w:p>
            <w:pPr>
              <w:pStyle w:val="Compact"/>
            </w:pPr>
            <w:r>
              <w:rPr>
                <w:i/>
                <w:iCs/>
              </w:rPr>
              <w:t xml:space="preserve">Workforce Agility</w:t>
            </w:r>
          </w:p>
        </w:tc>
        <w:tc>
          <w:tcPr/>
          <w:p/>
        </w:tc>
        <w:tc>
          <w:tcPr/>
          <w:p>
            <w:pPr>
              <w:pStyle w:val="Compact"/>
            </w:pPr>
            <w:r>
              <w:t xml:space="preserve">142</w:t>
            </w:r>
          </w:p>
        </w:tc>
        <w:tc>
          <w:tcPr/>
          <w:p/>
        </w:tc>
        <w:tc>
          <w:tcPr/>
          <w:p/>
        </w:tc>
        <w:tc>
          <w:tcPr/>
          <w:p>
            <w:pPr>
              <w:pStyle w:val="Compact"/>
            </w:pPr>
            <w:r>
              <w:t xml:space="preserve">142 (12)</w:t>
            </w:r>
          </w:p>
        </w:tc>
      </w:tr>
      <w:tr>
        <w:tc>
          <w:tcPr/>
          <w:p>
            <w:pPr>
              <w:pStyle w:val="Compact"/>
            </w:pPr>
            <w:r>
              <w:rPr>
                <w:i/>
                <w:iCs/>
              </w:rPr>
              <w:t xml:space="preserve">Technical Enablement</w:t>
            </w:r>
          </w:p>
        </w:tc>
        <w:tc>
          <w:tcPr/>
          <w:p/>
        </w:tc>
        <w:tc>
          <w:tcPr/>
          <w:p/>
        </w:tc>
        <w:tc>
          <w:tcPr/>
          <w:p>
            <w:pPr>
              <w:pStyle w:val="Compact"/>
            </w:pPr>
            <w:r>
              <w:t xml:space="preserve">71</w:t>
            </w:r>
          </w:p>
        </w:tc>
        <w:tc>
          <w:tcPr/>
          <w:p>
            <w:pPr>
              <w:pStyle w:val="Compact"/>
            </w:pPr>
            <w:r>
              <w:t xml:space="preserve">72</w:t>
            </w:r>
          </w:p>
        </w:tc>
        <w:tc>
          <w:tcPr/>
          <w:p>
            <w:pPr>
              <w:pStyle w:val="Compact"/>
            </w:pPr>
            <w:r>
              <w:t xml:space="preserve">143 (14)</w:t>
            </w:r>
          </w:p>
        </w:tc>
      </w:tr>
      <w:tr>
        <w:tc>
          <w:tcPr>
            <w:gridSpan w:val="3"/>
          </w:tcPr>
          <w:p>
            <w:pPr>
              <w:pStyle w:val="Compact"/>
            </w:pPr>
            <w:r>
              <w:t xml:space="preserve">Total | 285 | 142 | 71</w:t>
            </w:r>
          </w:p>
        </w:tc>
        <w:tc>
          <w:tcPr>
            <w:gridSpan w:val="3"/>
          </w:tcPr>
          <w:p>
            <w:pPr>
              <w:pStyle w:val="Compact"/>
            </w:pPr>
            <w:r>
              <w:t xml:space="preserve">72 | 570 (41) |</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p>
      <w:pPr>
        <w:pStyle w:val="CaptionedFigure"/>
      </w:pPr>
      <w:r>
        <w:drawing>
          <wp:inline>
            <wp:extent cx="5334000" cy="6808402"/>
            <wp:effectExtent b="0" l="0" r="0" t="0"/>
            <wp:docPr descr="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 title="" id="29" name="Picture"/>
            <a:graphic>
              <a:graphicData uri="http://schemas.openxmlformats.org/drawingml/2006/picture">
                <pic:pic>
                  <pic:nvPicPr>
                    <pic:cNvPr descr="figures/literature-flow.mmd.png" id="30" name="Picture"/>
                    <pic:cNvPicPr>
                      <a:picLocks noChangeArrowheads="1" noChangeAspect="1"/>
                    </pic:cNvPicPr>
                  </pic:nvPicPr>
                  <pic:blipFill>
                    <a:blip r:embed="rId28"/>
                    <a:stretch>
                      <a:fillRect/>
                    </a:stretch>
                  </pic:blipFill>
                  <pic:spPr bwMode="auto">
                    <a:xfrm>
                      <a:off x="0" y="0"/>
                      <a:ext cx="5334000" cy="6808402"/>
                    </a:xfrm>
                    <a:prstGeom prst="rect">
                      <a:avLst/>
                    </a:prstGeom>
                    <a:noFill/>
                    <a:ln w="9525">
                      <a:noFill/>
                      <a:headEnd/>
                      <a:tailEnd/>
                    </a:ln>
                  </pic:spPr>
                </pic:pic>
              </a:graphicData>
            </a:graphic>
          </wp:inline>
        </w:drawing>
      </w:r>
    </w:p>
    <w:p>
      <w:pPr>
        <w:pStyle w:val="ImageCaption"/>
      </w:pPr>
      <w:r>
        <w:t xml:space="preserve">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w:t>
      </w:r>
    </w:p>
    <w:bookmarkEnd w:id="31"/>
    <w:bookmarkStart w:id="32"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t xml:space="preserve">Inclusion Criteria:</w:t>
      </w:r>
    </w:p>
    <w:p>
      <w:pPr>
        <w:pStyle w:val="Compact"/>
        <w:numPr>
          <w:ilvl w:val="0"/>
          <w:numId w:val="1018"/>
        </w:numPr>
      </w:pPr>
      <w:r>
        <w:t xml:space="preserve">Peer-reviewed publications in healthcare informatics, medical informatics, computer science, or health services research</w:t>
      </w:r>
    </w:p>
    <w:p>
      <w:pPr>
        <w:pStyle w:val="Compact"/>
        <w:numPr>
          <w:ilvl w:val="0"/>
          <w:numId w:val="1018"/>
        </w:numPr>
      </w:pPr>
      <w:r>
        <w:t xml:space="preserve">Industry reports from established healthcare IT organizations (HIMSS, AHIMA, AMIA)</w:t>
      </w:r>
    </w:p>
    <w:p>
      <w:pPr>
        <w:pStyle w:val="Compact"/>
        <w:numPr>
          <w:ilvl w:val="0"/>
          <w:numId w:val="1018"/>
        </w:numPr>
      </w:pPr>
      <w:r>
        <w:t xml:space="preserve">Publications from 2015-current, with emphasis on 2020-current for rapidly evolving NL2SQL technologies</w:t>
      </w:r>
    </w:p>
    <w:p>
      <w:pPr>
        <w:pStyle w:val="Compact"/>
        <w:numPr>
          <w:ilvl w:val="0"/>
          <w:numId w:val="1018"/>
        </w:numPr>
      </w:pPr>
      <w:r>
        <w:t xml:space="preserve">English language publications</w:t>
      </w:r>
    </w:p>
    <w:p>
      <w:pPr>
        <w:pStyle w:val="Compact"/>
        <w:numPr>
          <w:ilvl w:val="0"/>
          <w:numId w:val="1018"/>
        </w:numPr>
      </w:pPr>
      <w:r>
        <w:t xml:space="preserve">Sources with verifiable DOIs, URLs, or institutional attribution</w:t>
      </w:r>
    </w:p>
    <w:p>
      <w:pPr>
        <w:pStyle w:val="FirstParagraph"/>
      </w:pPr>
      <w:r>
        <w:t xml:space="preserve">Exclusion Criteria:</w:t>
      </w:r>
    </w:p>
    <w:p>
      <w:pPr>
        <w:pStyle w:val="Compact"/>
        <w:numPr>
          <w:ilvl w:val="0"/>
          <w:numId w:val="1019"/>
        </w:numPr>
      </w:pPr>
      <w:r>
        <w:t xml:space="preserve">Sources without verifiable attribution or institutional backing</w:t>
      </w:r>
    </w:p>
    <w:p>
      <w:pPr>
        <w:pStyle w:val="Compact"/>
        <w:numPr>
          <w:ilvl w:val="0"/>
          <w:numId w:val="1019"/>
        </w:numPr>
      </w:pPr>
      <w:r>
        <w:t xml:space="preserve">Vendor marketing materials without independent validation</w:t>
      </w:r>
    </w:p>
    <w:p>
      <w:pPr>
        <w:pStyle w:val="Compact"/>
        <w:numPr>
          <w:ilvl w:val="0"/>
          <w:numId w:val="1019"/>
        </w:numPr>
      </w:pPr>
      <w:r>
        <w:t xml:space="preserve">Preprints without subsequent peer-reviewed publication (exception: foundational NL2SQL benchmarks where peer review is pending)</w:t>
      </w:r>
    </w:p>
    <w:p>
      <w:pPr>
        <w:pStyle w:val="Compact"/>
        <w:numPr>
          <w:ilvl w:val="0"/>
          <w:numId w:val="1019"/>
        </w:numPr>
      </w:pPr>
      <w:r>
        <w:t xml:space="preserve">Studies with unverifiable statistics or methodological concerns</w:t>
      </w:r>
    </w:p>
    <w:bookmarkEnd w:id="32"/>
    <w:bookmarkStart w:id="33"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914"/>
        <w:tblLayout w:type="fixed"/>
        <w:tblLook w:firstRow="0" w:lastRow="0" w:firstColumn="0" w:lastColumn="0" w:noHBand="0" w:noVBand="0" w:val="0000"/>
        <w:tblCaption w:val="AACODS Assessment of Industry Sources. "/>
      </w:tblPr>
      <w:tblGrid>
        <w:gridCol w:w="2184"/>
        <w:gridCol w:w="1502"/>
        <w:gridCol w:w="1502"/>
        <w:gridCol w:w="1866"/>
        <w:gridCol w:w="728"/>
      </w:tblGrid>
      <w:tr>
        <w:tc>
          <w:tcPr/>
          <w:p>
            <w:pPr>
              <w:pStyle w:val="Compact"/>
            </w:pPr>
            <w:r>
              <w:t xml:space="preserve">Source (Citation)</w:t>
            </w:r>
          </w:p>
        </w:tc>
        <w:tc>
          <w:tcPr/>
          <w:p>
            <w:pPr>
              <w:pStyle w:val="Compact"/>
            </w:pPr>
            <w:r>
              <w:t xml:space="preserve">Authority / Accuracy</w:t>
            </w:r>
          </w:p>
        </w:tc>
        <w:tc>
          <w:tcPr/>
          <w:p>
            <w:pPr>
              <w:pStyle w:val="Compact"/>
            </w:pPr>
            <w:r>
              <w:t xml:space="preserve">Coverage / Objectivity</w:t>
            </w:r>
          </w:p>
        </w:tc>
        <w:tc>
          <w:tcPr/>
          <w:p>
            <w:pPr>
              <w:pStyle w:val="Compact"/>
            </w:pPr>
            <w:r>
              <w:t xml:space="preserve">Date / Significance</w:t>
            </w:r>
          </w:p>
        </w:tc>
        <w:tc>
          <w:tcPr/>
          <w:p>
            <w:pPr>
              <w:pStyle w:val="Compact"/>
            </w:pPr>
            <w:r>
              <w:t xml:space="preserve">Include</w:t>
            </w:r>
          </w:p>
        </w:tc>
      </w:tr>
      <w:tr>
        <w:tc>
          <w:tcPr/>
          <w:p>
            <w:pPr>
              <w:pStyle w:val="Compact"/>
            </w:pPr>
            <w:r>
              <w:t xml:space="preserve">HIMSS AMAM</w:t>
            </w:r>
            <w:r>
              <w:t xml:space="preserve"> </w:t>
            </w:r>
            <w:r>
              <w:t xml:space="preserve">(</w:t>
            </w:r>
            <w:hyperlink w:anchor="ref-himss2024">
              <w:r>
                <w:rPr>
                  <w:rStyle w:val="Hyperlink"/>
                </w:rPr>
                <w:t xml:space="preserve">2</w:t>
              </w:r>
            </w:hyperlink>
            <w:r>
              <w:t xml:space="preserve">)</w:t>
            </w:r>
          </w:p>
        </w:tc>
        <w:tc>
          <w:tcPr/>
          <w:p>
            <w:pPr>
              <w:pStyle w:val="Compact"/>
            </w:pPr>
            <w:r>
              <w:t xml:space="preserve">High† / Verifiable</w:t>
            </w:r>
          </w:p>
        </w:tc>
        <w:tc>
          <w:tcPr/>
          <w:p>
            <w:pPr>
              <w:pStyle w:val="Compact"/>
            </w:pPr>
            <w:r>
              <w:t xml:space="preserve">Global / High</w:t>
            </w:r>
          </w:p>
        </w:tc>
        <w:tc>
          <w:tcPr/>
          <w:p>
            <w:pPr>
              <w:pStyle w:val="Compact"/>
            </w:pPr>
            <w:r>
              <w:t xml:space="preserve">2024 / High</w:t>
            </w:r>
          </w:p>
        </w:tc>
        <w:tc>
          <w:tcPr/>
          <w:p>
            <w:pPr>
              <w:pStyle w:val="Compact"/>
            </w:pPr>
            <w:r>
              <w:t xml:space="preserve">Yes</w:t>
            </w:r>
          </w:p>
        </w:tc>
      </w:tr>
      <w:tr>
        <w:tc>
          <w:tcPr/>
          <w:p>
            <w:pPr>
              <w:pStyle w:val="Compac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pPr>
            <w:r>
              <w:t xml:space="preserve">High‡ / Verifiable</w:t>
            </w:r>
          </w:p>
        </w:tc>
        <w:tc>
          <w:tcPr/>
          <w:p>
            <w:pPr>
              <w:pStyle w:val="Compact"/>
            </w:pPr>
            <w:r>
              <w:t xml:space="preserve">N/A / High</w:t>
            </w:r>
          </w:p>
        </w:tc>
        <w:tc>
          <w:tcPr/>
          <w:p>
            <w:pPr>
              <w:pStyle w:val="Compact"/>
            </w:pPr>
            <w:r>
              <w:t xml:space="preserve">2024 / Medium</w:t>
            </w:r>
          </w:p>
        </w:tc>
        <w:tc>
          <w:tcPr/>
          <w:p>
            <w:pPr>
              <w:pStyle w:val="Compact"/>
            </w:pPr>
            <w:r>
              <w:t xml:space="preserve">Yes</w:t>
            </w:r>
          </w:p>
        </w:tc>
      </w:tr>
      <w:tr>
        <w:tc>
          <w:tcPr/>
          <w:p>
            <w:pPr>
              <w:pStyle w:val="Compac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pPr>
            <w:r>
              <w:t xml:space="preserve">Medium§ / Unverifiable</w:t>
            </w:r>
          </w:p>
        </w:tc>
        <w:tc>
          <w:tcPr/>
          <w:p>
            <w:pPr>
              <w:pStyle w:val="Compact"/>
            </w:pPr>
            <w:r>
              <w:t xml:space="preserve">US / Low</w:t>
            </w:r>
          </w:p>
        </w:tc>
        <w:tc>
          <w:tcPr/>
          <w:p>
            <w:pPr>
              <w:pStyle w:val="Compact"/>
            </w:pPr>
            <w:r>
              <w:t xml:space="preserve">2020 / Medium</w:t>
            </w:r>
          </w:p>
        </w:tc>
        <w:tc>
          <w:tcPr/>
          <w:p>
            <w:pPr>
              <w:pStyle w:val="Compact"/>
            </w:pPr>
            <w:r>
              <w:t xml:space="preserve">Yes*</w:t>
            </w:r>
          </w:p>
        </w:tc>
      </w:tr>
      <w:tr>
        <w:tc>
          <w:tcPr/>
          <w:p>
            <w:pPr>
              <w:pStyle w:val="Compac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pPr>
            <w:r>
              <w:t xml:space="preserve">High¶ / Verifiable</w:t>
            </w:r>
          </w:p>
        </w:tc>
        <w:tc>
          <w:tcPr/>
          <w:p>
            <w:pPr>
              <w:pStyle w:val="Compact"/>
            </w:pPr>
            <w:r>
              <w:t xml:space="preserve">Single site / High</w:t>
            </w:r>
          </w:p>
        </w:tc>
        <w:tc>
          <w:tcPr/>
          <w:p>
            <w:pPr>
              <w:pStyle w:val="Compact"/>
            </w:pPr>
            <w:r>
              <w:t xml:space="preserve">2024 / High</w:t>
            </w:r>
          </w:p>
        </w:tc>
        <w:tc>
          <w:tcPr/>
          <w:p>
            <w:pPr>
              <w:pStyle w:val="Compact"/>
            </w:pPr>
            <w:r>
              <w:t xml:space="preserve">Yes</w:t>
            </w:r>
          </w:p>
        </w:tc>
      </w:tr>
      <w:tr>
        <w:tc>
          <w:tcPr/>
          <w:p>
            <w:pPr>
              <w:pStyle w:val="Compac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pPr>
            <w:r>
              <w:t xml:space="preserve">Medium∥ / Unverifiable</w:t>
            </w:r>
          </w:p>
        </w:tc>
        <w:tc>
          <w:tcPr/>
          <w:p>
            <w:pPr>
              <w:pStyle w:val="Compact"/>
            </w:pPr>
            <w:r>
              <w:t xml:space="preserve">Enterprise / Low♢</w:t>
            </w:r>
          </w:p>
        </w:tc>
        <w:tc>
          <w:tcPr/>
          <w:p>
            <w:pPr>
              <w:pStyle w:val="Compact"/>
            </w:pPr>
            <w:r>
              <w:t xml:space="preserve">2024 / Medium</w:t>
            </w:r>
          </w:p>
        </w:tc>
        <w:tc>
          <w:tcPr/>
          <w:p>
            <w:pPr>
              <w:pStyle w:val="Compact"/>
            </w:pPr>
            <w:r>
              <w:t xml:space="preserve">Yes*</w:t>
            </w:r>
          </w:p>
        </w:tc>
      </w:tr>
      <w:tr>
        <w:tc>
          <w:tcPr/>
          <w:p>
            <w:pPr>
              <w:pStyle w:val="Compact"/>
            </w:pPr>
            <w:r>
              <w:t xml:space="preserve">Oracle</w:t>
            </w:r>
            <w:r>
              <w:t xml:space="preserve"> </w:t>
            </w:r>
            <w:r>
              <w:t xml:space="preserve">(</w:t>
            </w:r>
            <w:hyperlink w:anchor="ref-oracle2024">
              <w:r>
                <w:rPr>
                  <w:rStyle w:val="Hyperlink"/>
                </w:rPr>
                <w:t xml:space="preserve">26</w:t>
              </w:r>
            </w:hyperlink>
            <w:r>
              <w:t xml:space="preserve">)</w:t>
            </w:r>
          </w:p>
        </w:tc>
        <w:tc>
          <w:tcPr/>
          <w:p>
            <w:pPr>
              <w:pStyle w:val="Compact"/>
            </w:pPr>
            <w:r>
              <w:t xml:space="preserve">Low§ / Unverifiable</w:t>
            </w:r>
          </w:p>
        </w:tc>
        <w:tc>
          <w:tcPr/>
          <w:p>
            <w:pPr>
              <w:pStyle w:val="Compact"/>
            </w:pPr>
            <w:r>
              <w:t xml:space="preserve">N/A / Low</w:t>
            </w:r>
          </w:p>
        </w:tc>
        <w:tc>
          <w:tcPr/>
          <w:p>
            <w:pPr>
              <w:pStyle w:val="Compact"/>
            </w:pPr>
            <w:r>
              <w:t xml:space="preserve">2024 / Low</w:t>
            </w:r>
          </w:p>
        </w:tc>
        <w:tc>
          <w:tcPr/>
          <w:p>
            <w:pPr>
              <w:pStyle w:val="Compact"/>
            </w:pPr>
            <w:r>
              <w:t xml:space="preserve">Yes*</w:t>
            </w:r>
          </w:p>
        </w:tc>
      </w:tr>
      <w:tr>
        <w:tc>
          <w:tcPr/>
          <w:p>
            <w:pPr>
              <w:pStyle w:val="Compac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pPr>
            <w:r>
              <w:t xml:space="preserve">Medium# / Unverifiable</w:t>
            </w:r>
          </w:p>
        </w:tc>
        <w:tc>
          <w:tcPr/>
          <w:p>
            <w:pPr>
              <w:pStyle w:val="Compact"/>
            </w:pPr>
            <w:r>
              <w:t xml:space="preserve">Global / Medium</w:t>
            </w:r>
          </w:p>
        </w:tc>
        <w:tc>
          <w:tcPr/>
          <w:p>
            <w:pPr>
              <w:pStyle w:val="Compact"/>
            </w:pPr>
            <w:r>
              <w:t xml:space="preserve">2024 / Medium</w:t>
            </w:r>
          </w:p>
        </w:tc>
        <w:tc>
          <w:tcPr/>
          <w:p>
            <w:pPr>
              <w:pStyle w:val="Compact"/>
            </w:pPr>
            <w:r>
              <w:t xml:space="preserve">Yes</w:t>
            </w:r>
          </w:p>
        </w:tc>
      </w:tr>
      <w:tr>
        <w:tc>
          <w:tcPr/>
          <w:p>
            <w:pPr>
              <w:pStyle w:val="Compac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pPr>
            <w:r>
              <w:t xml:space="preserve">Medium§ / Verifiable</w:t>
            </w:r>
          </w:p>
        </w:tc>
        <w:tc>
          <w:tcPr/>
          <w:p>
            <w:pPr>
              <w:pStyle w:val="Compact"/>
            </w:pPr>
            <w:r>
              <w:t xml:space="preserve">N/A / Medium</w:t>
            </w:r>
          </w:p>
        </w:tc>
        <w:tc>
          <w:tcPr/>
          <w:p>
            <w:pPr>
              <w:pStyle w:val="Compact"/>
            </w:pPr>
            <w:r>
              <w:t xml:space="preserve">2025 / Low</w:t>
            </w:r>
          </w:p>
        </w:tc>
        <w:tc>
          <w:tcPr/>
          <w:p>
            <w:pPr>
              <w:pStyle w:val="Compact"/>
            </w:pPr>
            <w:r>
              <w:t xml:space="preserve">Yes</w:t>
            </w:r>
          </w:p>
        </w:tc>
      </w:tr>
      <w:tr>
        <w:tc>
          <w:tcPr/>
          <w:p>
            <w:pPr>
              <w:pStyle w:val="Compac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pPr>
            <w:r>
              <w:t xml:space="preserve">High / Verifiable</w:t>
            </w:r>
          </w:p>
        </w:tc>
        <w:tc>
          <w:tcPr/>
          <w:p>
            <w:pPr>
              <w:pStyle w:val="Compact"/>
            </w:pPr>
            <w:r>
              <w:t xml:space="preserve">N/A / High</w:t>
            </w:r>
          </w:p>
        </w:tc>
        <w:tc>
          <w:tcPr/>
          <w:p>
            <w:pPr>
              <w:pStyle w:val="Compact"/>
            </w:pPr>
            <w:r>
              <w:t xml:space="preserve">2022 / High</w:t>
            </w:r>
          </w:p>
        </w:tc>
        <w:tc>
          <w:tcPr/>
          <w:p>
            <w:pPr>
              <w:pStyle w:val="Compact"/>
            </w:pPr>
            <w:r>
              <w:t xml:space="preserve">Yes</w:t>
            </w:r>
          </w:p>
        </w:tc>
      </w:tr>
      <w:tr>
        <w:tc>
          <w:tcPr/>
          <w:p>
            <w:pPr>
              <w:pStyle w:val="Compac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pPr>
            <w:r>
              <w:t xml:space="preserve">High / Verifiable</w:t>
            </w:r>
          </w:p>
        </w:tc>
        <w:tc>
          <w:tcPr/>
          <w:p>
            <w:pPr>
              <w:pStyle w:val="Compact"/>
            </w:pPr>
            <w:r>
              <w:t xml:space="preserve">N/A / High</w:t>
            </w:r>
          </w:p>
        </w:tc>
        <w:tc>
          <w:tcPr/>
          <w:p>
            <w:pPr>
              <w:pStyle w:val="Compact"/>
            </w:pPr>
            <w:r>
              <w:t xml:space="preserve">2021 / High</w:t>
            </w:r>
          </w:p>
        </w:tc>
        <w:tc>
          <w:tcPr/>
          <w:p>
            <w:pPr>
              <w:pStyle w:val="Compact"/>
            </w:pPr>
            <w:r>
              <w:t xml:space="preserve">Yes</w:t>
            </w:r>
          </w:p>
        </w:tc>
      </w:tr>
      <w:tr>
        <w:tc>
          <w:tcPr/>
          <w:p>
            <w:pPr>
              <w:pStyle w:val="Compac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pPr>
            <w:r>
              <w:t xml:space="preserve">High†† / Verifiable</w:t>
            </w:r>
          </w:p>
        </w:tc>
        <w:tc>
          <w:tcPr/>
          <w:p>
            <w:pPr>
              <w:pStyle w:val="Compact"/>
            </w:pPr>
            <w:r>
              <w:t xml:space="preserve">US / High</w:t>
            </w:r>
          </w:p>
        </w:tc>
        <w:tc>
          <w:tcPr/>
          <w:p>
            <w:pPr>
              <w:pStyle w:val="Compact"/>
            </w:pPr>
            <w:r>
              <w:t xml:space="preserve">2023 / High</w:t>
            </w:r>
          </w:p>
        </w:tc>
        <w:tc>
          <w:tcPr/>
          <w:p>
            <w:pPr>
              <w:pStyle w:val="Compact"/>
            </w:pPr>
            <w:r>
              <w:t xml:space="preserve">Yes</w:t>
            </w: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3"/>
    <w:bookmarkStart w:id="34"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20"/>
        </w:numPr>
      </w:pPr>
      <w:r>
        <w:t xml:space="preserve">Analytics maturity: Evidence on HIMSS AMAM adoption, healthcare analytics capabilities, and organizational readiness</w:t>
      </w:r>
    </w:p>
    <w:p>
      <w:pPr>
        <w:pStyle w:val="Compact"/>
        <w:numPr>
          <w:ilvl w:val="0"/>
          <w:numId w:val="1020"/>
        </w:numPr>
      </w:pPr>
      <w:r>
        <w:t xml:space="preserve">Workforce turnover: Evidence on nursing and IT staff turnover rates, institutional memory loss, and knowledge transfer challenges</w:t>
      </w:r>
    </w:p>
    <w:p>
      <w:pPr>
        <w:pStyle w:val="Compact"/>
        <w:numPr>
          <w:ilvl w:val="0"/>
          <w:numId w:val="1020"/>
        </w:numPr>
      </w:pPr>
      <w:r>
        <w:t xml:space="preserve">Technical barriers: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4"/>
    <w:bookmarkStart w:id="35"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21"/>
        </w:numPr>
      </w:pPr>
      <w:r>
        <w:rPr>
          <w:i/>
          <w:iCs/>
        </w:rPr>
        <w:t xml:space="preserve">Non-exhaustive search</w:t>
      </w:r>
      <w:r>
        <w:t xml:space="preserve">: Literature identification was selective rather than exhaustive; relevant studies may have been missed</w:t>
      </w:r>
    </w:p>
    <w:p>
      <w:pPr>
        <w:pStyle w:val="Compact"/>
        <w:numPr>
          <w:ilvl w:val="0"/>
          <w:numId w:val="1021"/>
        </w:numPr>
      </w:pPr>
      <w:r>
        <w:rPr>
          <w:i/>
          <w:i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21"/>
        </w:numPr>
      </w:pPr>
      <w:r>
        <w:rPr>
          <w:i/>
          <w:i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21"/>
        </w:numPr>
      </w:pPr>
      <w:r>
        <w:rPr>
          <w:i/>
          <w:iCs/>
        </w:rPr>
        <w:t xml:space="preserve">Post-hoc selection criteria</w:t>
      </w:r>
      <w:r>
        <w:t xml:space="preserve">: Inclusion and exclusion criteria were refined during the review process rather than pre-registered</w:t>
      </w:r>
    </w:p>
    <w:p>
      <w:pPr>
        <w:pStyle w:val="Compact"/>
        <w:numPr>
          <w:ilvl w:val="0"/>
          <w:numId w:val="1021"/>
        </w:numPr>
      </w:pPr>
      <w:r>
        <w:rPr>
          <w:i/>
          <w:iCs/>
        </w:rPr>
        <w:t xml:space="preserve">No protocol registration</w:t>
      </w:r>
      <w:r>
        <w:t xml:space="preserve">: This review was not registered in PROSPERO or similar registries</w:t>
      </w:r>
    </w:p>
    <w:p>
      <w:pPr>
        <w:pStyle w:val="Compact"/>
        <w:numPr>
          <w:ilvl w:val="0"/>
          <w:numId w:val="1021"/>
        </w:numPr>
      </w:pPr>
      <w:r>
        <w:rPr>
          <w:i/>
          <w:i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“data desert”</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5"/>
    <w:bookmarkEnd w:id="36"/>
    <w:bookmarkStart w:id="40"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7"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22"/>
        </w:numPr>
      </w:pPr>
      <w:r>
        <w:rPr>
          <w:i/>
          <w:iCs/>
        </w:rPr>
        <w:t xml:space="preserve">Theme Extraction</w:t>
      </w:r>
      <w:r>
        <w:t xml:space="preserve">: Systematic coding of included sources identified recurring themes across technical, organizational, and workforce dimensions</w:t>
      </w:r>
    </w:p>
    <w:p>
      <w:pPr>
        <w:pStyle w:val="Compact"/>
        <w:numPr>
          <w:ilvl w:val="0"/>
          <w:numId w:val="1022"/>
        </w:numPr>
      </w:pPr>
      <w:r>
        <w:rPr>
          <w:i/>
          <w:iCs/>
        </w:rPr>
        <w:t xml:space="preserve">Pattern Recognition</w:t>
      </w:r>
      <w:r>
        <w:t xml:space="preserve">: Cross-domain analysis revealed that challenges in each dimension amplified challenges in others. A root cause analysis (observation-why-repeat) determined the framework’s ordering: low Analytics Maturity (Observation/Context) is driven by low Workforce Agility (Cause/Actor), which in turn is exacerbated by low Technical Enablement (Root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22"/>
        </w:numPr>
      </w:pPr>
      <w:r>
        <w:rPr>
          <w:i/>
          <w:iCs/>
        </w:rPr>
        <w:t xml:space="preserve">Pillar Identification</w:t>
      </w:r>
      <w:r>
        <w:t xml:space="preserve">: Three orthogonal yet interconnected dimensions emerged as the organizing structure:</w:t>
      </w:r>
    </w:p>
    <w:p>
      <w:pPr>
        <w:pStyle w:val="Compact"/>
        <w:numPr>
          <w:ilvl w:val="1"/>
          <w:numId w:val="1023"/>
        </w:numPr>
      </w:pPr>
      <w:r>
        <w:rPr>
          <w:i/>
          <w:iCs/>
        </w:rPr>
        <w:t xml:space="preserve">Analytics Maturity</w:t>
      </w:r>
      <w:r>
        <w:t xml:space="preserve">: Organizational capability progression measured against HIMSS AMAM stages</w:t>
      </w:r>
    </w:p>
    <w:p>
      <w:pPr>
        <w:pStyle w:val="Compact"/>
        <w:numPr>
          <w:ilvl w:val="1"/>
          <w:numId w:val="1023"/>
        </w:numPr>
      </w:pPr>
      <w:r>
        <w:rPr>
          <w:i/>
          <w:iCs/>
        </w:rPr>
        <w:t xml:space="preserve">Workforce Agility</w:t>
      </w:r>
      <w:r>
        <w:t xml:space="preserve">: Human capital retention and tacit knowledge preservation</w:t>
      </w:r>
    </w:p>
    <w:p>
      <w:pPr>
        <w:pStyle w:val="Compact"/>
        <w:numPr>
          <w:ilvl w:val="1"/>
          <w:numId w:val="1023"/>
        </w:numPr>
      </w:pPr>
      <w:r>
        <w:rPr>
          <w:i/>
          <w:iCs/>
        </w:rPr>
        <w:t xml:space="preserve">Technical Enablement</w:t>
      </w:r>
      <w:r>
        <w:t xml:space="preserve">: NL2SQL capabilities and healthcare-specific implementation solutions</w:t>
      </w:r>
    </w:p>
    <w:p>
      <w:pPr>
        <w:pStyle w:val="Compact"/>
        <w:numPr>
          <w:ilvl w:val="0"/>
          <w:numId w:val="1022"/>
        </w:numPr>
      </w:pPr>
      <w:r>
        <w:rPr>
          <w:i/>
          <w:iCs/>
        </w:rPr>
        <w:t xml:space="preserve">Framework Validation</w:t>
      </w:r>
      <w:r>
        <w:t xml:space="preserve">: Pillar structure tested against the full corpus to confirm comprehensive coverage without significant gaps</w:t>
      </w:r>
    </w:p>
    <w:bookmarkEnd w:id="37"/>
    <w:bookmarkStart w:id="38"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38"/>
    <w:bookmarkStart w:id="39"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39"/>
    <w:bookmarkEnd w:id="40"/>
    <w:bookmarkStart w:id="67"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5" w:name="state-of-healthcare-analytics-maturity"/>
    <w:p>
      <w:pPr>
        <w:pStyle w:val="Heading2"/>
      </w:pPr>
      <w:r>
        <w:rPr>
          <w:rStyle w:val="SectionNumber"/>
        </w:rPr>
        <w:t xml:space="preserve">4.1</w:t>
      </w:r>
      <w:r>
        <w:tab/>
      </w:r>
      <w:r>
        <w:t xml:space="preserve">State of Healthcare Analytics Maturity</w:t>
      </w:r>
    </w:p>
    <w:bookmarkStart w:id="41"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“analytics as a discipline has changed dramatically in the last five to 10 years,”</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Conversely, organizations at maturity stage 0 are profoundly limited in their capacity to monitor care quality, creating a</w:t>
      </w:r>
      <w:r>
        <w:t xml:space="preserve"> </w:t>
      </w:r>
      <w:r>
        <w:t xml:space="preserve">“low-maturity trap”</w:t>
      </w:r>
      <w:r>
        <w:t xml:space="preserve"> </w:t>
      </w:r>
      <w:r>
        <w:t xml:space="preserve">where underdeveloped systems prevent the baseline measurement necessary for improvement.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46</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47</w:t>
        </w:r>
      </w:hyperlink>
      <w:r>
        <w:t xml:space="preserve">)</w:t>
      </w:r>
      <w:r>
        <w:t xml:space="preserve">.</w:t>
      </w:r>
    </w:p>
    <w:p>
      <w:pPr>
        <w:pStyle w:val="BodyText"/>
      </w:pPr>
      <w:r>
        <w:t xml:space="preserve">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48</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49</w:t>
        </w:r>
      </w:hyperlink>
      <w:r>
        <w:t xml:space="preserve">)</w:t>
      </w:r>
      <w:r>
        <w:t xml:space="preserve"> </w:t>
      </w:r>
      <w:r>
        <w:t xml:space="preserve">or mortality</w:t>
      </w:r>
      <w:r>
        <w:t xml:space="preserve"> </w:t>
      </w:r>
      <w:r>
        <w:t xml:space="preserve">(</w:t>
      </w:r>
      <w:hyperlink w:anchor="ref-martin2019">
        <w:r>
          <w:rPr>
            <w:rStyle w:val="Hyperlink"/>
          </w:rPr>
          <w:t xml:space="preserve">50</w:t>
        </w:r>
      </w:hyperlink>
      <w:r>
        <w:t xml:space="preserve">)</w:t>
      </w:r>
      <w:r>
        <w:t xml:space="preserve">, suggesting that maturity alone is insufficient without workforce stability.</w:t>
      </w:r>
    </w:p>
    <w:bookmarkEnd w:id="41"/>
    <w:bookmarkStart w:id="42"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24"/>
        </w:numPr>
      </w:pPr>
      <w:r>
        <w:t xml:space="preserve">Fragmented data sources without integration</w:t>
      </w:r>
    </w:p>
    <w:p>
      <w:pPr>
        <w:pStyle w:val="Compact"/>
        <w:numPr>
          <w:ilvl w:val="0"/>
          <w:numId w:val="1024"/>
        </w:numPr>
      </w:pPr>
      <w:r>
        <w:t xml:space="preserve">Limited automated reporting capabilities</w:t>
      </w:r>
    </w:p>
    <w:p>
      <w:pPr>
        <w:pStyle w:val="Compact"/>
        <w:numPr>
          <w:ilvl w:val="0"/>
          <w:numId w:val="1024"/>
        </w:numPr>
      </w:pPr>
      <w:r>
        <w:t xml:space="preserve">Lack of standardized data governance</w:t>
      </w:r>
    </w:p>
    <w:p>
      <w:pPr>
        <w:pStyle w:val="Compact"/>
        <w:numPr>
          <w:ilvl w:val="0"/>
          <w:numId w:val="1024"/>
        </w:numPr>
      </w:pPr>
      <w:r>
        <w:t xml:space="preserve">Minimal predictive or prescriptive analytics</w:t>
      </w:r>
    </w:p>
    <w:p>
      <w:pPr>
        <w:pStyle w:val="Compact"/>
        <w:numPr>
          <w:ilvl w:val="0"/>
          <w:numId w:val="1024"/>
        </w:numPr>
      </w:pPr>
      <w:r>
        <w:t xml:space="preserve">Absence of real-time decision support</w:t>
      </w:r>
    </w:p>
    <w:bookmarkEnd w:id="42"/>
    <w:bookmarkStart w:id="43"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51</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52</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53</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3"/>
    <w:bookmarkStart w:id="44"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54</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55</w:t>
        </w:r>
      </w:hyperlink>
      <w:r>
        <w:t xml:space="preserve">,</w:t>
      </w:r>
      <w:hyperlink w:anchor="ref-gokalp2023">
        <w:r>
          <w:rPr>
            <w:rStyle w:val="Hyperlink"/>
          </w:rPr>
          <w:t xml:space="preserve">56</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57</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58</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59</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60</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61</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62</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63</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“detective work”</w:t>
      </w:r>
      <w:r>
        <w:t xml:space="preserve"> </w:t>
      </w:r>
      <w:r>
        <w:t xml:space="preserve">and reverse-engineering for research data integration</w:t>
      </w:r>
      <w:r>
        <w:t xml:space="preserve"> </w:t>
      </w:r>
      <w:r>
        <w:t xml:space="preserve">(</w:t>
      </w:r>
      <w:hyperlink w:anchor="ref-dugas2016">
        <w:r>
          <w:rPr>
            <w:rStyle w:val="Hyperlink"/>
          </w:rPr>
          <w:t xml:space="preserve">64</w:t>
        </w:r>
      </w:hyperlink>
      <w:r>
        <w:t xml:space="preserve">,</w:t>
      </w:r>
      <w:hyperlink w:anchor="ref-bokov2017">
        <w:r>
          <w:rPr>
            <w:rStyle w:val="Hyperlink"/>
          </w:rPr>
          <w:t xml:space="preserve">65</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66</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67</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“loss of information with staff changes”</w:t>
      </w:r>
      <w:r>
        <w:t xml:space="preserve"> </w:t>
      </w:r>
      <w:r>
        <w:t xml:space="preserve">as a key vulnerability</w:t>
      </w:r>
      <w:r>
        <w:t xml:space="preserve"> </w:t>
      </w:r>
      <w:r>
        <w:t xml:space="preserve">(</w:t>
      </w:r>
      <w:hyperlink w:anchor="ref-hovenga2013">
        <w:r>
          <w:rPr>
            <w:rStyle w:val="Hyperlink"/>
          </w:rPr>
          <w:t xml:space="preserve">68</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4"/>
    <w:bookmarkEnd w:id="45"/>
    <w:bookmarkStart w:id="49" w:name="X033aaa01add75caa19416ed7b909f71ff5bd76d"/>
    <w:p>
      <w:pPr>
        <w:pStyle w:val="Heading2"/>
      </w:pPr>
      <w:r>
        <w:rPr>
          <w:rStyle w:val="SectionNumber"/>
        </w:rPr>
        <w:t xml:space="preserve">4.2</w:t>
      </w:r>
      <w:r>
        <w:tab/>
      </w:r>
      <w:r>
        <w:t xml:space="preserve">Healthcare Workforce Turnover and Knowledge Loss</w:t>
      </w:r>
    </w:p>
    <w:bookmarkStart w:id="46"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69</w:t>
        </w:r>
      </w:hyperlink>
      <w:r>
        <w:t xml:space="preserve">,</w:t>
      </w:r>
      <w:hyperlink w:anchor="ref-ren2024">
        <w:r>
          <w:rPr>
            <w:rStyle w:val="Hyperlink"/>
          </w:rPr>
          <w:t xml:space="preserve">70</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‘sliding back’</w:t>
      </w:r>
      <w:r>
        <w:t xml:space="preserve"> </w:t>
      </w:r>
      <w:r>
        <w:t xml:space="preserve">of performance capabilities</w:t>
      </w:r>
      <w:r>
        <w:t xml:space="preserve"> </w:t>
      </w:r>
      <w:r>
        <w:t xml:space="preserve">(</w:t>
      </w:r>
      <w:hyperlink w:anchor="ref-hong2025">
        <w:r>
          <w:rPr>
            <w:rStyle w:val="Hyperlink"/>
          </w:rPr>
          <w:t xml:space="preserve">71</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“knowledge worker premium,”</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72</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73</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“Information and Digital Health”</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“revolving door”</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74</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75</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76</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77</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“organizational forgetting.”</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“forget”</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“loss of competence”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6"/>
    <w:bookmarkStart w:id="47"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78</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79</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This</w:t>
      </w:r>
      <w:r>
        <w:t xml:space="preserve"> </w:t>
      </w:r>
      <w:r>
        <w:t xml:space="preserve">“documentation paradox”</w:t>
      </w:r>
      <w:r>
        <w:t xml:space="preserve"> </w:t>
      </w:r>
      <w:r>
        <w:t xml:space="preserve">is particularly acute in healthcare analytics: tacitness risk arises when knowledge necessary to manage risk resides only in individuals’ heads, while high semantic complexity requires expert</w:t>
      </w:r>
      <w:r>
        <w:t xml:space="preserve"> </w:t>
      </w:r>
      <w:r>
        <w:t xml:space="preserve">“reasoning”</w:t>
      </w:r>
      <w:r>
        <w:t xml:space="preserve"> </w:t>
      </w:r>
      <w:r>
        <w:t xml:space="preserve">that written reports fail to convey</w:t>
      </w:r>
      <w:r>
        <w:t xml:space="preserve"> </w:t>
      </w:r>
      <w:r>
        <w:t xml:space="preserve">(</w:t>
      </w:r>
      <w:hyperlink w:anchor="ref-massingham2018">
        <w:r>
          <w:rPr>
            <w:rStyle w:val="Hyperlink"/>
          </w:rPr>
          <w:t xml:space="preserve">34</w:t>
        </w:r>
      </w:hyperlink>
      <w:r>
        <w:t xml:space="preserve">,</w:t>
      </w:r>
      <w:hyperlink w:anchor="ref-wang2020">
        <w:r>
          <w:rPr>
            <w:rStyle w:val="Hyperlink"/>
          </w:rPr>
          <w:t xml:space="preserve">80</w:t>
        </w:r>
      </w:hyperlink>
      <w:r>
        <w:t xml:space="preserve">)</w:t>
      </w:r>
      <w:r>
        <w:t xml:space="preserve">. Furthermore, an</w:t>
      </w:r>
      <w:r>
        <w:t xml:space="preserve"> </w:t>
      </w:r>
      <w:r>
        <w:t xml:space="preserve">“intelligibility gap”</w:t>
      </w:r>
      <w:r>
        <w:t xml:space="preserve"> </w:t>
      </w:r>
      <w:r>
        <w:t xml:space="preserve">often exists where analysts present findings as too unintelligible to senior managers, creating a barrier to effective knowledge transfer</w:t>
      </w:r>
      <w:r>
        <w:t xml:space="preserve"> </w:t>
      </w:r>
      <w:r>
        <w:t xml:space="preserve">(</w:t>
      </w:r>
      <w:hyperlink w:anchor="ref-bardsley2016">
        <w:r>
          <w:rPr>
            <w:rStyle w:val="Hyperlink"/>
          </w:rPr>
          <w:t xml:space="preserve">52</w:t>
        </w:r>
      </w:hyperlink>
      <w:r>
        <w:t xml:space="preserve">)</w:t>
      </w:r>
      <w:r>
        <w:t xml:space="preserve">. These challenges lead to</w:t>
      </w:r>
      <w:r>
        <w:t xml:space="preserve"> </w:t>
      </w:r>
      <w:r>
        <w:t xml:space="preserve">“fatal mistakes”</w:t>
      </w:r>
      <w:r>
        <w:t xml:space="preserve"> </w:t>
      </w:r>
      <w:r>
        <w:t xml:space="preserve">in data retrieval, where over 40% of entity normalization errors result from a lack of domain expertise regarding ambiguous medical hypernyms</w:t>
      </w:r>
      <w:r>
        <w:t xml:space="preserve"> </w:t>
      </w:r>
      <w:r>
        <w:t xml:space="preserve">(</w:t>
      </w:r>
      <w:hyperlink w:anchor="ref-yuan2019">
        <w:r>
          <w:rPr>
            <w:rStyle w:val="Hyperlink"/>
          </w:rPr>
          <w:t xml:space="preserve">81</w:t>
        </w:r>
      </w:hyperlink>
      <w:r>
        <w:t xml:space="preserve">)</w:t>
      </w:r>
      <w:r>
        <w:t xml:space="preserve">.</w:t>
      </w:r>
    </w:p>
    <w:bookmarkEnd w:id="47"/>
    <w:bookmarkStart w:id="48"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78</w:t>
        </w:r>
      </w:hyperlink>
      <w:r>
        <w:t xml:space="preserve">)</w:t>
      </w:r>
      <w:r>
        <w:t xml:space="preserve">:</w:t>
      </w:r>
    </w:p>
    <w:p>
      <w:pPr>
        <w:pStyle w:val="Compact"/>
        <w:numPr>
          <w:ilvl w:val="0"/>
          <w:numId w:val="1025"/>
        </w:numPr>
      </w:pPr>
      <w:r>
        <w:t xml:space="preserve">Traditional knowledge transfer mechanisms show limited effectiveness</w:t>
      </w:r>
    </w:p>
    <w:p>
      <w:pPr>
        <w:pStyle w:val="Compact"/>
        <w:numPr>
          <w:ilvl w:val="0"/>
          <w:numId w:val="1025"/>
        </w:numPr>
      </w:pPr>
      <w:r>
        <w:t xml:space="preserve">Organizations struggle to capture and maintain analytical expertise</w:t>
      </w:r>
    </w:p>
    <w:p>
      <w:pPr>
        <w:pStyle w:val="Compact"/>
        <w:numPr>
          <w:ilvl w:val="0"/>
          <w:numId w:val="1025"/>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25"/>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48"/>
    <w:bookmarkEnd w:id="49"/>
    <w:bookmarkStart w:id="54" w:name="Xb8a8e2823f9f1dde7832c4cb2e15583554ebaf3"/>
    <w:p>
      <w:pPr>
        <w:pStyle w:val="Heading2"/>
      </w:pPr>
      <w:r>
        <w:rPr>
          <w:rStyle w:val="SectionNumber"/>
        </w:rPr>
        <w:t xml:space="preserve">4.3</w:t>
      </w:r>
      <w:r>
        <w:tab/>
      </w:r>
      <w:r>
        <w:t xml:space="preserve">State of Natural Language to SQL Generation</w:t>
      </w:r>
    </w:p>
    <w:bookmarkStart w:id="50"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“current language models are not yet sufficiently accurate for unsupervised use”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82</w:t>
        </w:r>
      </w:hyperlink>
      <w:r>
        <w:t xml:space="preserve">,</w:t>
      </w:r>
      <w:hyperlink w:anchor="ref-openai2025">
        <w:r>
          <w:rPr>
            <w:rStyle w:val="Hyperlink"/>
          </w:rPr>
          <w:t xml:space="preserve">83</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84</w:t>
        </w:r>
      </w:hyperlink>
      <w:r>
        <w:t xml:space="preserve">,</w:t>
      </w:r>
      <w:hyperlink w:anchor="ref-wu2024a">
        <w:r>
          <w:rPr>
            <w:rStyle w:val="Hyperlink"/>
          </w:rPr>
          <w:t xml:space="preserve">85</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82</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86</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83</w:t>
        </w:r>
      </w:hyperlink>
      <w:r>
        <w:t xml:space="preserve">)</w:t>
      </w:r>
      <w:r>
        <w:t xml:space="preserve">.</w:t>
      </w:r>
    </w:p>
    <w:bookmarkEnd w:id="50"/>
    <w:bookmarkStart w:id="51"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51</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80</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1"/>
    <w:bookmarkStart w:id="52"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80</w:t>
        </w:r>
      </w:hyperlink>
      <w:r>
        <w:t xml:space="preserve">)</w:t>
      </w:r>
      <w:r>
        <w:t xml:space="preserve"> </w:t>
      </w:r>
      <w:r>
        <w:t xml:space="preserve">and EHRSQL benchmark</w:t>
      </w:r>
      <w:r>
        <w:t xml:space="preserve"> </w:t>
      </w:r>
      <w:r>
        <w:t xml:space="preserve">(</w:t>
      </w:r>
      <w:hyperlink w:anchor="ref-lee2023">
        <w:r>
          <w:rPr>
            <w:rStyle w:val="Hyperlink"/>
          </w:rPr>
          <w:t xml:space="preserve">87</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88</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84</w:t>
        </w:r>
      </w:hyperlink>
      <w:r>
        <w:t xml:space="preserve">)</w:t>
      </w:r>
      <w:r>
        <w:t xml:space="preserve">,</w:t>
      </w:r>
      <w:r>
        <w:t xml:space="preserve"> </w:t>
      </w:r>
      <w:r>
        <w:t xml:space="preserve">(</w:t>
      </w:r>
      <w:hyperlink w:anchor="ref-wu2024a">
        <w:r>
          <w:rPr>
            <w:rStyle w:val="Hyperlink"/>
          </w:rPr>
          <w:t xml:space="preserve">85</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89</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90</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2"/>
    <w:bookmarkStart w:id="53"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91</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81</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81</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92</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93</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94</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“many days”</w:t>
      </w:r>
      <w:r>
        <w:t xml:space="preserve"> </w:t>
      </w:r>
      <w:r>
        <w:t xml:space="preserve">with SQL to</w:t>
      </w:r>
      <w:r>
        <w:t xml:space="preserve"> </w:t>
      </w:r>
      <w:r>
        <w:t xml:space="preserve">“a few hours”</w:t>
      </w:r>
      <w:r>
        <w:t xml:space="preserve"> </w:t>
      </w:r>
      <w:r>
        <w:t xml:space="preserve">with natural language, with expert users describing SQL as</w:t>
      </w:r>
      <w:r>
        <w:t xml:space="preserve"> </w:t>
      </w:r>
      <w:r>
        <w:t xml:space="preserve">“very tedious and time-consuming”</w:t>
      </w:r>
      <w:r>
        <w:t xml:space="preserve"> </w:t>
      </w:r>
      <w:r>
        <w:t xml:space="preserve">for the same analytical tasks</w:t>
      </w:r>
      <w:r>
        <w:t xml:space="preserve"> </w:t>
      </w:r>
      <w:r>
        <w:t xml:space="preserve">(</w:t>
      </w:r>
      <w:hyperlink w:anchor="ref-safari2014">
        <w:r>
          <w:rPr>
            <w:rStyle w:val="Hyperlink"/>
          </w:rPr>
          <w:t xml:space="preserve">95</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96</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97</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98</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99</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3"/>
    <w:bookmarkEnd w:id="54"/>
    <w:bookmarkStart w:id="58" w:name="Xca10dac733c4b284609ad3ca0d26f7400b78729"/>
    <w:p>
      <w:pPr>
        <w:pStyle w:val="Heading2"/>
      </w:pPr>
      <w:r>
        <w:rPr>
          <w:rStyle w:val="SectionNumber"/>
        </w:rPr>
        <w:t xml:space="preserve">4.4</w:t>
      </w:r>
      <w:r>
        <w:tab/>
      </w:r>
      <w:r>
        <w:t xml:space="preserve">Integration of Evidence: Synthesis Across Three Pillars</w:t>
      </w:r>
    </w:p>
    <w:bookmarkStart w:id="55"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“exploitation”</w:t>
      </w:r>
      <w:r>
        <w:t xml:space="preserve"> </w:t>
      </w:r>
      <w:r>
        <w:t xml:space="preserve">(monitoring known metrics such as bed occupancy or infection rates) and provide essential</w:t>
      </w:r>
      <w:r>
        <w:t xml:space="preserve"> </w:t>
      </w:r>
      <w:r>
        <w:t xml:space="preserve">“at-a-glance”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100</w:t>
        </w:r>
      </w:hyperlink>
      <w:r>
        <w:t xml:space="preserve">)</w:t>
      </w:r>
      <w:r>
        <w:t xml:space="preserve">. Conversational analytics revolutionizes this</w:t>
      </w:r>
      <w:r>
        <w:t xml:space="preserve"> </w:t>
      </w:r>
      <w:r>
        <w:t xml:space="preserve">“time-to-insight”</w:t>
      </w:r>
      <w:r>
        <w:t xml:space="preserve"> </w:t>
      </w:r>
      <w:r>
        <w:t xml:space="preserve">by enabling</w:t>
      </w:r>
      <w:r>
        <w:t xml:space="preserve"> </w:t>
      </w:r>
      <w:r>
        <w:t xml:space="preserve">“exploration”</w:t>
      </w:r>
      <w:r>
        <w:t xml:space="preserve"> </w:t>
      </w:r>
      <w:r>
        <w:t xml:space="preserve">for ad-hoc questions, reducing retrieval time from days to seconds</w:t>
      </w:r>
      <w:r>
        <w:t xml:space="preserve"> </w:t>
      </w:r>
      <w:r>
        <w:t xml:space="preserve">(</w:t>
      </w:r>
      <w:hyperlink w:anchor="ref-syed2025">
        <w:r>
          <w:rPr>
            <w:rStyle w:val="Hyperlink"/>
          </w:rPr>
          <w:t xml:space="preserve">100</w:t>
        </w:r>
      </w:hyperlink>
      <w:r>
        <w:t xml:space="preserve">)</w:t>
      </w:r>
      <w:r>
        <w:t xml:space="preserve">. Modern systems are increasingly moving toward integrated</w:t>
      </w:r>
      <w:r>
        <w:t xml:space="preserve"> </w:t>
      </w:r>
      <w:r>
        <w:t xml:space="preserve">“Visual-Conversational”</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101</w:t>
        </w:r>
      </w:hyperlink>
      <w:r>
        <w:t xml:space="preserve">,</w:t>
      </w:r>
      <w:hyperlink w:anchor="ref-ruoff2023">
        <w:r>
          <w:rPr>
            <w:rStyle w:val="Hyperlink"/>
          </w:rPr>
          <w:t xml:space="preserve">102</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103</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104</w:t>
        </w:r>
      </w:hyperlink>
      <w:r>
        <w:t xml:space="preserve">)</w:t>
      </w:r>
      <w:r>
        <w:t xml:space="preserve">. By democratizing access, organizations can advance their effective maturity, the ability to actually use data, even while backend infrastructure remains in transition.</w:t>
      </w:r>
    </w:p>
    <w:bookmarkEnd w:id="55"/>
    <w:bookmarkStart w:id="56"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105</w:t>
        </w:r>
      </w:hyperlink>
      <w:r>
        <w:t xml:space="preserve">,</w:t>
      </w:r>
      <w:hyperlink w:anchor="ref-rangachari2020">
        <w:r>
          <w:rPr>
            <w:rStyle w:val="Hyperlink"/>
          </w:rPr>
          <w:t xml:space="preserve">106</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26"/>
        </w:numPr>
      </w:pPr>
      <w:r>
        <w:t xml:space="preserve">Capturing decision-making patterns through usage</w:t>
      </w:r>
      <w:r>
        <w:t xml:space="preserve"> </w:t>
      </w:r>
      <w:r>
        <w:t xml:space="preserve">(</w:t>
      </w:r>
      <w:hyperlink w:anchor="ref-moore2018">
        <w:r>
          <w:rPr>
            <w:rStyle w:val="Hyperlink"/>
          </w:rPr>
          <w:t xml:space="preserve">107</w:t>
        </w:r>
      </w:hyperlink>
      <w:r>
        <w:t xml:space="preserve">)</w:t>
      </w:r>
    </w:p>
    <w:p>
      <w:pPr>
        <w:pStyle w:val="Compact"/>
        <w:numPr>
          <w:ilvl w:val="0"/>
          <w:numId w:val="1026"/>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26"/>
        </w:numPr>
      </w:pPr>
      <w:r>
        <w:t xml:space="preserve">Providing context-aware guidance to new users</w:t>
      </w:r>
    </w:p>
    <w:p>
      <w:pPr>
        <w:pStyle w:val="Compact"/>
        <w:numPr>
          <w:ilvl w:val="0"/>
          <w:numId w:val="1026"/>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“validated queries”</w:t>
      </w:r>
      <w:r>
        <w:t xml:space="preserve"> </w:t>
      </w:r>
      <w:r>
        <w:t xml:space="preserve">remain in the system, allowing a junior replacement to immediately leverage that expertise rather than starting from zero, mitigating the</w:t>
      </w:r>
      <w:r>
        <w:t xml:space="preserve"> </w:t>
      </w:r>
      <w:r>
        <w:t xml:space="preserve">“loss of competence”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6"/>
    <w:bookmarkStart w:id="57"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Precision medicine platforms leveraging conversational AI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94</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109</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110</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111</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112</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7"/>
    <w:bookmarkEnd w:id="58"/>
    <w:bookmarkStart w:id="62" w:name="strategic-alignment-with-industry-trends"/>
    <w:p>
      <w:pPr>
        <w:pStyle w:val="Heading2"/>
      </w:pPr>
      <w:r>
        <w:rPr>
          <w:rStyle w:val="SectionNumber"/>
        </w:rPr>
        <w:t xml:space="preserve">4.5</w:t>
      </w:r>
      <w:r>
        <w:tab/>
      </w:r>
      <w:r>
        <w:t xml:space="preserve">Strategic Alignment with Industry Trends</w:t>
      </w:r>
    </w:p>
    <w:bookmarkStart w:id="59"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59"/>
    <w:bookmarkStart w:id="60"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0"/>
    <w:bookmarkStart w:id="61"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91</w:t>
        </w:r>
      </w:hyperlink>
      <w:r>
        <w:t xml:space="preserve">)</w:t>
      </w:r>
      <w:r>
        <w:t xml:space="preserve"> </w:t>
      </w:r>
      <w:r>
        <w:t xml:space="preserve">report a 63% increase in self-service analytics adoption among non-technical staff and a 37% reduction in data retrieval time. Jiao et al.</w:t>
      </w:r>
      <w:r>
        <w:t xml:space="preserve"> </w:t>
      </w:r>
      <w:r>
        <w:t xml:space="preserve">(</w:t>
      </w:r>
      <w:hyperlink w:anchor="ref-jiao2023">
        <w:r>
          <w:rPr>
            <w:rStyle w:val="Hyperlink"/>
          </w:rPr>
          <w:t xml:space="preserve">113</w:t>
        </w:r>
      </w:hyperlink>
      <w:r>
        <w:t xml:space="preserve">)</w:t>
      </w:r>
      <w:r>
        <w:t xml:space="preserve"> </w:t>
      </w:r>
      <w:r>
        <w:t xml:space="preserve">further established the economic value of AI in healthcare, identifying measurable cost reductions across administrative and clinical workflows.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94</w:t>
        </w:r>
      </w:hyperlink>
      <w:r>
        <w:t xml:space="preserve">)</w:t>
      </w:r>
      <w:r>
        <w:t xml:space="preserve">. Pennington</w:t>
      </w:r>
      <w:r>
        <w:t xml:space="preserve"> </w:t>
      </w:r>
      <w:r>
        <w:t xml:space="preserve">(</w:t>
      </w:r>
      <w:hyperlink w:anchor="ref-pennington2023">
        <w:r>
          <w:rPr>
            <w:rStyle w:val="Hyperlink"/>
          </w:rPr>
          <w:t xml:space="preserve">111</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114</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109</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115</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1"/>
    <w:bookmarkEnd w:id="62"/>
    <w:bookmarkStart w:id="63"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27"/>
        </w:numPr>
      </w:pPr>
      <w:r>
        <w:rPr>
          <w:i/>
          <w:iCs/>
        </w:rPr>
        <w:t xml:space="preserve">Long-term outcomes</w:t>
      </w:r>
      <w:r>
        <w:t xml:space="preserve">: Most studies examine 6-24 month implementations</w:t>
      </w:r>
      <w:r>
        <w:t xml:space="preserve"> </w:t>
      </w:r>
      <w:r>
        <w:t xml:space="preserve">(</w:t>
      </w:r>
      <w:hyperlink w:anchor="ref-dadi2025">
        <w:r>
          <w:rPr>
            <w:rStyle w:val="Hyperlink"/>
          </w:rPr>
          <w:t xml:space="preserve">91</w:t>
        </w:r>
      </w:hyperlink>
      <w:r>
        <w:t xml:space="preserve">,</w:t>
      </w:r>
      <w:hyperlink w:anchor="ref-pennington2023">
        <w:r>
          <w:rPr>
            <w:rStyle w:val="Hyperlink"/>
          </w:rPr>
          <w:t xml:space="preserve">111</w:t>
        </w:r>
      </w:hyperlink>
      <w:r>
        <w:t xml:space="preserve">)</w:t>
      </w:r>
      <w:r>
        <w:t xml:space="preserve">; multi-year impacts remain understudied</w:t>
      </w:r>
    </w:p>
    <w:p>
      <w:pPr>
        <w:pStyle w:val="Compact"/>
        <w:numPr>
          <w:ilvl w:val="0"/>
          <w:numId w:val="1027"/>
        </w:numPr>
      </w:pPr>
      <w:r>
        <w:rPr>
          <w:i/>
          <w:i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specialty-specific applications need investigation</w:t>
      </w:r>
    </w:p>
    <w:p>
      <w:pPr>
        <w:pStyle w:val="Compact"/>
        <w:numPr>
          <w:ilvl w:val="0"/>
          <w:numId w:val="1027"/>
        </w:numPr>
      </w:pPr>
      <w:r>
        <w:rPr>
          <w:i/>
          <w:i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7"/>
        </w:numPr>
      </w:pPr>
      <w:r>
        <w:rPr>
          <w:i/>
          <w:iCs/>
        </w:rPr>
        <w:t xml:space="preserve">Training methodologies</w:t>
      </w:r>
      <w:r>
        <w:t xml:space="preserve">: Best practices for transitioning from traditional</w:t>
      </w:r>
      <w:r>
        <w:t xml:space="preserve"> </w:t>
      </w:r>
      <w:r>
        <w:t xml:space="preserve">(</w:t>
      </w:r>
      <w:hyperlink w:anchor="ref-musa2023">
        <w:r>
          <w:rPr>
            <w:rStyle w:val="Hyperlink"/>
          </w:rPr>
          <w:t xml:space="preserve">76</w:t>
        </w:r>
      </w:hyperlink>
      <w:r>
        <w:t xml:space="preserve">)</w:t>
      </w:r>
      <w:r>
        <w:t xml:space="preserve"> </w:t>
      </w:r>
      <w:r>
        <w:t xml:space="preserve">to conversational analytics lack empirical validation</w:t>
      </w:r>
    </w:p>
    <w:p>
      <w:pPr>
        <w:pStyle w:val="Compact"/>
        <w:numPr>
          <w:ilvl w:val="0"/>
          <w:numId w:val="1027"/>
        </w:numPr>
      </w:pPr>
      <w:r>
        <w:rPr>
          <w:i/>
          <w:i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92</w:t>
        </w:r>
      </w:hyperlink>
      <w:r>
        <w:t xml:space="preserve">,</w:t>
      </w:r>
      <w:hyperlink w:anchor="ref-yang2025">
        <w:r>
          <w:rPr>
            <w:rStyle w:val="Hyperlink"/>
          </w:rPr>
          <w:t xml:space="preserve">108</w:t>
        </w:r>
      </w:hyperlink>
      <w:r>
        <w:t xml:space="preserve">)</w:t>
      </w:r>
    </w:p>
    <w:p>
      <w:pPr>
        <w:pStyle w:val="Compact"/>
        <w:numPr>
          <w:ilvl w:val="0"/>
          <w:numId w:val="1027"/>
        </w:numPr>
      </w:pPr>
      <w:r>
        <w:rPr>
          <w:i/>
          <w:i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81</w:t>
        </w:r>
      </w:hyperlink>
      <w:r>
        <w:t xml:space="preserve">)</w:t>
      </w:r>
      <w:r>
        <w:t xml:space="preserve">,</w:t>
      </w:r>
      <w:r>
        <w:t xml:space="preserve"> </w:t>
      </w:r>
      <w:r>
        <w:t xml:space="preserve">(</w:t>
      </w:r>
      <w:hyperlink w:anchor="ref-dadi2025">
        <w:r>
          <w:rPr>
            <w:rStyle w:val="Hyperlink"/>
          </w:rPr>
          <w:t xml:space="preserve">91</w:t>
        </w:r>
      </w:hyperlink>
      <w:r>
        <w:t xml:space="preserve">)</w:t>
      </w:r>
      <w:r>
        <w:t xml:space="preserve">,</w:t>
      </w:r>
      <w:r>
        <w:t xml:space="preserve"> </w:t>
      </w:r>
      <w:r>
        <w:t xml:space="preserve">(</w:t>
      </w:r>
      <w:hyperlink w:anchor="ref-shah2020">
        <w:r>
          <w:rPr>
            <w:rStyle w:val="Hyperlink"/>
          </w:rPr>
          <w:t xml:space="preserve">94</w:t>
        </w:r>
      </w:hyperlink>
      <w:r>
        <w:t xml:space="preserve">)</w:t>
      </w:r>
      <w:r>
        <w:t xml:space="preserve">,</w:t>
      </w:r>
      <w:r>
        <w:t xml:space="preserve"> </w:t>
      </w:r>
      <w:r>
        <w:t xml:space="preserve">(</w:t>
      </w:r>
      <w:hyperlink w:anchor="ref-ipeirotis2025">
        <w:r>
          <w:rPr>
            <w:rStyle w:val="Hyperlink"/>
          </w:rPr>
          <w:t xml:space="preserve">93</w:t>
        </w:r>
      </w:hyperlink>
      <w:r>
        <w:t xml:space="preserve">)</w:t>
      </w:r>
      <w:r>
        <w:t xml:space="preserve">), longitudinal studies tracking sustained productivity improvements over multiple years remain limited</w:t>
      </w:r>
    </w:p>
    <w:p>
      <w:pPr>
        <w:pStyle w:val="Compact"/>
        <w:numPr>
          <w:ilvl w:val="0"/>
          <w:numId w:val="1027"/>
        </w:numPr>
      </w:pPr>
      <w:r>
        <w:rPr>
          <w:i/>
          <w:i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27"/>
        </w:numPr>
      </w:pPr>
      <w:r>
        <w:rPr>
          <w:i/>
          <w:i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116</w:t>
        </w:r>
      </w:hyperlink>
      <w:r>
        <w:t xml:space="preserve">)</w:t>
      </w:r>
      <w:r>
        <w:t xml:space="preserve">. As of this review, AMAM-specific outcome studies remain very limited, providing only emerging evidence for analytics maturity (as distinct from EHR adoption) impact on outcomes</w:t>
      </w:r>
    </w:p>
    <w:bookmarkEnd w:id="63"/>
    <w:bookmarkStart w:id="66"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4"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“patchwork”</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“messy reality”</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4"/>
    <w:bookmarkStart w:id="65"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5"/>
    <w:bookmarkEnd w:id="66"/>
    <w:bookmarkEnd w:id="67"/>
    <w:bookmarkStart w:id="99" w:name="discussion"/>
    <w:p>
      <w:pPr>
        <w:pStyle w:val="Heading1"/>
      </w:pPr>
      <w:r>
        <w:rPr>
          <w:rStyle w:val="SectionNumber"/>
        </w:rPr>
        <w:t xml:space="preserve">5</w:t>
      </w:r>
      <w:r>
        <w:tab/>
      </w:r>
      <w:r>
        <w:t xml:space="preserve">Discussion</w:t>
      </w:r>
    </w:p>
    <w:bookmarkStart w:id="73"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68"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84</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85</w:t>
        </w:r>
      </w:hyperlink>
      <w:r>
        <w:t xml:space="preserve">)</w:t>
      </w:r>
      <w:r>
        <w:t xml:space="preserve"> </w:t>
      </w:r>
      <w:r>
        <w:t xml:space="preserve">offer reproducible, quantitative performance metrics.</w:t>
      </w:r>
    </w:p>
    <w:bookmarkEnd w:id="68"/>
    <w:bookmarkStart w:id="69"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69"/>
    <w:bookmarkStart w:id="70"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0"/>
    <w:bookmarkStart w:id="71"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conversational analytics adoption linked to operational efficiency gains of 21.3% and staff productivity correlations of r = 0.60</w:t>
      </w:r>
      <w:r>
        <w:t xml:space="preserve"> </w:t>
      </w:r>
      <w:r>
        <w:t xml:space="preserve">(</w:t>
      </w:r>
      <w:hyperlink w:anchor="ref-nashid2023a">
        <w:r>
          <w:rPr>
            <w:rStyle w:val="Hyperlink"/>
          </w:rPr>
          <w:t xml:space="preserve">124</w:t>
        </w:r>
      </w:hyperlink>
      <w:r>
        <w:t xml:space="preserve">)</w:t>
      </w:r>
      <w:r>
        <w:t xml:space="preserve">. Furthermore, industry analysis of low-code implementation—a technical precursor to conversational interfaces—demonstrates a 50% reduction in application development time and an ROI of 206% over three years</w:t>
      </w:r>
      <w:r>
        <w:t xml:space="preserve"> </w:t>
      </w:r>
      <w:r>
        <w:t xml:space="preserve">(</w:t>
      </w:r>
      <w:hyperlink w:anchor="ref-forrester2024a">
        <w:r>
          <w:rPr>
            <w:rStyle w:val="Hyperlink"/>
          </w:rPr>
          <w:t xml:space="preserve">125</w:t>
        </w:r>
      </w:hyperlink>
      <w:r>
        <w:t xml:space="preserve">)</w:t>
      </w:r>
      <w:r>
        <w:t xml:space="preserve">.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1"/>
    <w:bookmarkStart w:id="72"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“current language models are not yet sufficiently accurate for unsupervised use,”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85</w:t>
        </w:r>
      </w:hyperlink>
      <w:r>
        <w:t xml:space="preserve">)</w:t>
      </w:r>
      <w:r>
        <w:t xml:space="preserve"> </w:t>
      </w:r>
      <w:r>
        <w:t xml:space="preserve">show significant gaps between benchmark performance and clinical readiness. This honest assessment enables appropriate implementation strategies.</w:t>
      </w:r>
    </w:p>
    <w:bookmarkEnd w:id="72"/>
    <w:bookmarkEnd w:id="73"/>
    <w:bookmarkStart w:id="80"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4"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4"/>
    <w:bookmarkStart w:id="75"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75"/>
    <w:bookmarkStart w:id="76"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126</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6"/>
    <w:bookmarkStart w:id="77"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93</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127</w:t>
        </w:r>
      </w:hyperlink>
      <w:r>
        <w:t xml:space="preserve">)</w:t>
      </w:r>
      <w:r>
        <w:t xml:space="preserve">.</w:t>
      </w:r>
    </w:p>
    <w:bookmarkEnd w:id="77"/>
    <w:bookmarkStart w:id="78"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58</w:t>
        </w:r>
      </w:hyperlink>
      <w:r>
        <w:t xml:space="preserve">,</w:t>
      </w:r>
      <w:hyperlink w:anchor="ref-wang2025">
        <w:r>
          <w:rPr>
            <w:rStyle w:val="Hyperlink"/>
          </w:rPr>
          <w:t xml:space="preserve">82</w:t>
        </w:r>
      </w:hyperlink>
      <w:r>
        <w:t xml:space="preserve">)</w:t>
      </w:r>
      <w:r>
        <w:t xml:space="preserve">. Applications in specialized domains (oncology, cardiology, mental health) require domain-specific validation and customization that may not generalize from the existing evidence base.</w:t>
      </w:r>
    </w:p>
    <w:bookmarkEnd w:id="78"/>
    <w:bookmarkStart w:id="79"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79"/>
    <w:bookmarkEnd w:id="80"/>
    <w:bookmarkStart w:id="84"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1"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8"/>
        </w:numPr>
      </w:pPr>
      <w:r>
        <w:rPr>
          <w:i/>
          <w:i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p>
    <w:p>
      <w:pPr>
        <w:pStyle w:val="Compact"/>
        <w:numPr>
          <w:ilvl w:val="0"/>
          <w:numId w:val="1028"/>
        </w:numPr>
      </w:pPr>
      <w:r>
        <w:rPr>
          <w:i/>
          <w:i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8"/>
        </w:numPr>
      </w:pPr>
      <w:r>
        <w:rPr>
          <w:i/>
          <w:i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8"/>
        </w:numPr>
      </w:pPr>
      <w:r>
        <w:rPr>
          <w:i/>
          <w:i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86</w:t>
        </w:r>
      </w:hyperlink>
      <w:r>
        <w:t xml:space="preserve">)</w:t>
      </w:r>
      <w:r>
        <w:t xml:space="preserve">.</w:t>
      </w:r>
    </w:p>
    <w:bookmarkEnd w:id="81"/>
    <w:bookmarkStart w:id="82"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9"/>
        </w:numPr>
      </w:pPr>
      <w:r>
        <w:rPr>
          <w:i/>
          <w:i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9"/>
        </w:numPr>
      </w:pPr>
      <w:r>
        <w:rPr>
          <w:i/>
          <w:i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9"/>
        </w:numPr>
      </w:pPr>
      <w:r>
        <w:rPr>
          <w:i/>
          <w:iCs/>
        </w:rPr>
        <w:t xml:space="preserve">Longitudinal Outcome Studies</w:t>
      </w:r>
      <w:r>
        <w:t xml:space="preserve">: Multi-year implementations to assess sustained benefits and organizational evolution</w:t>
      </w:r>
    </w:p>
    <w:p>
      <w:pPr>
        <w:pStyle w:val="Compact"/>
        <w:numPr>
          <w:ilvl w:val="0"/>
          <w:numId w:val="1029"/>
        </w:numPr>
      </w:pPr>
      <w:r>
        <w:rPr>
          <w:i/>
          <w:iCs/>
        </w:rPr>
        <w:t xml:space="preserve">Comparative Effectiveness Research</w:t>
      </w:r>
      <w:r>
        <w:t xml:space="preserve">: Head-to-head comparisons of different conversational AI approaches on healthcare-specific benchmarks</w:t>
      </w:r>
    </w:p>
    <w:bookmarkEnd w:id="82"/>
    <w:bookmarkStart w:id="83"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30"/>
        </w:numPr>
      </w:pPr>
      <w:r>
        <w:rPr>
          <w:i/>
          <w:iCs/>
        </w:rPr>
        <w:t xml:space="preserve">Organizational Transformation Studies</w:t>
      </w:r>
      <w:r>
        <w:t xml:space="preserve">: Research on how conversational AI platforms reshape healthcare organizational capabilities</w:t>
      </w:r>
    </w:p>
    <w:p>
      <w:pPr>
        <w:pStyle w:val="Compact"/>
        <w:numPr>
          <w:ilvl w:val="0"/>
          <w:numId w:val="1030"/>
        </w:numPr>
      </w:pPr>
      <w:r>
        <w:rPr>
          <w:i/>
          <w:iCs/>
        </w:rPr>
        <w:t xml:space="preserve">Clinical Outcome Impact Assessment</w:t>
      </w:r>
      <w:r>
        <w:t xml:space="preserve">: Studies linking improved analytics access to patient care outcomes</w:t>
      </w:r>
    </w:p>
    <w:p>
      <w:pPr>
        <w:pStyle w:val="Compact"/>
        <w:numPr>
          <w:ilvl w:val="0"/>
          <w:numId w:val="1030"/>
        </w:numPr>
      </w:pPr>
      <w:r>
        <w:rPr>
          <w:i/>
          <w:iCs/>
        </w:rPr>
        <w:t xml:space="preserve">Cross-Institution Knowledge Portals</w:t>
      </w:r>
      <w:r>
        <w:t xml:space="preserve">: Investigation of federated approaches enabling knowledge sharing across healthcare organizations while maintaining privacy and security requirements</w:t>
      </w:r>
    </w:p>
    <w:bookmarkEnd w:id="83"/>
    <w:bookmarkEnd w:id="84"/>
    <w:bookmarkStart w:id="88"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105</w:t>
        </w:r>
      </w:hyperlink>
      <w:r>
        <w:t xml:space="preserve">,</w:t>
      </w:r>
      <w:hyperlink w:anchor="ref-lenz2007">
        <w:r>
          <w:rPr>
            <w:rStyle w:val="Hyperlink"/>
          </w:rPr>
          <w:t xml:space="preserve">128</w:t>
        </w:r>
      </w:hyperlink>
      <w:r>
        <w:t xml:space="preserve">)</w:t>
      </w:r>
      <w:r>
        <w:t xml:space="preserve">.</w:t>
      </w:r>
    </w:p>
    <w:p>
      <w:pPr>
        <w:pStyle w:val="BodyText"/>
      </w:pPr>
      <w:r>
        <w:t xml:space="preserve">Validated query pairs address each weakness:</w:t>
      </w:r>
    </w:p>
    <w:p>
      <w:pPr>
        <w:pStyle w:val="Compact"/>
        <w:numPr>
          <w:ilvl w:val="0"/>
          <w:numId w:val="1031"/>
        </w:numPr>
      </w:pPr>
      <w:r>
        <w:rPr>
          <w:i/>
          <w:iCs/>
        </w:rPr>
        <w:t xml:space="preserve">Executability</w:t>
      </w:r>
      <w:r>
        <w:t xml:space="preserve">: Validated pairs are executable; they can be tested against current data to verify continued correctness, unlike static documentation</w:t>
      </w:r>
    </w:p>
    <w:p>
      <w:pPr>
        <w:pStyle w:val="Compact"/>
        <w:numPr>
          <w:ilvl w:val="0"/>
          <w:numId w:val="1031"/>
        </w:numPr>
      </w:pPr>
      <w:r>
        <w:rPr>
          <w:i/>
          <w:iCs/>
        </w:rPr>
        <w:t xml:space="preserve">Contextual Completeness</w:t>
      </w:r>
      <w:r>
        <w:t xml:space="preserve">: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“Rationale Metadata,”</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“Excluding Hospice per 2025 CMS rules”</w:t>
      </w:r>
      <w:r>
        <w:t xml:space="preserve">)</w:t>
      </w:r>
    </w:p>
    <w:p>
      <w:pPr>
        <w:pStyle w:val="Compact"/>
        <w:numPr>
          <w:ilvl w:val="0"/>
          <w:numId w:val="1031"/>
        </w:numPr>
      </w:pPr>
      <w:r>
        <w:rPr>
          <w:i/>
          <w:i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129</w:t>
        </w:r>
      </w:hyperlink>
      <w:r>
        <w:t xml:space="preserve">)</w:t>
      </w:r>
      <w:r>
        <w:t xml:space="preserve">.</w:t>
      </w:r>
    </w:p>
    <w:bookmarkStart w:id="85"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“validator paradox,”</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“standard work”</w:t>
      </w:r>
      <w:r>
        <w:t xml:space="preserve"> </w:t>
      </w:r>
      <w:r>
        <w:t xml:space="preserve">of informatics, drawing on Lean management principles</w:t>
      </w:r>
      <w:r>
        <w:t xml:space="preserve"> </w:t>
      </w:r>
      <w:r>
        <w:t xml:space="preserve">(</w:t>
      </w:r>
      <w:hyperlink w:anchor="ref-alukal2006">
        <w:r>
          <w:rPr>
            <w:rStyle w:val="Hyperlink"/>
          </w:rPr>
          <w:t xml:space="preserve">130</w:t>
        </w:r>
      </w:hyperlink>
      <w:r>
        <w:t xml:space="preserve">)</w:t>
      </w:r>
      <w:r>
        <w:t xml:space="preserve">.</w:t>
      </w:r>
    </w:p>
    <w:p>
      <w:pPr>
        <w:pStyle w:val="BodyText"/>
      </w:pPr>
      <w:r>
        <w:t xml:space="preserve">In this model, a validated query represents the</w:t>
      </w:r>
      <w:r>
        <w:t xml:space="preserve"> </w:t>
      </w:r>
      <w:r>
        <w:t xml:space="preserve">“current best way”</w:t>
      </w:r>
      <w:r>
        <w:t xml:space="preserve"> </w:t>
      </w:r>
      <w:r>
        <w:t xml:space="preserve">to perform an analysis. As Alukal and Manos</w:t>
      </w:r>
      <w:r>
        <w:t xml:space="preserve"> </w:t>
      </w:r>
      <w:r>
        <w:t xml:space="preserve">(</w:t>
      </w:r>
      <w:hyperlink w:anchor="ref-alukal2006">
        <w:r>
          <w:rPr>
            <w:rStyle w:val="Hyperlink"/>
          </w:rPr>
          <w:t xml:space="preserve">130</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“organizational knowledge ratchet”</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“sliding back to zero”</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71</w:t>
        </w:r>
      </w:hyperlink>
      <w:r>
        <w:t xml:space="preserve">)</w:t>
      </w:r>
      <w:r>
        <w:t xml:space="preserve">. Rather than requiring a permanent</w:t>
      </w:r>
      <w:r>
        <w:t xml:space="preserve"> </w:t>
      </w:r>
      <w:r>
        <w:t xml:space="preserve">“core nucleus”</w:t>
      </w:r>
      <w:r>
        <w:t xml:space="preserve"> </w:t>
      </w:r>
      <w:r>
        <w:t xml:space="preserve">of experts, the system accumulates knowledge incrementally, using the structure of the validation process to buffer against the disruptive effects of turnover.</w:t>
      </w:r>
    </w:p>
    <w:bookmarkEnd w:id="85"/>
    <w:bookmarkStart w:id="86"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32"/>
        </w:numPr>
      </w:pPr>
      <w:r>
        <w:rPr>
          <w:i/>
          <w:i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“schema rot”</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131</w:t>
        </w:r>
      </w:hyperlink>
      <w:r>
        <w:t xml:space="preserve">,</w:t>
      </w:r>
      <w:hyperlink w:anchor="ref-yupopa2005">
        <w:r>
          <w:rPr>
            <w:rStyle w:val="Hyperlink"/>
          </w:rPr>
          <w:t xml:space="preserve">132</w:t>
        </w:r>
      </w:hyperlink>
      <w:r>
        <w:t xml:space="preserve">)</w:t>
      </w:r>
      <w:r>
        <w:t xml:space="preserve">. Modern</w:t>
      </w:r>
      <w:r>
        <w:t xml:space="preserve"> </w:t>
      </w:r>
      <w:r>
        <w:t xml:space="preserve">“Semantic Fabrics”</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129</w:t>
        </w:r>
      </w:hyperlink>
      <w:r>
        <w:t xml:space="preserve">,</w:t>
      </w:r>
      <w:hyperlink w:anchor="ref-sivaranjani2025">
        <w:r>
          <w:rPr>
            <w:rStyle w:val="Hyperlink"/>
          </w:rPr>
          <w:t xml:space="preserve">133</w:t>
        </w:r>
      </w:hyperlink>
      <w:r>
        <w:t xml:space="preserve">)</w:t>
      </w:r>
      <w:r>
        <w:t xml:space="preserve">. AI-maintained adaptive frameworks can reduce false-positive quality alerts by 40% under</w:t>
      </w:r>
      <w:r>
        <w:t xml:space="preserve"> </w:t>
      </w:r>
      <w:r>
        <w:t xml:space="preserve">“schema drift”</w:t>
      </w:r>
      <w:r>
        <w:t xml:space="preserve"> </w:t>
      </w:r>
      <w:r>
        <w:t xml:space="preserve">scenarios</w:t>
      </w:r>
      <w:r>
        <w:t xml:space="preserve"> </w:t>
      </w:r>
      <w:r>
        <w:t xml:space="preserve">(</w:t>
      </w:r>
      <w:hyperlink w:anchor="ref-battula2025">
        <w:r>
          <w:rPr>
            <w:rStyle w:val="Hyperlink"/>
          </w:rPr>
          <w:t xml:space="preserve">134</w:t>
        </w:r>
      </w:hyperlink>
      <w:r>
        <w:t xml:space="preserve">)</w:t>
      </w:r>
      <w:r>
        <w:t xml:space="preserve">. However, the</w:t>
      </w:r>
      <w:r>
        <w:t xml:space="preserve"> </w:t>
      </w:r>
      <w:r>
        <w:t xml:space="preserve">“semantic gap”</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128</w:t>
        </w:r>
      </w:hyperlink>
      <w:r>
        <w:t xml:space="preserve">)</w:t>
      </w:r>
      <w:r>
        <w:t xml:space="preserve">.</w:t>
      </w:r>
    </w:p>
    <w:p>
      <w:pPr>
        <w:numPr>
          <w:ilvl w:val="0"/>
          <w:numId w:val="1032"/>
        </w:numPr>
      </w:pPr>
      <w:r>
        <w:rPr>
          <w:i/>
          <w:i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105</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107</w:t>
        </w:r>
      </w:hyperlink>
      <w:r>
        <w:t xml:space="preserve">)</w:t>
      </w:r>
      <w:r>
        <w:t xml:space="preserve">, integrating knowledge preservation directly into the analytical workflow.</w:t>
      </w:r>
    </w:p>
    <w:p>
      <w:pPr>
        <w:numPr>
          <w:ilvl w:val="0"/>
          <w:numId w:val="1032"/>
        </w:numPr>
      </w:pPr>
      <w:r>
        <w:rPr>
          <w:i/>
          <w:i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135</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135</w:t>
        </w:r>
      </w:hyperlink>
      <w:r>
        <w:t xml:space="preserve">,</w:t>
      </w:r>
      <w:hyperlink w:anchor="ref-rivard1987">
        <w:r>
          <w:rPr>
            <w:rStyle w:val="Hyperlink"/>
          </w:rPr>
          <w:t xml:space="preserve">136</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137</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129</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127</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6"/>
    <w:bookmarkStart w:id="87"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“frozen”</w:t>
      </w:r>
      <w:r>
        <w:t xml:space="preserve"> </w:t>
      </w:r>
      <w:r>
        <w:t xml:space="preserve">code. To address</w:t>
      </w:r>
      <w:r>
        <w:t xml:space="preserve"> </w:t>
      </w:r>
      <w:r>
        <w:t xml:space="preserve">“Schema Drift,”</w:t>
      </w:r>
      <w:r>
        <w:t xml:space="preserve"> </w:t>
      </w:r>
      <w:r>
        <w:t xml:space="preserve">analytics must adopt principles from software engineering:</w:t>
      </w:r>
      <w:r>
        <w:t xml:space="preserve"> </w:t>
      </w:r>
      <w:r>
        <w:rPr>
          <w:i/>
          <w:i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“Institutional Memory”</w:t>
      </w:r>
      <w:r>
        <w:t xml:space="preserve"> </w:t>
      </w:r>
      <w:r>
        <w:t xml:space="preserve">from a stagnant repository into a living, automated test suite that actively signals when organizational knowledge has drifted from technical reality.</w:t>
      </w:r>
    </w:p>
    <w:bookmarkEnd w:id="87"/>
    <w:bookmarkEnd w:id="88"/>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2"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89"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89"/>
    <w:bookmarkStart w:id="90"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0"/>
    <w:bookmarkStart w:id="91"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1"/>
    <w:bookmarkEnd w:id="92"/>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“Low Strength”</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t xml:space="preserve">Table 3: Three-Pillar Organizational Assessment Rubric</w:t>
      </w:r>
    </w:p>
    <w:p>
      <w:pPr>
        <w:pStyle w:val="BodyText"/>
      </w:pPr>
      <w:r>
        <w:t xml:space="preserve">Pillar 1: Analytics Maturity</w:t>
      </w:r>
    </w:p>
    <w:tbl>
      <w:tblPr>
        <w:tblStyle w:val="Table"/>
        <w:tblW w:type="pct" w:w="4921"/>
        <w:tblLayout w:type="fixed"/>
        <w:tblLook w:firstRow="0" w:lastRow="0" w:firstColumn="0" w:lastColumn="0" w:noHBand="0" w:noVBand="0" w:val="0000"/>
      </w:tblPr>
      <w:tblGrid>
        <w:gridCol w:w="1434"/>
        <w:gridCol w:w="1590"/>
        <w:gridCol w:w="1590"/>
        <w:gridCol w:w="1590"/>
        <w:gridCol w:w="1278"/>
        <w:gridCol w:w="311"/>
      </w:tblGrid>
      <w:tr>
        <w:tc>
          <w:tcPr>
            <w:vMerge w:val="restart"/>
          </w:tcPr>
          <w:p>
            <w:pPr>
              <w:pStyle w:val="Heading1"/>
            </w:pPr>
            <w:bookmarkStart w:id="93" w:name="indicator"/>
            <w:r>
              <w:t xml:space="preserve">Indicator</w:t>
            </w:r>
            <w:bookmarkEnd w:id="93"/>
          </w:p>
          <w:p>
            <w:pPr>
              <w:pStyle w:val="FirstParagraph"/>
            </w:pPr>
            <w:r>
              <w:t xml:space="preserve">HIMSS AMAM Stage</w:t>
            </w:r>
          </w:p>
        </w:tc>
        <w:tc>
          <w:tcPr>
            <w:vMerge w:val="restart"/>
          </w:tcPr>
          <w:p>
            <w:pPr>
              <w:pStyle w:val="Heading1"/>
            </w:pPr>
            <w:bookmarkStart w:id="94" w:name="low-strength-1"/>
            <w:r>
              <w:t xml:space="preserve">Low Strength (1)</w:t>
            </w:r>
            <w:bookmarkEnd w:id="94"/>
          </w:p>
          <w:p>
            <w:pPr>
              <w:pStyle w:val="FirstParagraph"/>
            </w:pPr>
            <w:r>
              <w:t xml:space="preserve">Stages 0-2: Fragmented data, limited reporting</w:t>
            </w:r>
          </w:p>
        </w:tc>
        <w:tc>
          <w:tcPr>
            <w:gridSpan w:val="4"/>
            <w:vMerge w:val="restart"/>
          </w:tcPr>
          <w:p>
            <w:pPr>
              <w:pStyle w:val="Compact"/>
            </w:pPr>
            <w:r>
              <w:t xml:space="preserve">Med. Strength (2) | High Strength (3) | Evidence |</w:t>
            </w:r>
            <w:r>
              <w:t xml:space="preserve"> </w:t>
            </w:r>
            <w:r>
              <w:t xml:space="preserve">==================================================+==================================================+========================================+</w:t>
            </w:r>
            <w:r>
              <w:t xml:space="preserve"> </w:t>
            </w:r>
            <w:r>
              <w:t xml:space="preserve">Stages 3-4: Integrated warehouse, standardized definitions | Stages 5-7: Predictive analytics, AI integration |</w:t>
            </w:r>
            <w:r>
              <w:t xml:space="preserve"> </w:t>
            </w: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gridSpan w:val="1"/>
            <w:vMerge w:val="continue"/>
          </w:tcPr>
          <w:p>
            <w:pPr/>
          </w:p>
        </w:tc>
        <w:tc>
          <w:tcPr>
            <w:gridSpan w:val="1"/>
            <w:vMerge w:val="continue"/>
          </w:tcPr>
          <w:p>
            <w:pPr/>
          </w:p>
        </w:tc>
        <w:tc>
          <w:tcPr>
            <w:gridSpan w:val="4"/>
            <w:vMerge w:val="continue"/>
          </w:tcPr>
          <w:p>
            <w:pPr/>
          </w:p>
        </w:tc>
      </w:tr>
      <w:tr>
        <w:tc>
          <w:tcPr/>
          <w:p>
            <w:pPr>
              <w:pStyle w:val="Compact"/>
            </w:pPr>
            <w:r>
              <w:t xml:space="preserve">Self-service</w:t>
            </w:r>
            <w:r>
              <w:t xml:space="preserve"> </w:t>
            </w:r>
            <w:r>
              <w:t xml:space="preserve">analytics</w:t>
            </w:r>
          </w:p>
        </w:tc>
        <w:tc>
          <w:tcPr/>
          <w:p>
            <w:pPr>
              <w:pStyle w:val="Compact"/>
            </w:pPr>
            <w:r>
              <w:t xml:space="preserve">None; all analytics require IT intervention</w:t>
            </w:r>
          </w:p>
        </w:tc>
        <w:tc>
          <w:tcPr/>
          <w:p>
            <w:pPr>
              <w:pStyle w:val="Compact"/>
            </w:pPr>
            <w:r>
              <w:t xml:space="preserve">Partial; BI tools available but underutilized</w:t>
            </w:r>
          </w:p>
        </w:tc>
        <w:tc>
          <w:tcPr/>
          <w:p>
            <w:pPr>
              <w:pStyle w:val="Compact"/>
            </w:pPr>
            <w:r>
              <w:t xml:space="preserve">Widespread; clinical staff access data directly</w:t>
            </w:r>
          </w:p>
        </w:tc>
        <w:tc>
          <w:tcPr/>
          <w:p>
            <w:pPr>
              <w:pStyle w:val="Compac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c>
          <w:tcPr/>
          <w:p>
            <w:pPr>
              <w:pStyle w:val="Compact"/>
            </w:pPr>
          </w:p>
        </w:tc>
      </w:tr>
      <w:tr>
        <w:tc>
          <w:tcPr/>
          <w:p>
            <w:pPr>
              <w:pStyle w:val="Compact"/>
            </w:pPr>
            <w:r>
              <w:t xml:space="preserve">AI/NL interface</w:t>
            </w:r>
          </w:p>
        </w:tc>
        <w:tc>
          <w:tcPr/>
          <w:p>
            <w:pPr>
              <w:pStyle w:val="Compact"/>
            </w:pPr>
            <w:r>
              <w:t xml:space="preserve">No NL2SQL or conversational analytics</w:t>
            </w:r>
          </w:p>
        </w:tc>
        <w:tc>
          <w:tcPr/>
          <w:p>
            <w:pPr>
              <w:pStyle w:val="Compact"/>
            </w:pPr>
            <w:r>
              <w:t xml:space="preserve">Pilot programs or evaluation underway</w:t>
            </w:r>
          </w:p>
        </w:tc>
        <w:tc>
          <w:tcPr/>
          <w:p>
            <w:pPr>
              <w:pStyle w:val="Compact"/>
            </w:pPr>
            <w:r>
              <w:t xml:space="preserve">Natural language query capability deployed</w:t>
            </w:r>
          </w:p>
        </w:tc>
        <w:tc>
          <w:tcPr/>
          <w:p>
            <w:pPr>
              <w:pStyle w:val="Compact"/>
            </w:pPr>
            <w:r>
              <w:t xml:space="preserve">(</w:t>
            </w:r>
            <w:hyperlink w:anchor="ref-ziletti2024">
              <w:r>
                <w:rPr>
                  <w:rStyle w:val="Hyperlink"/>
                </w:rPr>
                <w:t xml:space="preserve">20</w:t>
              </w:r>
            </w:hyperlink>
            <w:r>
              <w:t xml:space="preserve">,</w:t>
            </w:r>
            <w:hyperlink w:anchor="ref-wang2020">
              <w:r>
                <w:rPr>
                  <w:rStyle w:val="Hyperlink"/>
                </w:rPr>
                <w:t xml:space="preserve">80</w:t>
              </w:r>
            </w:hyperlink>
            <w:r>
              <w:t xml:space="preserve">)</w:t>
            </w:r>
          </w:p>
        </w:tc>
        <w:tc>
          <w:tcPr/>
          <w:p>
            <w:pPr>
              <w:pStyle w:val="Compact"/>
            </w:pPr>
          </w:p>
        </w:tc>
      </w:tr>
    </w:tbl>
    <w:p>
      <w:pPr>
        <w:pStyle w:val="BodyText"/>
      </w:pPr>
      <w:r>
        <w:t xml:space="preserve">Pillar 2: Workforce Agility</w:t>
      </w:r>
    </w:p>
    <w:tbl>
      <w:tblPr>
        <w:tblStyle w:val="Table"/>
        <w:tblW w:type="pct" w:w="4938"/>
        <w:tblLayout w:type="fixed"/>
        <w:tblLook w:firstRow="1" w:lastRow="0" w:firstColumn="0" w:lastColumn="0" w:noHBand="0" w:noVBand="0" w:val="0020"/>
      </w:tblPr>
      <w:tblGrid>
        <w:gridCol w:w="1499"/>
        <w:gridCol w:w="1662"/>
        <w:gridCol w:w="1662"/>
        <w:gridCol w:w="1662"/>
        <w:gridCol w:w="1336"/>
      </w:tblGrid>
      <w:tr>
        <w:trPr>
          <w:tblHeader w:val="on"/>
        </w:trPr>
        <w:tc>
          <w:tcPr/>
          <w:p>
            <w:pPr>
              <w:pStyle w:val="Compact"/>
            </w:pPr>
            <w:r>
              <w:t xml:space="preserve">Indicator</w:t>
            </w:r>
          </w:p>
        </w:tc>
        <w:tc>
          <w:tcPr/>
          <w:p>
            <w:pPr>
              <w:pStyle w:val="Compact"/>
            </w:pPr>
            <w:r>
              <w:t xml:space="preserve">Low Strength (1)</w:t>
            </w:r>
          </w:p>
        </w:tc>
        <w:tc>
          <w:tcPr/>
          <w:p>
            <w:pPr>
              <w:pStyle w:val="Compact"/>
            </w:pPr>
            <w:r>
              <w:t xml:space="preserve">Med. Strength (2)</w:t>
            </w:r>
          </w:p>
        </w:tc>
        <w:tc>
          <w:tcPr/>
          <w:p>
            <w:pPr>
              <w:pStyle w:val="Compact"/>
            </w:pPr>
            <w:r>
              <w:t xml:space="preserve">High Strength (3)</w:t>
            </w:r>
          </w:p>
        </w:tc>
        <w:tc>
          <w:tcPr/>
          <w:p>
            <w:pPr>
              <w:pStyle w:val="Compact"/>
            </w:pPr>
            <w:r>
              <w:t xml:space="preserve">Evidence</w:t>
            </w:r>
          </w:p>
        </w:tc>
      </w:tr>
      <w:tr>
        <w:tc>
          <w:tcPr/>
          <w:p>
            <w:pPr>
              <w:pStyle w:val="Compact"/>
            </w:pPr>
            <w:r>
              <w:t xml:space="preserve">First-year Staff</w:t>
            </w:r>
            <w:r>
              <w:t xml:space="preserve"> </w:t>
            </w:r>
            <w:r>
              <w:t xml:space="preserve">Turnover</w:t>
            </w:r>
          </w:p>
        </w:tc>
        <w:tc>
          <w:tcPr/>
          <w:p>
            <w:pPr>
              <w:pStyle w:val="BlockText"/>
            </w:pPr>
            <w:r>
              <w:t xml:space="preserve">30% (High Instability)</w:t>
            </w:r>
          </w:p>
        </w:tc>
        <w:tc>
          <w:tcPr/>
          <w:p>
            <w:pPr>
              <w:pStyle w:val="Compact"/>
            </w:pPr>
            <w:r>
              <w:t xml:space="preserve">15-30%</w:t>
            </w:r>
          </w:p>
        </w:tc>
        <w:tc>
          <w:tcPr/>
          <w:p>
            <w:pPr>
              <w:pStyle w:val="Compact"/>
            </w:pPr>
            <w:r>
              <w:t xml:space="preserve">&lt;15% (High Stability)</w:t>
            </w:r>
          </w:p>
        </w:tc>
        <w:tc>
          <w:tcPr/>
          <w:p>
            <w:pPr>
              <w:pStyle w:val="Compact"/>
            </w:pPr>
            <w:r>
              <w:t xml:space="preserve">(</w:t>
            </w:r>
            <w:hyperlink w:anchor="ref-nsi2025">
              <w:r>
                <w:rPr>
                  <w:rStyle w:val="Hyperlink"/>
                </w:rPr>
                <w:t xml:space="preserve">73</w:t>
              </w:r>
            </w:hyperlink>
            <w:r>
              <w:t xml:space="preserve">)</w:t>
            </w:r>
          </w:p>
        </w:tc>
      </w:tr>
      <w:tr>
        <w:tc>
          <w:tcPr/>
          <w:p>
            <w:pPr>
              <w:pStyle w:val="Compact"/>
            </w:pPr>
            <w:r>
              <w:t xml:space="preserve">Leadership</w:t>
            </w:r>
            <w:r>
              <w:t xml:space="preserve"> </w:t>
            </w:r>
            <w:r>
              <w:t xml:space="preserve">Stability (CIO)</w:t>
            </w:r>
          </w:p>
        </w:tc>
        <w:tc>
          <w:tcPr/>
          <w:p>
            <w:pPr>
              <w:pStyle w:val="Compact"/>
            </w:pPr>
            <w:r>
              <w:t xml:space="preserve">Tenure &lt; 3 years</w:t>
            </w:r>
          </w:p>
        </w:tc>
        <w:tc>
          <w:tcPr/>
          <w:p>
            <w:pPr>
              <w:pStyle w:val="Compact"/>
            </w:pPr>
            <w:r>
              <w:t xml:space="preserve">Tenure 3-5 years</w:t>
            </w:r>
          </w:p>
        </w:tc>
        <w:tc>
          <w:tcPr/>
          <w:p>
            <w:pPr>
              <w:pStyle w:val="Compact"/>
            </w:pPr>
            <w:r>
              <w:t xml:space="preserve">Tenure &gt; 5 years</w:t>
            </w:r>
          </w:p>
        </w:tc>
        <w:tc>
          <w:tcPr/>
          <w:p>
            <w:pPr>
              <w:pStyle w:val="Compact"/>
            </w:pPr>
            <w:r>
              <w:t xml:space="preserve">(</w:t>
            </w:r>
            <w:hyperlink w:anchor="ref-wittkieffer2024">
              <w:r>
                <w:rPr>
                  <w:rStyle w:val="Hyperlink"/>
                </w:rPr>
                <w:t xml:space="preserve">4</w:t>
              </w:r>
            </w:hyperlink>
            <w:r>
              <w:t xml:space="preserve">)</w:t>
            </w:r>
          </w:p>
        </w:tc>
      </w:tr>
      <w:tr>
        <w:tc>
          <w:tcPr/>
          <w:p>
            <w:pPr>
              <w:pStyle w:val="Compact"/>
            </w:pPr>
            <w:r>
              <w:t xml:space="preserve">Knowledge</w:t>
            </w:r>
            <w:r>
              <w:t xml:space="preserve"> </w:t>
            </w:r>
            <w:r>
              <w:t xml:space="preserve">concentration</w:t>
            </w:r>
          </w:p>
        </w:tc>
        <w:tc>
          <w:tcPr/>
          <w:p>
            <w:pPr>
              <w:pStyle w:val="Compact"/>
            </w:pPr>
            <w:r>
              <w:t xml:space="preserve">Critical expertise held by ≤3 individuals</w:t>
            </w:r>
          </w:p>
        </w:tc>
        <w:tc>
          <w:tcPr/>
          <w:p>
            <w:pPr>
              <w:pStyle w:val="Compact"/>
            </w:pPr>
            <w:r>
              <w:t xml:space="preserve">Partial documentation; some cross-training</w:t>
            </w:r>
          </w:p>
        </w:tc>
        <w:tc>
          <w:tcPr/>
          <w:p>
            <w:pPr>
              <w:pStyle w:val="Compact"/>
            </w:pPr>
            <w:r>
              <w:t xml:space="preserve">Distributed expertise; documented processes</w:t>
            </w:r>
          </w:p>
        </w:tc>
        <w:tc>
          <w:tcPr/>
          <w:p>
            <w:pPr>
              <w:pStyle w:val="Compac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pPr>
            <w:r>
              <w:t xml:space="preserve">Time-to-productivity</w:t>
            </w:r>
          </w:p>
        </w:tc>
        <w:tc>
          <w:tcPr/>
          <w:p>
            <w:pPr>
              <w:pStyle w:val="BlockText"/>
            </w:pPr>
            <w:r>
              <w:t xml:space="preserve">18 months (specialized roles)</w:t>
            </w:r>
          </w:p>
        </w:tc>
        <w:tc>
          <w:tcPr/>
          <w:p>
            <w:pPr>
              <w:pStyle w:val="Compact"/>
            </w:pPr>
            <w:r>
              <w:t xml:space="preserve">6-18 months</w:t>
            </w:r>
          </w:p>
        </w:tc>
        <w:tc>
          <w:tcPr/>
          <w:p>
            <w:pPr>
              <w:pStyle w:val="Compact"/>
            </w:pPr>
            <w:r>
              <w:t xml:space="preserve">&lt;6 months with structured onboarding</w:t>
            </w:r>
          </w:p>
        </w:tc>
        <w:tc>
          <w:tcPr/>
          <w:p>
            <w:pPr>
              <w:pStyle w:val="Compact"/>
            </w:pPr>
            <w:r>
              <w:t xml:space="preserve">(</w:t>
            </w:r>
            <w:hyperlink w:anchor="ref-ledikwe2013">
              <w:r>
                <w:rPr>
                  <w:rStyle w:val="Hyperlink"/>
                </w:rPr>
                <w:t xml:space="preserve">74</w:t>
              </w:r>
            </w:hyperlink>
            <w:r>
              <w:t xml:space="preserve">,</w:t>
            </w:r>
            <w:hyperlink w:anchor="ref-mantas2010">
              <w:r>
                <w:rPr>
                  <w:rStyle w:val="Hyperlink"/>
                </w:rPr>
                <w:t xml:space="preserve">75</w:t>
              </w:r>
            </w:hyperlink>
            <w:r>
              <w:t xml:space="preserve">)</w:t>
            </w:r>
          </w:p>
        </w:tc>
      </w:tr>
      <w:tr>
        <w:tc>
          <w:tcPr/>
          <w:p>
            <w:pPr>
              <w:pStyle w:val="Compact"/>
            </w:pPr>
            <w:r>
              <w:t xml:space="preserve">Tacit knowledge</w:t>
            </w:r>
            <w:r>
              <w:t xml:space="preserve"> </w:t>
            </w:r>
            <w:r>
              <w:t xml:space="preserve">capture</w:t>
            </w:r>
          </w:p>
        </w:tc>
        <w:tc>
          <w:tcPr/>
          <w:p>
            <w:pPr>
              <w:pStyle w:val="Compact"/>
            </w:pPr>
            <w:r>
              <w:t xml:space="preserve">Person-dependent; undocumented tribal</w:t>
            </w:r>
            <w:r>
              <w:t xml:space="preserve"> </w:t>
            </w:r>
            <w:r>
              <w:t xml:space="preserve">knowledge</w:t>
            </w:r>
          </w:p>
        </w:tc>
        <w:tc>
          <w:tcPr/>
          <w:p>
            <w:pPr>
              <w:pStyle w:val="Compact"/>
            </w:pPr>
            <w:r>
              <w:t xml:space="preserve">Partial documentation exists</w:t>
            </w:r>
          </w:p>
        </w:tc>
        <w:tc>
          <w:tcPr/>
          <w:p>
            <w:pPr>
              <w:pStyle w:val="Compact"/>
            </w:pPr>
            <w:r>
              <w:t xml:space="preserve">Expertise embedded in systems/AI</w:t>
            </w:r>
          </w:p>
        </w:tc>
        <w:tc>
          <w:tcPr/>
          <w:p>
            <w:pPr>
              <w:pStyle w:val="Compact"/>
            </w:pPr>
            <w:r>
              <w:t xml:space="preserve">(</w:t>
            </w:r>
            <w:hyperlink w:anchor="ref-benbya2004">
              <w:r>
                <w:rPr>
                  <w:rStyle w:val="Hyperlink"/>
                </w:rPr>
                <w:t xml:space="preserve">37</w:t>
              </w:r>
            </w:hyperlink>
            <w:r>
              <w:t xml:space="preserve">)</w:t>
            </w:r>
          </w:p>
        </w:tc>
      </w:tr>
    </w:tbl>
    <w:p>
      <w:pPr>
        <w:pStyle w:val="BodyText"/>
      </w:pPr>
      <w:r>
        <w:t xml:space="preserve">Pillar 3: Technical Enablement</w:t>
      </w:r>
    </w:p>
    <w:tbl>
      <w:tblPr>
        <w:tblStyle w:val="Table"/>
        <w:tblW w:type="pct" w:w="4938"/>
        <w:tblLayout w:type="fixed"/>
        <w:tblLook w:firstRow="1" w:lastRow="0" w:firstColumn="0" w:lastColumn="0" w:noHBand="0" w:noVBand="0" w:val="0020"/>
      </w:tblPr>
      <w:tblGrid>
        <w:gridCol w:w="1499"/>
        <w:gridCol w:w="1662"/>
        <w:gridCol w:w="1662"/>
        <w:gridCol w:w="1662"/>
        <w:gridCol w:w="1336"/>
      </w:tblGrid>
      <w:tr>
        <w:trPr>
          <w:tblHeader w:val="on"/>
        </w:trPr>
        <w:tc>
          <w:tcPr/>
          <w:p>
            <w:pPr>
              <w:pStyle w:val="Compact"/>
            </w:pPr>
            <w:r>
              <w:t xml:space="preserve">Indicator</w:t>
            </w:r>
          </w:p>
        </w:tc>
        <w:tc>
          <w:tcPr/>
          <w:p>
            <w:pPr>
              <w:pStyle w:val="Compact"/>
            </w:pPr>
            <w:r>
              <w:t xml:space="preserve">Low Strength (1)</w:t>
            </w:r>
          </w:p>
        </w:tc>
        <w:tc>
          <w:tcPr/>
          <w:p>
            <w:pPr>
              <w:pStyle w:val="Compact"/>
            </w:pPr>
            <w:r>
              <w:t xml:space="preserve">Med. Strength (2)</w:t>
            </w:r>
          </w:p>
        </w:tc>
        <w:tc>
          <w:tcPr/>
          <w:p>
            <w:pPr>
              <w:pStyle w:val="Compact"/>
            </w:pPr>
            <w:r>
              <w:t xml:space="preserve">High Strength (3)</w:t>
            </w:r>
          </w:p>
        </w:tc>
        <w:tc>
          <w:tcPr/>
          <w:p>
            <w:pPr>
              <w:pStyle w:val="Compact"/>
            </w:pPr>
            <w:r>
              <w:t xml:space="preserve">Evidence</w:t>
            </w:r>
          </w:p>
        </w:tc>
      </w:tr>
      <w:tr>
        <w:tc>
          <w:tcPr/>
          <w:p>
            <w:pPr>
              <w:pStyle w:val="Compact"/>
            </w:pPr>
            <w:r>
              <w:t xml:space="preserve">Data access</w:t>
            </w:r>
          </w:p>
        </w:tc>
        <w:tc>
          <w:tcPr/>
          <w:p>
            <w:pPr>
              <w:pStyle w:val="Compact"/>
            </w:pPr>
            <w:r>
              <w:t xml:space="preserve">SQL/technical expertise required for all queries</w:t>
            </w:r>
          </w:p>
        </w:tc>
        <w:tc>
          <w:tcPr/>
          <w:p>
            <w:pPr>
              <w:pStyle w:val="Compact"/>
            </w:pPr>
            <w:r>
              <w:t xml:space="preserve">IT queue for complex queries; basic self-service</w:t>
            </w:r>
          </w:p>
        </w:tc>
        <w:tc>
          <w:tcPr/>
          <w:p>
            <w:pPr>
              <w:pStyle w:val="Compact"/>
            </w:pPr>
            <w:r>
              <w:t xml:space="preserve">Natural language or visual query interfaces</w:t>
            </w:r>
          </w:p>
        </w:tc>
        <w:tc>
          <w:tcPr/>
          <w:p>
            <w:pPr>
              <w:pStyle w:val="Compact"/>
            </w:pPr>
            <w:r>
              <w:t xml:space="preserve">(</w:t>
            </w:r>
            <w:hyperlink w:anchor="ref-wang2018">
              <w:r>
                <w:rPr>
                  <w:rStyle w:val="Hyperlink"/>
                </w:rPr>
                <w:t xml:space="preserve">39</w:t>
              </w:r>
            </w:hyperlink>
            <w:r>
              <w:t xml:space="preserve">,</w:t>
            </w:r>
            <w:hyperlink w:anchor="ref-pesqueira2020">
              <w:r>
                <w:rPr>
                  <w:rStyle w:val="Hyperlink"/>
                </w:rPr>
                <w:t xml:space="preserve">53</w:t>
              </w:r>
            </w:hyperlink>
            <w:r>
              <w:t xml:space="preserve">)</w:t>
            </w:r>
          </w:p>
        </w:tc>
      </w:tr>
      <w:tr>
        <w:tc>
          <w:tcPr/>
          <w:p>
            <w:pPr>
              <w:pStyle w:val="Compact"/>
            </w:pPr>
            <w:r>
              <w:t xml:space="preserve">Inter-operability</w:t>
            </w:r>
          </w:p>
        </w:tc>
        <w:tc>
          <w:tcPr/>
          <w:p>
            <w:pPr>
              <w:pStyle w:val="Compact"/>
            </w:pPr>
            <w:r>
              <w:t xml:space="preserve">Fragmented systems; manual reconciliation</w:t>
            </w:r>
            <w:r>
              <w:t xml:space="preserve"> </w:t>
            </w:r>
            <w:r>
              <w:t xml:space="preserve">required</w:t>
            </w:r>
          </w:p>
        </w:tc>
        <w:tc>
          <w:tcPr/>
          <w:p>
            <w:pPr>
              <w:pStyle w:val="Compact"/>
            </w:pPr>
            <w:r>
              <w:t xml:space="preserve">Partial integration; some automated feeds</w:t>
            </w:r>
          </w:p>
        </w:tc>
        <w:tc>
          <w:tcPr/>
          <w:p>
            <w:pPr>
              <w:pStyle w:val="Compact"/>
            </w:pPr>
            <w:r>
              <w:t xml:space="preserve">Unified data platform; real-time integration</w:t>
            </w:r>
          </w:p>
        </w:tc>
        <w:tc>
          <w:tcPr/>
          <w:p>
            <w:pPr>
              <w:pStyle w:val="Compac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pPr>
            <w:r>
              <w:t xml:space="preserve">Skills gap impact</w:t>
            </w:r>
          </w:p>
        </w:tc>
        <w:tc>
          <w:tcPr/>
          <w:p>
            <w:pPr>
              <w:pStyle w:val="Compact"/>
            </w:pPr>
            <w:r>
              <w:t xml:space="preserve">Critical shortage preventing data utilization</w:t>
            </w:r>
          </w:p>
        </w:tc>
        <w:tc>
          <w:tcPr/>
          <w:p>
            <w:pPr>
              <w:pStyle w:val="Compact"/>
            </w:pPr>
            <w:r>
              <w:t xml:space="preserve">Acknowledged deficit with mitigation plans</w:t>
            </w:r>
          </w:p>
        </w:tc>
        <w:tc>
          <w:tcPr/>
          <w:p>
            <w:pPr>
              <w:pStyle w:val="Compact"/>
            </w:pPr>
            <w:r>
              <w:t xml:space="preserve">Sufficient analysts across departments</w:t>
            </w:r>
          </w:p>
        </w:tc>
        <w:tc>
          <w:tcPr/>
          <w:p>
            <w:pPr>
              <w:pStyle w:val="Compact"/>
            </w:pPr>
            <w:r>
              <w:t xml:space="preserve">(</w:t>
            </w:r>
            <w:hyperlink w:anchor="ref-bardsley2016">
              <w:r>
                <w:rPr>
                  <w:rStyle w:val="Hyperlink"/>
                </w:rPr>
                <w:t xml:space="preserve">52</w:t>
              </w:r>
            </w:hyperlink>
            <w:r>
              <w:t xml:space="preserve">,</w:t>
            </w:r>
            <w:hyperlink w:anchor="ref-pesqueira2020">
              <w:r>
                <w:rPr>
                  <w:rStyle w:val="Hyperlink"/>
                </w:rPr>
                <w:t xml:space="preserve">53</w:t>
              </w:r>
            </w:hyperlink>
            <w:r>
              <w:t xml:space="preserve">)</w:t>
            </w:r>
          </w:p>
        </w:tc>
      </w:tr>
    </w:tbl>
    <w:p>
      <w:pPr>
        <w:pStyle w:val="BodyText"/>
      </w:pPr>
      <w:r>
        <w:t xml:space="preserve">Multi-Pillar Convergence Assessment:</w:t>
      </w:r>
    </w:p>
    <w:tbl>
      <w:tblPr>
        <w:tblStyle w:val="Table"/>
        <w:tblW w:type="pct" w:w="4977"/>
        <w:tblLayout w:type="fixed"/>
        <w:tblLook w:firstRow="1" w:lastRow="0" w:firstColumn="0" w:lastColumn="0" w:noHBand="0" w:noVBand="0" w:val="0020"/>
      </w:tblPr>
      <w:tblGrid>
        <w:gridCol w:w="1852"/>
        <w:gridCol w:w="2579"/>
        <w:gridCol w:w="3451"/>
      </w:tblGrid>
      <w:tr>
        <w:trPr>
          <w:tblHeader w:val="on"/>
        </w:trPr>
        <w:tc>
          <w:tcPr/>
          <w:p>
            <w:pPr>
              <w:pStyle w:val="Compact"/>
            </w:pPr>
            <w:r>
              <w:t xml:space="preserve">Organizational Profile</w:t>
            </w:r>
          </w:p>
        </w:tc>
        <w:tc>
          <w:tcPr/>
          <w:p>
            <w:pPr>
              <w:pStyle w:val="Compact"/>
            </w:pPr>
            <w:r>
              <w:t xml:space="preserve">Framework Assessment</w:t>
            </w:r>
          </w:p>
        </w:tc>
        <w:tc>
          <w:tcPr/>
          <w:p>
            <w:pPr>
              <w:pStyle w:val="Compact"/>
            </w:pPr>
            <w:r>
              <w:t xml:space="preserve">Implications for Analysis</w:t>
            </w:r>
          </w:p>
        </w:tc>
      </w:tr>
      <w:tr>
        <w:tc>
          <w:tcPr/>
          <w:p>
            <w:pPr>
              <w:pStyle w:val="Compact"/>
            </w:pPr>
            <w:r>
              <w:t xml:space="preserve">All pillars Low Strength</w:t>
            </w:r>
          </w:p>
        </w:tc>
        <w:tc>
          <w:tcPr/>
          <w:p>
            <w:pPr>
              <w:pStyle w:val="Compact"/>
            </w:pPr>
            <w:r>
              <w:t xml:space="preserve">Self-reinforcing degradation cycle</w:t>
            </w:r>
          </w:p>
        </w:tc>
        <w:tc>
          <w:tcPr/>
          <w:p>
            <w:pPr>
              <w:pStyle w:val="Compact"/>
            </w:pPr>
            <w:r>
              <w:t xml:space="preserve">All three dimensions interact; comprehensive organizational assessment warranted</w:t>
            </w:r>
          </w:p>
        </w:tc>
      </w:tr>
      <w:tr>
        <w:tc>
          <w:tcPr/>
          <w:p>
            <w:pPr>
              <w:pStyle w:val="Compact"/>
            </w:pPr>
            <w:r>
              <w:t xml:space="preserve">1-2 pillars Low Strength</w:t>
            </w:r>
          </w:p>
        </w:tc>
        <w:tc>
          <w:tcPr/>
          <w:p>
            <w:pPr>
              <w:pStyle w:val="Compact"/>
            </w:pPr>
            <w:r>
              <w:t xml:space="preserve">Compounding effects present</w:t>
            </w:r>
          </w:p>
        </w:tc>
        <w:tc>
          <w:tcPr/>
          <w:p>
            <w:pPr>
              <w:pStyle w:val="Compact"/>
            </w:pPr>
            <w:r>
              <w:t xml:space="preserve">Framework reveals interconnections requiring multi-dimensional analysis</w:t>
            </w:r>
          </w:p>
        </w:tc>
      </w:tr>
      <w:tr>
        <w:tc>
          <w:tcPr/>
          <w:p>
            <w:pPr>
              <w:pStyle w:val="Compact"/>
            </w:pPr>
            <w:r>
              <w:t xml:space="preserve">0 pillars Low Strength</w:t>
            </w:r>
          </w:p>
        </w:tc>
        <w:tc>
          <w:tcPr/>
          <w:p>
            <w:pPr>
              <w:pStyle w:val="Compact"/>
            </w:pPr>
            <w:r>
              <w:t xml:space="preserve">Continuous improvement stance</w:t>
            </w:r>
          </w:p>
        </w:tc>
        <w:tc>
          <w:tcPr/>
          <w:p>
            <w:pPr>
              <w:pStyle w:val="Compact"/>
            </w:pPr>
            <w:r>
              <w:t xml:space="preserve">Monitor for emerging challenges; single-pillar focus may suffice</w:t>
            </w:r>
          </w:p>
        </w:tc>
      </w:tr>
    </w:tbl>
    <w:p>
      <w:pPr>
        <w:pStyle w:val="BodyText"/>
      </w:pPr>
      <w:r>
        <w:t xml:space="preserve">The framework reveals why convergence matters: organizations facing</w:t>
      </w:r>
      <w:r>
        <w:t xml:space="preserve"> </w:t>
      </w:r>
      <w:r>
        <w:t xml:space="preserve">“Low Strength”</w:t>
      </w:r>
      <w:r>
        <w:t xml:space="preserve"> </w:t>
      </w:r>
      <w:r>
        <w:t xml:space="preserve">conditions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33"/>
        </w:numPr>
      </w:pPr>
      <w:r>
        <w:rPr>
          <w:i/>
          <w:iCs/>
        </w:rPr>
        <w:t xml:space="preserve">Governance Framework Development</w:t>
      </w:r>
      <w:r>
        <w:t xml:space="preserve">: New policies and procedures for democratized analytics</w:t>
      </w:r>
      <w:r>
        <w:t xml:space="preserve"> </w:t>
      </w:r>
      <w:r>
        <w:t xml:space="preserve">(</w:t>
      </w:r>
      <w:hyperlink w:anchor="ref-himss2025ucdavis">
        <w:r>
          <w:rPr>
            <w:rStyle w:val="Hyperlink"/>
          </w:rPr>
          <w:t xml:space="preserve">127</w:t>
        </w:r>
      </w:hyperlink>
      <w:r>
        <w:t xml:space="preserve">,</w:t>
      </w:r>
      <w:hyperlink w:anchor="ref-oliveira2023">
        <w:r>
          <w:rPr>
            <w:rStyle w:val="Hyperlink"/>
          </w:rPr>
          <w:t xml:space="preserve">129</w:t>
        </w:r>
      </w:hyperlink>
      <w:r>
        <w:t xml:space="preserve">)</w:t>
      </w:r>
    </w:p>
    <w:p>
      <w:pPr>
        <w:pStyle w:val="Compact"/>
        <w:numPr>
          <w:ilvl w:val="0"/>
          <w:numId w:val="1033"/>
        </w:numPr>
      </w:pPr>
      <w:r>
        <w:rPr>
          <w:i/>
          <w:iCs/>
        </w:rPr>
        <w:t xml:space="preserve">Change Management</w:t>
      </w:r>
      <w:r>
        <w:t xml:space="preserve">: Training and support programs to ensure user adoption</w:t>
      </w:r>
      <w:r>
        <w:t xml:space="preserve"> </w:t>
      </w:r>
      <w:r>
        <w:t xml:space="preserve">(</w:t>
      </w:r>
      <w:hyperlink w:anchor="ref-shahbaz2019">
        <w:r>
          <w:rPr>
            <w:rStyle w:val="Hyperlink"/>
          </w:rPr>
          <w:t xml:space="preserve">16</w:t>
        </w:r>
      </w:hyperlink>
      <w:r>
        <w:t xml:space="preserve">,</w:t>
      </w:r>
      <w:hyperlink w:anchor="ref-musa2023">
        <w:r>
          <w:rPr>
            <w:rStyle w:val="Hyperlink"/>
          </w:rPr>
          <w:t xml:space="preserve">76</w:t>
        </w:r>
      </w:hyperlink>
      <w:r>
        <w:t xml:space="preserve">)</w:t>
      </w:r>
    </w:p>
    <w:p>
      <w:pPr>
        <w:pStyle w:val="Compact"/>
        <w:numPr>
          <w:ilvl w:val="0"/>
          <w:numId w:val="1033"/>
        </w:numPr>
      </w:pPr>
      <w:r>
        <w:rPr>
          <w:i/>
          <w:iCs/>
        </w:rPr>
        <w:t xml:space="preserve">Phased Deployment</w:t>
      </w:r>
      <w:r>
        <w:t xml:space="preserve">: Gradual rollout beginning with analytics-savvy early adopters</w:t>
      </w:r>
      <w:r>
        <w:t xml:space="preserve"> </w:t>
      </w:r>
      <w:r>
        <w:t xml:space="preserve">(</w:t>
      </w:r>
      <w:hyperlink w:anchor="ref-berkshire2024">
        <w:r>
          <w:rPr>
            <w:rStyle w:val="Hyperlink"/>
          </w:rPr>
          <w:t xml:space="preserve">24</w:t>
        </w:r>
      </w:hyperlink>
      <w:r>
        <w:t xml:space="preserve">)</w:t>
      </w:r>
    </w:p>
    <w:p>
      <w:pPr>
        <w:pStyle w:val="Compact"/>
        <w:numPr>
          <w:ilvl w:val="0"/>
          <w:numId w:val="1033"/>
        </w:numPr>
      </w:pPr>
      <w:r>
        <w:rPr>
          <w:i/>
          <w:i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“Shadow IT”</w:t>
      </w:r>
      <w:r>
        <w:t xml:space="preserve"> </w:t>
      </w:r>
      <w:r>
        <w:t xml:space="preserve">with</w:t>
      </w:r>
      <w:r>
        <w:t xml:space="preserve"> </w:t>
      </w:r>
      <w:r>
        <w:t xml:space="preserve">“Golden Queries”</w:t>
      </w:r>
    </w:p>
    <w:p>
      <w:pPr>
        <w:pStyle w:val="FirstParagraph"/>
      </w:pPr>
      <w:r>
        <w:t xml:space="preserve">To prevent the</w:t>
      </w:r>
      <w:r>
        <w:t xml:space="preserve"> </w:t>
      </w:r>
      <w:r>
        <w:t xml:space="preserve">“chaos of conflicting definitions”</w:t>
      </w:r>
      <w:r>
        <w:t xml:space="preserve"> </w:t>
      </w:r>
      <w:r>
        <w:t xml:space="preserve">that can arise from democratized analytics, organizations can introduce a</w:t>
      </w:r>
      <w:r>
        <w:t xml:space="preserve"> </w:t>
      </w:r>
      <w:r>
        <w:t xml:space="preserve">“Golden Query”</w:t>
      </w:r>
      <w:r>
        <w:t xml:space="preserve"> </w:t>
      </w:r>
      <w:r>
        <w:t xml:space="preserve">governance status. In this model, a central committee can certify specific validated pairs as the</w:t>
      </w:r>
      <w:r>
        <w:t xml:space="preserve"> </w:t>
      </w:r>
      <w:r>
        <w:t xml:space="preserve">“source of truth”</w:t>
      </w:r>
      <w:r>
        <w:t xml:space="preserve"> </w:t>
      </w:r>
      <w:r>
        <w:t xml:space="preserve">for the organization</w:t>
      </w:r>
      <w:r>
        <w:t xml:space="preserve"> </w:t>
      </w:r>
      <w:r>
        <w:t xml:space="preserve">(</w:t>
      </w:r>
      <w:hyperlink w:anchor="ref-himss2025ucdavis">
        <w:r>
          <w:rPr>
            <w:rStyle w:val="Hyperlink"/>
          </w:rPr>
          <w:t xml:space="preserve">127</w:t>
        </w:r>
      </w:hyperlink>
      <w:r>
        <w:t xml:space="preserve">)</w:t>
      </w:r>
      <w:r>
        <w:t xml:space="preserve">. This ensures that while many users can create and validate queries, only a select few are designated as the official, trusted queries for key metrics, thus mitigating the risks of</w:t>
      </w:r>
      <w:r>
        <w:t xml:space="preserve"> </w:t>
      </w:r>
      <w:r>
        <w:t xml:space="preserve">“Shadow IT”</w:t>
      </w:r>
      <w:r>
        <w:t xml:space="preserve"> </w:t>
      </w:r>
      <w:r>
        <w:t xml:space="preserve">(</w:t>
      </w:r>
      <w:hyperlink w:anchor="ref-zimmermann2017">
        <w:r>
          <w:rPr>
            <w:rStyle w:val="Hyperlink"/>
          </w:rPr>
          <w:t xml:space="preserve">135</w:t>
        </w:r>
      </w:hyperlink>
      <w:r>
        <w:t xml:space="preserve">)</w:t>
      </w:r>
      <w:r>
        <w:t xml:space="preserve">.</w:t>
      </w:r>
    </w:p>
    <w:bookmarkEnd w:id="97"/>
    <w:bookmarkEnd w:id="98"/>
    <w:bookmarkEnd w:id="99"/>
    <w:bookmarkStart w:id="103"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the-three-pillar-framework"/>
    <w:p>
      <w:pPr>
        <w:pStyle w:val="Heading2"/>
      </w:pPr>
      <w:r>
        <w:rPr>
          <w:rStyle w:val="SectionNumber"/>
        </w:rPr>
        <w:t xml:space="preserve">6.1</w:t>
      </w:r>
      <w:r>
        <w:tab/>
      </w:r>
      <w:r>
        <w:t xml:space="preserve">The Three-Pillar Framework</w:t>
      </w:r>
    </w:p>
    <w:p>
      <w:pPr>
        <w:pStyle w:val="FirstParagraph"/>
      </w:pPr>
      <w:r>
        <w:t xml:space="preserve">The framework identifies a self-reinforcing cycle: low</w:t>
      </w:r>
      <w:r>
        <w:t xml:space="preserve"> </w:t>
      </w:r>
      <w:r>
        <w:rPr>
          <w:i/>
          <w:iCs/>
        </w:rPr>
        <w:t xml:space="preserve">Analytics Maturity</w:t>
      </w:r>
      <w:r>
        <w:t xml:space="preserve"> </w:t>
      </w:r>
      <w:r>
        <w:t xml:space="preserve">leaves clinical decisions unsupported; this frustration correlates with high</w:t>
      </w:r>
      <w:r>
        <w:t xml:space="preserve"> </w:t>
      </w:r>
      <w:r>
        <w:rPr>
          <w:i/>
          <w:iCs/>
        </w:rPr>
        <w:t xml:space="preserve">Workforce Turnover</w:t>
      </w:r>
      <w:r>
        <w:t xml:space="preserve">, which causes institutional memory loss; and</w:t>
      </w:r>
      <w:r>
        <w:t xml:space="preserve"> </w:t>
      </w:r>
      <w:r>
        <w:rPr>
          <w:i/>
          <w:iCs/>
        </w:rPr>
        <w:t xml:space="preserve">Technical Barriers</w:t>
      </w:r>
      <w:r>
        <w:t xml:space="preserve"> </w:t>
      </w:r>
      <w:r>
        <w:t xml:space="preserve">prevent the capture of this knowledge, blocking recovery. This integrated perspective explains why addressing single pillars in isolation—such as buying a new tool without addressing workforce stability—often fails to produce lasting improvement.</w:t>
      </w:r>
    </w:p>
    <w:bookmarkEnd w:id="100"/>
    <w:bookmarkStart w:id="101" w:name="key-findings"/>
    <w:p>
      <w:pPr>
        <w:pStyle w:val="Heading2"/>
      </w:pPr>
      <w:r>
        <w:rPr>
          <w:rStyle w:val="SectionNumber"/>
        </w:rPr>
        <w:t xml:space="preserve">6.2</w:t>
      </w:r>
      <w:r>
        <w:tab/>
      </w:r>
      <w:r>
        <w:t xml:space="preserve">Key Findings</w:t>
      </w:r>
    </w:p>
    <w:p>
      <w:pPr>
        <w:pStyle w:val="FirstParagraph"/>
      </w:pPr>
      <w:r>
        <w:t xml:space="preserve">This review establishes critical evidence benchmarks for each pillar:</w:t>
      </w:r>
    </w:p>
    <w:p>
      <w:pPr>
        <w:pStyle w:val="Compact"/>
        <w:numPr>
          <w:ilvl w:val="0"/>
          <w:numId w:val="1034"/>
        </w:numPr>
      </w:pPr>
      <w:r>
        <w:rPr>
          <w:i/>
          <w:iCs/>
        </w:rPr>
        <w:t xml:space="preserve">Analytics Maturity</w:t>
      </w:r>
      <w:r>
        <w:t xml:space="preserve">: Healthcare maturity remains low, with most organizations struggling at basic reporting levels. However, recent evidence confirms that higher maturity correlates with better patient safety and experience outcomes, shifting the focus from simple EMR adoption to advanced analytics capabilities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r>
        <w:t xml:space="preserve">.</w:t>
      </w:r>
    </w:p>
    <w:p>
      <w:pPr>
        <w:pStyle w:val="Compact"/>
        <w:numPr>
          <w:ilvl w:val="0"/>
          <w:numId w:val="1034"/>
        </w:numPr>
      </w:pPr>
      <w:r>
        <w:rPr>
          <w:i/>
          <w:iCs/>
        </w:rPr>
        <w:t xml:space="preserve">Workforce Impact</w:t>
      </w:r>
      <w:r>
        <w:t xml:space="preserve">: The sector faces a persistent crisis of instability, with turnover rates historically among the highest in IT</w:t>
      </w:r>
      <w:r>
        <w:t xml:space="preserve"> </w:t>
      </w:r>
      <w:r>
        <w:t xml:space="preserve">(</w:t>
      </w:r>
      <w:hyperlink w:anchor="ref-american2023">
        <w:r>
          <w:rPr>
            <w:rStyle w:val="Hyperlink"/>
          </w:rPr>
          <w:t xml:space="preserve">1</w:t>
        </w:r>
      </w:hyperlink>
      <w:r>
        <w:t xml:space="preserve">,</w:t>
      </w:r>
      <w:hyperlink w:anchor="ref-ang2004">
        <w:r>
          <w:rPr>
            <w:rStyle w:val="Hyperlink"/>
          </w:rPr>
          <w:t xml:space="preserve">7</w:t>
        </w:r>
      </w:hyperlink>
      <w:r>
        <w:t xml:space="preserve">)</w:t>
      </w:r>
      <w:r>
        <w:t xml:space="preserve">. The cost of this churn is not just financial but intellectual: knowledge loss can cost up to three times annual salary budgets, degrading organizational capability over time</w:t>
      </w:r>
      <w:r>
        <w:t xml:space="preserve"> </w:t>
      </w:r>
      <w:r>
        <w:t xml:space="preserve">(</w:t>
      </w:r>
      <w:hyperlink w:anchor="ref-massingham2018">
        <w:r>
          <w:rPr>
            <w:rStyle w:val="Hyperlink"/>
          </w:rPr>
          <w:t xml:space="preserve">34</w:t>
        </w:r>
      </w:hyperlink>
      <w:r>
        <w:t xml:space="preserve">)</w:t>
      </w:r>
      <w:r>
        <w:t xml:space="preserve">.</w:t>
      </w:r>
    </w:p>
    <w:p>
      <w:pPr>
        <w:pStyle w:val="Compact"/>
        <w:numPr>
          <w:ilvl w:val="0"/>
          <w:numId w:val="1034"/>
        </w:numPr>
      </w:pPr>
      <w:r>
        <w:rPr>
          <w:i/>
          <w:iCs/>
        </w:rPr>
        <w:t xml:space="preserve">Technical Enablement</w:t>
      </w:r>
      <w:r>
        <w:t xml:space="preserve">: Natural language interfaces have matured to become viable democratizing tools. Benchmarks show significant accuracy improvements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while implementation studies document quantifiable productivity gains and cost reductions, including a 21.3% operational efficiency gain and 50% reduction in development time</w:t>
      </w:r>
      <w:r>
        <w:t xml:space="preserve"> </w:t>
      </w:r>
      <w:r>
        <w:t xml:space="preserve">(</w:t>
      </w:r>
      <w:hyperlink w:anchor="ref-nashid2023a">
        <w:r>
          <w:rPr>
            <w:rStyle w:val="Hyperlink"/>
          </w:rPr>
          <w:t xml:space="preserve">124</w:t>
        </w:r>
      </w:hyperlink>
      <w:r>
        <w:t xml:space="preserve">,</w:t>
      </w:r>
      <w:hyperlink w:anchor="ref-forrester2024a">
        <w:r>
          <w:rPr>
            <w:rStyle w:val="Hyperlink"/>
          </w:rPr>
          <w:t xml:space="preserve">125</w:t>
        </w:r>
      </w:hyperlink>
      <w:r>
        <w:t xml:space="preserve">)</w:t>
      </w:r>
      <w:r>
        <w:t xml:space="preserve">.</w:t>
      </w:r>
    </w:p>
    <w:p>
      <w:pPr>
        <w:pStyle w:val="Compact"/>
        <w:numPr>
          <w:ilvl w:val="0"/>
          <w:numId w:val="1034"/>
        </w:numPr>
      </w:pPr>
      <w:r>
        <w:rPr>
          <w:i/>
          <w:iCs/>
        </w:rPr>
        <w:t xml:space="preserve">Governance Necessity</w:t>
      </w:r>
      <w:r>
        <w:t xml:space="preserve">: Democratization requires stricter governance. Successful implementations demonstrate that establishing</w:t>
      </w:r>
      <w:r>
        <w:t xml:space="preserve"> </w:t>
      </w:r>
      <w:r>
        <w:t xml:space="preserve">“Golden Queries”</w:t>
      </w:r>
      <w:r>
        <w:t xml:space="preserve"> </w:t>
      </w:r>
      <w:r>
        <w:t xml:space="preserve">and standardized definitions is a prerequisite for advanced maturity, enabling organizations to move from ad-hoc reporting to trusted AI deployment</w:t>
      </w:r>
      <w:r>
        <w:t xml:space="preserve"> </w:t>
      </w:r>
      <w:r>
        <w:t xml:space="preserve">(</w:t>
      </w:r>
      <w:hyperlink w:anchor="ref-himss2025ucdavis">
        <w:r>
          <w:rPr>
            <w:rStyle w:val="Hyperlink"/>
          </w:rPr>
          <w:t xml:space="preserve">127</w:t>
        </w:r>
      </w:hyperlink>
      <w:r>
        <w:t xml:space="preserve">)</w:t>
      </w:r>
      <w:r>
        <w:t xml:space="preserve">.</w:t>
      </w:r>
    </w:p>
    <w:bookmarkEnd w:id="101"/>
    <w:bookmarkStart w:id="102" w:name="strategic-implications"/>
    <w:p>
      <w:pPr>
        <w:pStyle w:val="Heading2"/>
      </w:pPr>
      <w:r>
        <w:rPr>
          <w:rStyle w:val="SectionNumber"/>
        </w:rPr>
        <w:t xml:space="preserve">6.3</w:t>
      </w:r>
      <w:r>
        <w:tab/>
      </w:r>
      <w:r>
        <w:t xml:space="preserve">Strategic Implications</w:t>
      </w:r>
    </w:p>
    <w:p>
      <w:pPr>
        <w:pStyle w:val="FirstParagraph"/>
      </w:pPr>
      <w:r>
        <w:t xml:space="preserve">Applying the principle of</w:t>
      </w:r>
      <w:r>
        <w:t xml:space="preserve"> </w:t>
      </w:r>
      <w:r>
        <w:rPr>
          <w:i/>
          <w:iCs/>
        </w:rPr>
        <w:t xml:space="preserve">primum non nocere</w:t>
      </w:r>
      <w:r>
        <w:t xml:space="preserve"> </w:t>
      </w:r>
      <w:r>
        <w:t xml:space="preserve">requires healthcare leaders to weigh the known harms of the status quo—institutional memory loss, analyst burnout, and uninformed clinical decisions—against the risks of new technology. The evidence suggests that</w:t>
      </w:r>
      <w:r>
        <w:t xml:space="preserve"> </w:t>
      </w:r>
      <w:r>
        <w:t xml:space="preserve">“doing nothing”</w:t>
      </w:r>
      <w:r>
        <w:t xml:space="preserve"> </w:t>
      </w:r>
      <w:r>
        <w:t xml:space="preserve">is not a neutral stance but an active acceptance of degradation. Organizations should use the three-pillar framework to assess their exposure to these compounding risks, prioritizing interventions that not only improve technical access but also capture and preserve the institutional knowledge that defines their unique clinical environment.</w:t>
      </w:r>
    </w:p>
    <w:bookmarkEnd w:id="102"/>
    <w:bookmarkEnd w:id="103"/>
    <w:bookmarkStart w:id="104"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4"/>
    <w:bookmarkStart w:id="105"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5"/>
    <w:bookmarkStart w:id="106"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6"/>
    <w:bookmarkStart w:id="107"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7"/>
    <w:bookmarkStart w:id="108" w:name="code-availability"/>
    <w:p>
      <w:pPr>
        <w:pStyle w:val="Heading1"/>
      </w:pPr>
      <w:r>
        <w:rPr>
          <w:rStyle w:val="SectionNumber"/>
        </w:rPr>
        <w:t xml:space="preserve">11</w:t>
      </w:r>
      <w:r>
        <w:tab/>
      </w:r>
      <w:r>
        <w:t xml:space="preserve">Code Availability</w:t>
      </w:r>
    </w:p>
    <w:p>
      <w:pPr>
        <w:pStyle w:val="FirstParagraph"/>
      </w:pPr>
      <w:r>
        <w:t xml:space="preserve">The custom software used for literature search, thematic analysis, and citation validation is available in the project repository at https://github.com/stharrold/yuimedi-paper-20250901. This includes the</w:t>
      </w:r>
      <w:r>
        <w:t xml:space="preserve"> </w:t>
      </w:r>
      <w:r>
        <w:rPr>
          <w:rStyle w:val="VerbatimChar"/>
        </w:rPr>
        <w:t xml:space="preserve">lit_review</w:t>
      </w:r>
      <w:r>
        <w:t xml:space="preserve"> </w:t>
      </w:r>
      <w:r>
        <w:t xml:space="preserve">Python package for narrative review synthesis and the</w:t>
      </w:r>
      <w:r>
        <w:t xml:space="preserve"> </w:t>
      </w:r>
      <w:r>
        <w:rPr>
          <w:rStyle w:val="VerbatimChar"/>
        </w:rPr>
        <w:t xml:space="preserve">scripts</w:t>
      </w:r>
      <w:r>
        <w:t xml:space="preserve"> </w:t>
      </w:r>
      <w:r>
        <w:t xml:space="preserve">library for reference validation.</w:t>
      </w:r>
    </w:p>
    <w:bookmarkEnd w:id="108"/>
    <w:bookmarkStart w:id="109"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9"/>
    <w:bookmarkStart w:id="110"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Clinical Terminology: Standardized vocabularies including ICD-10, CPT, SNOMED, and RxNorm used in healthcare data</w:t>
      </w:r>
      <w:r>
        <w:t xml:space="preserve"> </w:t>
      </w:r>
      <w:r>
        <w:t xml:space="preserve">Conversational AI: Artificial intelligence systems that enable natural language interaction for complex tasks</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Institutional Memory: Collective organizational knowledge, expertise, and practices that enable effectiveness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Population Health: Analytics focused on health outcomes of groups of individuals rather than individual patients</w:t>
      </w:r>
      <w:r>
        <w:t xml:space="preserve"> </w:t>
      </w:r>
      <w:r>
        <w:t xml:space="preserve">RAG: Retrieval-Augmented Generation</w:t>
      </w:r>
      <w:r>
        <w:t xml:space="preserve"> </w:t>
      </w:r>
      <w:r>
        <w:t xml:space="preserve">SQL: Structured Query Language</w:t>
      </w:r>
    </w:p>
    <w:bookmarkEnd w:id="110"/>
    <w:bookmarkStart w:id="111" w:name="multimedia-appendix"/>
    <w:p>
      <w:pPr>
        <w:pStyle w:val="Heading1"/>
      </w:pPr>
      <w:r>
        <w:rPr>
          <w:rStyle w:val="SectionNumber"/>
        </w:rPr>
        <w:t xml:space="preserve">14</w:t>
      </w:r>
      <w:r>
        <w:tab/>
      </w:r>
      <w:r>
        <w:t xml:space="preserve">Multimedia Appendix</w:t>
      </w:r>
    </w:p>
    <w:p>
      <w:pPr>
        <w:pStyle w:val="FirstParagraph"/>
      </w:pPr>
      <w:r>
        <w:t xml:space="preserve">Multimedia Appendix 1: HIMSS Analytics Maturity Assessment Model (AMAM) Stages and Healthcare NL2SQL Query Examples (see</w:t>
      </w:r>
      <w:r>
        <w:t xml:space="preserve"> </w:t>
      </w:r>
      <w:r>
        <w:rPr>
          <w:rStyle w:val="VerbatimChar"/>
        </w:rPr>
        <w:t xml:space="preserve">multimedia_appendix.pdf</w:t>
      </w:r>
      <w:r>
        <w:t xml:space="preserve">).</w:t>
      </w:r>
    </w:p>
    <w:bookmarkEnd w:id="111"/>
    <w:bookmarkStart w:id="384" w:name="references"/>
    <w:p>
      <w:pPr>
        <w:pStyle w:val="Heading1"/>
      </w:pPr>
      <w:r>
        <w:rPr>
          <w:rStyle w:val="SectionNumber"/>
        </w:rPr>
        <w:t xml:space="preserve">15</w:t>
      </w:r>
      <w:r>
        <w:tab/>
      </w:r>
      <w:r>
        <w:t xml:space="preserve">References</w:t>
      </w:r>
    </w:p>
    <w:bookmarkStart w:id="383" w:name="refs"/>
    <w:bookmarkStart w:id="113"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2">
        <w:r>
          <w:rPr>
            <w:rStyle w:val="Hyperlink"/>
          </w:rPr>
          <w:t xml:space="preserve">https://www.ahima.org/news-publications/press-room-press-releases/2023-press-releases/health-information-workforce-shortages-persist-as-ai-shows-promise-ahima-survey-reveals/</w:t>
        </w:r>
      </w:hyperlink>
    </w:p>
    <w:bookmarkEnd w:id="113"/>
    <w:bookmarkStart w:id="115"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4">
        <w:r>
          <w:rPr>
            <w:rStyle w:val="Hyperlink"/>
          </w:rPr>
          <w:t xml:space="preserve">https://www.himss.org/maturity-models/amam/</w:t>
        </w:r>
      </w:hyperlink>
    </w:p>
    <w:bookmarkEnd w:id="115"/>
    <w:bookmarkStart w:id="117"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6">
        <w:r>
          <w:rPr>
            <w:rStyle w:val="Hyperlink"/>
          </w:rPr>
          <w:t xml:space="preserve">https://www.healthcareitnews.com/news/asia/himss24-apac-adoption-model-analytics-maturity-gets-facelift</w:t>
        </w:r>
      </w:hyperlink>
    </w:p>
    <w:bookmarkEnd w:id="117"/>
    <w:bookmarkStart w:id="119"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8">
        <w:r>
          <w:rPr>
            <w:rStyle w:val="Hyperlink"/>
          </w:rPr>
          <w:t xml:space="preserve">https://api.wittkieffer.com/wp-content/uploads/2012/10/cio-insights-the-state-of-healthcare-it-leadership-wittkieffer-october-2024.pdf</w:t>
        </w:r>
      </w:hyperlink>
    </w:p>
    <w:bookmarkEnd w:id="119"/>
    <w:bookmarkStart w:id="121"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0">
        <w:r>
          <w:rPr>
            <w:rStyle w:val="Hyperlink"/>
          </w:rPr>
          <w:t xml:space="preserve">https://www.himss.org/resources/the-future-of-workforce/</w:t>
        </w:r>
      </w:hyperlink>
    </w:p>
    <w:bookmarkEnd w:id="121"/>
    <w:bookmarkStart w:id="123"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2">
        <w:r>
          <w:rPr>
            <w:rStyle w:val="Hyperlink"/>
          </w:rPr>
          <w:t xml:space="preserve">https://academic.oup.com/jpubhealth</w:t>
        </w:r>
      </w:hyperlink>
    </w:p>
    <w:bookmarkEnd w:id="123"/>
    <w:bookmarkStart w:id="125"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4">
        <w:r>
          <w:rPr>
            <w:rStyle w:val="Hyperlink"/>
          </w:rPr>
          <w:t xml:space="preserve">https://dl.acm.org/doi/10.1145/1017114.1017118</w:t>
        </w:r>
      </w:hyperlink>
    </w:p>
    <w:bookmarkEnd w:id="125"/>
    <w:bookmarkStart w:id="127"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6">
        <w:r>
          <w:rPr>
            <w:rStyle w:val="Hyperlink"/>
          </w:rPr>
          <w:t xml:space="preserve">https://www.nyulawreview.org/issues/volume-94-number-4/data-standardization/</w:t>
        </w:r>
      </w:hyperlink>
    </w:p>
    <w:bookmarkEnd w:id="127"/>
    <w:bookmarkStart w:id="128"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8"/>
    <w:bookmarkStart w:id="130"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9">
        <w:r>
          <w:rPr>
            <w:rStyle w:val="Hyperlink"/>
          </w:rPr>
          <w:t xml:space="preserve">https://resources.anthropic.com/code-modernization-playbook</w:t>
        </w:r>
      </w:hyperlink>
    </w:p>
    <w:bookmarkEnd w:id="130"/>
    <w:bookmarkStart w:id="132"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1">
        <w:r>
          <w:rPr>
            <w:rStyle w:val="Hyperlink"/>
          </w:rPr>
          <w:t xml:space="preserve">https://dl.acm.org/doi/abs/10.1145/320251.320253</w:t>
        </w:r>
      </w:hyperlink>
    </w:p>
    <w:bookmarkEnd w:id="132"/>
    <w:bookmarkStart w:id="134"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3">
        <w:r>
          <w:rPr>
            <w:rStyle w:val="Hyperlink"/>
          </w:rPr>
          <w:t xml:space="preserve">https://www.allmultidisciplinaryjournal.com/uploads/archives/20250306182550_MGE-2025-2-018.1.pdf</w:t>
        </w:r>
      </w:hyperlink>
    </w:p>
    <w:bookmarkEnd w:id="134"/>
    <w:bookmarkStart w:id="136"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5">
        <w:r>
          <w:rPr>
            <w:rStyle w:val="Hyperlink"/>
          </w:rPr>
          <w:t xml:space="preserve">https://papers.ssrn.com/sol3/papers.cfm?abstract_id=5268176</w:t>
        </w:r>
      </w:hyperlink>
    </w:p>
    <w:bookmarkEnd w:id="136"/>
    <w:bookmarkStart w:id="138"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7">
        <w:r>
          <w:rPr>
            <w:rStyle w:val="Hyperlink"/>
          </w:rPr>
          <w:t xml:space="preserve">https://www.ingentaconnect.com/content/hsp/mih/2024/00000008/00000004/art00006</w:t>
        </w:r>
      </w:hyperlink>
    </w:p>
    <w:bookmarkEnd w:id="138"/>
    <w:bookmarkStart w:id="140"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39">
        <w:r>
          <w:rPr>
            <w:rStyle w:val="Hyperlink"/>
          </w:rPr>
          <w:t xml:space="preserve">https://doi.org/10.25163/business.1110345</w:t>
        </w:r>
      </w:hyperlink>
    </w:p>
    <w:bookmarkEnd w:id="140"/>
    <w:bookmarkStart w:id="142"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1">
        <w:r>
          <w:rPr>
            <w:rStyle w:val="Hyperlink"/>
          </w:rPr>
          <w:t xml:space="preserve">https://journalofbigdata.springeropen.com/articles/10.1186/s40537-019-0170-y</w:t>
        </w:r>
      </w:hyperlink>
    </w:p>
    <w:bookmarkEnd w:id="142"/>
    <w:bookmarkStart w:id="144"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3">
        <w:r>
          <w:rPr>
            <w:rStyle w:val="Hyperlink"/>
          </w:rPr>
          <w:t xml:space="preserve">https://www.tandfonline.com/doi/full/10.1080/20479700.2018.1531606</w:t>
        </w:r>
      </w:hyperlink>
    </w:p>
    <w:bookmarkEnd w:id="144"/>
    <w:bookmarkStart w:id="146" w:name="ref-bravorocca2023"/>
    <w:p>
      <w:pPr>
        <w:pStyle w:val="Bibliography"/>
      </w:pPr>
      <w:r>
        <w:t xml:space="preserve">18.</w:t>
      </w:r>
      <w:r>
        <w:t xml:space="preserve"> </w:t>
      </w:r>
      <w:r>
        <w:t xml:space="preserve">	</w:t>
      </w:r>
      <w:r>
        <w:t xml:space="preserve">Bravo Rocca GJ. Human-on-the-loop continual learning [Internet] [PhD thesis]. Universitat Polit</w:t>
      </w:r>
      <w:r>
        <w:t xml:space="preserve">è</w:t>
      </w:r>
      <w:r>
        <w:t xml:space="preserve">cnica de Catalunya; 2023. Available from:</w:t>
      </w:r>
      <w:r>
        <w:t xml:space="preserve"> </w:t>
      </w:r>
      <w:hyperlink r:id="rId145">
        <w:r>
          <w:rPr>
            <w:rStyle w:val="Hyperlink"/>
          </w:rPr>
          <w:t xml:space="preserve">https://www.tdx.cat/bitstream/handle/10803/695722/TGJBR1de1.pdf?sequence=1</w:t>
        </w:r>
      </w:hyperlink>
    </w:p>
    <w:bookmarkEnd w:id="146"/>
    <w:bookmarkStart w:id="148" w:name="ref-mosqueirarey2023"/>
    <w:p>
      <w:pPr>
        <w:pStyle w:val="Bibliography"/>
      </w:pPr>
      <w:r>
        <w:t xml:space="preserve">19.</w:t>
      </w:r>
      <w:r>
        <w:t xml:space="preserve"> </w:t>
      </w:r>
      <w:r>
        <w:t xml:space="preserve">	</w:t>
      </w:r>
      <w:r>
        <w:t xml:space="preserve">Mosqueira-Rey E et al.</w:t>
      </w:r>
      <w:r>
        <w:t xml:space="preserve"> Human-in-the-loop machine learning: A state of the art. Artificial Intelligence Review [Internet]. 2023;56:3005–54. Available from:</w:t>
      </w:r>
      <w:r>
        <w:t xml:space="preserve"> </w:t>
      </w:r>
      <w:hyperlink r:id="rId147">
        <w:r>
          <w:rPr>
            <w:rStyle w:val="Hyperlink"/>
          </w:rPr>
          <w:t xml:space="preserve">https://link.springer.com/content/pdf/10.1007/s10462-022-10246-w.pdf</w:t>
        </w:r>
      </w:hyperlink>
    </w:p>
    <w:bookmarkEnd w:id="148"/>
    <w:bookmarkStart w:id="150"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49">
        <w:r>
          <w:rPr>
            <w:rStyle w:val="Hyperlink"/>
          </w:rPr>
          <w:t xml:space="preserve">https://arxiv.org/abs/2403.09226</w:t>
        </w:r>
      </w:hyperlink>
    </w:p>
    <w:bookmarkEnd w:id="150"/>
    <w:bookmarkStart w:id="152"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1">
        <w:r>
          <w:rPr>
            <w:rStyle w:val="Hyperlink"/>
          </w:rPr>
          <w:t xml:space="preserve">https://dspace.flinders.edu.au/jspui/bitstream/2328/3326/4/AACODS_Checklist.pdf</w:t>
        </w:r>
      </w:hyperlink>
    </w:p>
    <w:bookmarkEnd w:id="152"/>
    <w:bookmarkStart w:id="154"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3">
        <w:r>
          <w:rPr>
            <w:rStyle w:val="Hyperlink"/>
          </w:rPr>
          <w:t xml:space="preserve">https://legacy.himss.org/news/new-analytics-maturity-adoption-model-pushes-digital-transformation-and-data-driven-decisions</w:t>
        </w:r>
      </w:hyperlink>
    </w:p>
    <w:bookmarkEnd w:id="154"/>
    <w:bookmarkStart w:id="156"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5">
        <w:r>
          <w:rPr>
            <w:rStyle w:val="Hyperlink"/>
          </w:rPr>
          <w:t xml:space="preserve">https://www.healthcatalyst.com/learn/insights/healthcare-analytics-adoption-model-roadmap-analytic-maturity</w:t>
        </w:r>
      </w:hyperlink>
    </w:p>
    <w:bookmarkEnd w:id="156"/>
    <w:bookmarkStart w:id="158"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7">
        <w:r>
          <w:rPr>
            <w:rStyle w:val="Hyperlink"/>
          </w:rPr>
          <w:t xml:space="preserve">https://ia.berkshirehealthcare.nhs.uk/citizen-developer-programme</w:t>
        </w:r>
      </w:hyperlink>
    </w:p>
    <w:bookmarkEnd w:id="158"/>
    <w:bookmarkStart w:id="160"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59">
        <w:r>
          <w:rPr>
            <w:rStyle w:val="Hyperlink"/>
          </w:rPr>
          <w:t xml:space="preserve">https://tei.forrester.com/go/microsoft/powerappstei/?lang=en-us</w:t>
        </w:r>
      </w:hyperlink>
    </w:p>
    <w:bookmarkEnd w:id="160"/>
    <w:bookmarkStart w:id="162"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1">
        <w:r>
          <w:rPr>
            <w:rStyle w:val="Hyperlink"/>
          </w:rPr>
          <w:t xml:space="preserve">https://www.oracle.com/human-capital-management/cost-employee-turnover-healthcare/</w:t>
        </w:r>
      </w:hyperlink>
    </w:p>
    <w:bookmarkEnd w:id="162"/>
    <w:bookmarkStart w:id="164"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3">
        <w:r>
          <w:rPr>
            <w:rStyle w:val="Hyperlink"/>
          </w:rPr>
          <w:t xml:space="preserve">https://www.precedenceresearch.com/healthcare-analytics-market</w:t>
        </w:r>
      </w:hyperlink>
    </w:p>
    <w:bookmarkEnd w:id="164"/>
    <w:bookmarkStart w:id="166"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5">
        <w:r>
          <w:rPr>
            <w:rStyle w:val="Hyperlink"/>
          </w:rPr>
          <w:t xml:space="preserve">https://newsroom.ibm.com/2022-01-21-Francisco-Partners-to-Acquire-IBMs-Healthcare-Data-and-Analytics-Assets</w:t>
        </w:r>
      </w:hyperlink>
    </w:p>
    <w:bookmarkEnd w:id="166"/>
    <w:bookmarkStart w:id="168"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7">
        <w:r>
          <w:rPr>
            <w:rStyle w:val="Hyperlink"/>
          </w:rPr>
          <w:t xml:space="preserve">https://www.cnbc.com/2021/01/04/haven-the-amazon-berkshire-jpmorgan-venture-to-disrupt-healthcare-is-disbanding-after-3-years.html</w:t>
        </w:r>
      </w:hyperlink>
    </w:p>
    <w:bookmarkEnd w:id="168"/>
    <w:bookmarkStart w:id="170"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w:t>
      </w:r>
      <w:r>
        <w:t xml:space="preserve">[Internet]. CRC Press; 2021. Available from:</w:t>
      </w:r>
      <w:r>
        <w:t xml:space="preserve"> </w:t>
      </w:r>
      <w:hyperlink r:id="rId169">
        <w:r>
          <w:rPr>
            <w:rStyle w:val="Hyperlink"/>
          </w:rPr>
          <w:t xml:space="preserve">https://doi.org/10.1201/9781003188162</w:t>
        </w:r>
      </w:hyperlink>
    </w:p>
    <w:bookmarkEnd w:id="170"/>
    <w:bookmarkStart w:id="172"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[Internet]. 2017;19:28–42. Available from:</w:t>
      </w:r>
      <w:r>
        <w:t xml:space="preserve"> </w:t>
      </w:r>
      <w:hyperlink r:id="rId171">
        <w:r>
          <w:rPr>
            <w:rStyle w:val="Hyperlink"/>
          </w:rPr>
          <w:t xml:space="preserve">https://openurl.ebsco.com/EPDB%3Agcd%3A3%3A34056963/detailv2?sid=ebsco%3Aplink%3Ascholar&amp;id=ebsco%3Agcd%3A121526814</w:t>
        </w:r>
      </w:hyperlink>
    </w:p>
    <w:bookmarkEnd w:id="172"/>
    <w:bookmarkStart w:id="174" w:name="ref-rowley2007"/>
    <w:p>
      <w:pPr>
        <w:pStyle w:val="Bibliography"/>
      </w:pPr>
      <w:r>
        <w:t xml:space="preserve">32.</w:t>
      </w:r>
      <w:r>
        <w:t xml:space="preserve"> </w:t>
      </w:r>
      <w:r>
        <w:t xml:space="preserve">	</w:t>
      </w:r>
      <w:r>
        <w:t xml:space="preserve">Rowley J.</w:t>
      </w:r>
      <w:r>
        <w:t xml:space="preserve"> </w:t>
      </w:r>
      <w:hyperlink r:id="rId173">
        <w:r>
          <w:rPr>
            <w:rStyle w:val="Hyperlink"/>
          </w:rPr>
          <w:t xml:space="preserve">The wisdom hierarchy: representations of the DIKW hierarchy</w:t>
        </w:r>
      </w:hyperlink>
      <w:r>
        <w:t xml:space="preserve">. Journal of Information Science. 2007;33(2):163–80.</w:t>
      </w:r>
      <w:r>
        <w:t xml:space="preserve"> </w:t>
      </w:r>
    </w:p>
    <w:bookmarkEnd w:id="174"/>
    <w:bookmarkStart w:id="176"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5">
        <w:r>
          <w:rPr>
            <w:rStyle w:val="Hyperlink"/>
          </w:rPr>
          <w:t xml:space="preserve">https://onlinelibrary.wiley.com/doi/abs/10.1057/palgrave.emr.1500057</w:t>
        </w:r>
      </w:hyperlink>
    </w:p>
    <w:bookmarkEnd w:id="176"/>
    <w:bookmarkStart w:id="178"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7">
        <w:r>
          <w:rPr>
            <w:rStyle w:val="Hyperlink"/>
          </w:rPr>
          <w:t xml:space="preserve">https://doi.org/10.1108/JKM-08-2016-0338</w:t>
        </w:r>
      </w:hyperlink>
    </w:p>
    <w:bookmarkEnd w:id="178"/>
    <w:bookmarkStart w:id="180"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9">
        <w:r>
          <w:rPr>
            <w:rStyle w:val="Hyperlink"/>
          </w:rPr>
          <w:t xml:space="preserve">https://www.frontiersin.org/articles/10.3389/fpsyg.2019.02730</w:t>
        </w:r>
      </w:hyperlink>
    </w:p>
    <w:bookmarkEnd w:id="180"/>
    <w:bookmarkStart w:id="182"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1">
        <w:r>
          <w:rPr>
            <w:rStyle w:val="Hyperlink"/>
          </w:rPr>
          <w:t xml:space="preserve">https://www.emerald.com/insight/content/doi/10.1108/13673270610650067/full/html</w:t>
        </w:r>
      </w:hyperlink>
    </w:p>
    <w:bookmarkEnd w:id="182"/>
    <w:bookmarkStart w:id="184"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3">
        <w:r>
          <w:rPr>
            <w:rStyle w:val="Hyperlink"/>
          </w:rPr>
          <w:t xml:space="preserve">https://doi.org/10.1016/j.ijinfomgt.2003.12.012</w:t>
        </w:r>
      </w:hyperlink>
    </w:p>
    <w:bookmarkEnd w:id="184"/>
    <w:bookmarkStart w:id="186"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5">
        <w:r>
          <w:rPr>
            <w:rStyle w:val="Hyperlink"/>
          </w:rPr>
          <w:t xml:space="preserve">https://www.emerald.com/insight/content/doi/10.1108/JKM-03-2024-0262/full/html</w:t>
        </w:r>
      </w:hyperlink>
    </w:p>
    <w:bookmarkEnd w:id="186"/>
    <w:bookmarkStart w:id="188"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7">
        <w:r>
          <w:rPr>
            <w:rStyle w:val="Hyperlink"/>
          </w:rPr>
          <w:t xml:space="preserve">https://www.sciencedirect.com/science/article/abs/pii/S0040162516000500</w:t>
        </w:r>
      </w:hyperlink>
    </w:p>
    <w:bookmarkEnd w:id="188"/>
    <w:bookmarkStart w:id="190"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9">
        <w:r>
          <w:rPr>
            <w:rStyle w:val="Hyperlink"/>
          </w:rPr>
          <w:t xml:space="preserve">https://www.sciencedirect.com/science/article/abs/pii/S0148296316304891</w:t>
        </w:r>
      </w:hyperlink>
    </w:p>
    <w:bookmarkEnd w:id="190"/>
    <w:bookmarkStart w:id="191"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6">
        <w:r>
          <w:rPr>
            <w:rStyle w:val="Hyperlink"/>
          </w:rPr>
          <w:t xml:space="preserve">https://www.healthcareitnews.com/news/asia/himss24-apac-adoption-model-analytics-maturity-gets-facelift</w:t>
        </w:r>
      </w:hyperlink>
    </w:p>
    <w:bookmarkEnd w:id="191"/>
    <w:bookmarkStart w:id="193"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2">
        <w:r>
          <w:rPr>
            <w:rStyle w:val="Hyperlink"/>
          </w:rPr>
          <w:t xml:space="preserve">https://www.tgh.org/news/tgh-press-releases/2025/june/tampa-general-hospital-awarded-highest-designation-analytics-himss</w:t>
        </w:r>
      </w:hyperlink>
    </w:p>
    <w:bookmarkEnd w:id="193"/>
    <w:bookmarkStart w:id="195"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4">
        <w:r>
          <w:rPr>
            <w:rStyle w:val="Hyperlink"/>
          </w:rPr>
          <w:t xml:space="preserve">https://www.prnewswire.com/news-releases/taiwans-first-hospital-to-achieve-amam-stage-7-certification-302390824.html</w:t>
        </w:r>
      </w:hyperlink>
    </w:p>
    <w:bookmarkEnd w:id="195"/>
    <w:bookmarkStart w:id="197"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6">
        <w:r>
          <w:rPr>
            <w:rStyle w:val="Hyperlink"/>
          </w:rPr>
          <w:t xml:space="preserve">https://medicalbuyer.co.in/2-medical-groups-in-saudi-arabia-achieve-stage-7-digital-maturity/</w:t>
        </w:r>
      </w:hyperlink>
    </w:p>
    <w:bookmarkEnd w:id="197"/>
    <w:bookmarkStart w:id="199"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8">
        <w:r>
          <w:rPr>
            <w:rStyle w:val="Hyperlink"/>
          </w:rPr>
          <w:t xml:space="preserve">https://www.jmir.org/2024/1/e56316</w:t>
        </w:r>
      </w:hyperlink>
    </w:p>
    <w:bookmarkEnd w:id="199"/>
    <w:bookmarkStart w:id="201" w:name="ref-wang2019"/>
    <w:p>
      <w:pPr>
        <w:pStyle w:val="Bibliography"/>
      </w:pPr>
      <w:r>
        <w:t xml:space="preserve">46.</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0">
        <w:r>
          <w:rPr>
            <w:rStyle w:val="Hyperlink"/>
          </w:rPr>
          <w:t xml:space="preserve">https://onlinelibrary.wiley.com/doi/abs/10.1111/1467-8551.12332</w:t>
        </w:r>
      </w:hyperlink>
    </w:p>
    <w:bookmarkEnd w:id="201"/>
    <w:bookmarkStart w:id="203" w:name="ref-gomes2025"/>
    <w:p>
      <w:pPr>
        <w:pStyle w:val="Bibliography"/>
      </w:pPr>
      <w:r>
        <w:t xml:space="preserve">47.</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2">
        <w:r>
          <w:rPr>
            <w:rStyle w:val="Hyperlink"/>
          </w:rPr>
          <w:t xml:space="preserve">https://www.mdpi.com/2227-9032/13/1/1</w:t>
        </w:r>
      </w:hyperlink>
    </w:p>
    <w:bookmarkEnd w:id="203"/>
    <w:bookmarkStart w:id="205" w:name="ref-woods2024"/>
    <w:p>
      <w:pPr>
        <w:pStyle w:val="Bibliography"/>
      </w:pPr>
      <w:r>
        <w:t xml:space="preserve">48.</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4">
        <w:r>
          <w:rPr>
            <w:rStyle w:val="Hyperlink"/>
          </w:rPr>
          <w:t xml:space="preserve">https://www.sciencedirect.com/science/article/pii/S1386505624001916</w:t>
        </w:r>
      </w:hyperlink>
    </w:p>
    <w:bookmarkEnd w:id="205"/>
    <w:bookmarkStart w:id="207" w:name="ref-saintulysse2021"/>
    <w:p>
      <w:pPr>
        <w:pStyle w:val="Bibliography"/>
      </w:pPr>
      <w:r>
        <w:t xml:space="preserve">49.</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6">
        <w:r>
          <w:rPr>
            <w:rStyle w:val="Hyperlink"/>
          </w:rPr>
          <w:t xml:space="preserve">https://scholarworks.waldenu.edu/cgi/viewcontent.cgi?article=12395&amp;context=dissertations</w:t>
        </w:r>
      </w:hyperlink>
    </w:p>
    <w:bookmarkEnd w:id="207"/>
    <w:bookmarkStart w:id="209" w:name="ref-martin2019"/>
    <w:p>
      <w:pPr>
        <w:pStyle w:val="Bibliography"/>
      </w:pPr>
      <w:r>
        <w:t xml:space="preserve">50.</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8">
        <w:r>
          <w:rPr>
            <w:rStyle w:val="Hyperlink"/>
          </w:rPr>
          <w:t xml:space="preserve">https://www.nature.com/articles/s41746-019-0118-9</w:t>
        </w:r>
      </w:hyperlink>
    </w:p>
    <w:bookmarkEnd w:id="209"/>
    <w:bookmarkStart w:id="211" w:name="ref-navarro2023"/>
    <w:p>
      <w:pPr>
        <w:pStyle w:val="Bibliography"/>
      </w:pPr>
      <w:r>
        <w:t xml:space="preserve">51.</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0">
        <w:r>
          <w:rPr>
            <w:rStyle w:val="Hyperlink"/>
          </w:rPr>
          <w:t xml:space="preserve">https://www.sciencedirect.com/science/article/pii/S1386505623001405</w:t>
        </w:r>
      </w:hyperlink>
    </w:p>
    <w:bookmarkEnd w:id="211"/>
    <w:bookmarkStart w:id="213" w:name="ref-bardsley2016"/>
    <w:p>
      <w:pPr>
        <w:pStyle w:val="Bibliography"/>
      </w:pPr>
      <w:r>
        <w:t xml:space="preserve">52.</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2">
        <w:r>
          <w:rPr>
            <w:rStyle w:val="Hyperlink"/>
          </w:rPr>
          <w:t xml:space="preserve">https://www.health.org.uk/publications/understanding-analytical-capability-in-health-care</w:t>
        </w:r>
      </w:hyperlink>
    </w:p>
    <w:bookmarkEnd w:id="213"/>
    <w:bookmarkStart w:id="215" w:name="ref-pesqueira2020"/>
    <w:p>
      <w:pPr>
        <w:pStyle w:val="Bibliography"/>
      </w:pPr>
      <w:r>
        <w:t xml:space="preserve">53.</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4">
        <w:r>
          <w:rPr>
            <w:rStyle w:val="Hyperlink"/>
          </w:rPr>
          <w:t xml:space="preserve">https://link.springer.com/article/10.1007/s10916-020-01665-9</w:t>
        </w:r>
      </w:hyperlink>
    </w:p>
    <w:bookmarkEnd w:id="215"/>
    <w:bookmarkStart w:id="217" w:name="ref-carvalho2019"/>
    <w:p>
      <w:pPr>
        <w:pStyle w:val="Bibliography"/>
      </w:pPr>
      <w:r>
        <w:t xml:space="preserve">54.</w:t>
      </w:r>
      <w:r>
        <w:t xml:space="preserve"> </w:t>
      </w:r>
      <w:r>
        <w:t xml:space="preserve">	</w:t>
      </w:r>
      <w:r>
        <w:t xml:space="preserve">Carvalho JV, Rocha Á, Vasconcelos J.</w:t>
      </w:r>
      <w:r>
        <w:t xml:space="preserve"> </w:t>
      </w:r>
      <w:hyperlink r:id="rId216">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7"/>
    <w:bookmarkStart w:id="219" w:name="ref-pintovalverde2013"/>
    <w:p>
      <w:pPr>
        <w:pStyle w:val="Bibliography"/>
      </w:pPr>
      <w:r>
        <w:t xml:space="preserve">55.</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[Internet]. 2013. Available from:</w:t>
      </w:r>
      <w:r>
        <w:t xml:space="preserve"> </w:t>
      </w:r>
      <w:hyperlink r:id="rId218">
        <w:r>
          <w:rPr>
            <w:rStyle w:val="Hyperlink"/>
          </w:rPr>
          <w:t xml:space="preserve">https://scholarworks.wmich.edu/ichita_transactions/37/</w:t>
        </w:r>
      </w:hyperlink>
    </w:p>
    <w:bookmarkEnd w:id="219"/>
    <w:bookmarkStart w:id="221" w:name="ref-gokalp2023"/>
    <w:p>
      <w:pPr>
        <w:pStyle w:val="Bibliography"/>
      </w:pPr>
      <w:r>
        <w:t xml:space="preserve">56.</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[Internet]. 2023;35(4):e2448. Available from:</w:t>
      </w:r>
      <w:r>
        <w:t xml:space="preserve"> </w:t>
      </w:r>
      <w:hyperlink r:id="rId220">
        <w:r>
          <w:rPr>
            <w:rStyle w:val="Hyperlink"/>
          </w:rPr>
          <w:t xml:space="preserve">https://onlinelibrary.wiley.com/doi/abs/10.1002/smr.2415</w:t>
        </w:r>
      </w:hyperlink>
    </w:p>
    <w:bookmarkEnd w:id="221"/>
    <w:bookmarkStart w:id="223" w:name="ref-lismont2017"/>
    <w:p>
      <w:pPr>
        <w:pStyle w:val="Bibliography"/>
      </w:pPr>
      <w:r>
        <w:t xml:space="preserve">57.</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[Internet]. 2017;37(3):114–24. Available from:</w:t>
      </w:r>
      <w:r>
        <w:t xml:space="preserve"> </w:t>
      </w:r>
      <w:hyperlink r:id="rId222">
        <w:r>
          <w:rPr>
            <w:rStyle w:val="Hyperlink"/>
          </w:rPr>
          <w:t xml:space="preserve">https://www.sciencedirect.com/science/article/abs/pii/S0268401216305655</w:t>
        </w:r>
      </w:hyperlink>
    </w:p>
    <w:bookmarkEnd w:id="223"/>
    <w:bookmarkStart w:id="225" w:name="ref-yang2021"/>
    <w:p>
      <w:pPr>
        <w:pStyle w:val="Bibliography"/>
      </w:pPr>
      <w:r>
        <w:t xml:space="preserve">58.</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[Internet]. 2021;4(3):e211793. Available from:</w:t>
      </w:r>
      <w:r>
        <w:t xml:space="preserve"> </w:t>
      </w:r>
      <w:hyperlink r:id="rId224">
        <w:r>
          <w:rPr>
            <w:rStyle w:val="Hyperlink"/>
          </w:rPr>
          <w:t xml:space="preserve">https://jamanetwork.com/journals/jamanetworkopen/fullarticle/2777777</w:t>
        </w:r>
      </w:hyperlink>
    </w:p>
    <w:bookmarkEnd w:id="225"/>
    <w:bookmarkStart w:id="227" w:name="ref-arts2002"/>
    <w:p>
      <w:pPr>
        <w:pStyle w:val="Bibliography"/>
      </w:pPr>
      <w:r>
        <w:t xml:space="preserve">59.</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[Internet]. 2002;9(6):600–11. Available from:</w:t>
      </w:r>
      <w:r>
        <w:t xml:space="preserve"> </w:t>
      </w:r>
      <w:hyperlink r:id="rId226">
        <w:r>
          <w:rPr>
            <w:rStyle w:val="Hyperlink"/>
          </w:rPr>
          <w:t xml:space="preserve">https://academic.oup.com/jamia/article-abstract/9/6/600/1036696</w:t>
        </w:r>
      </w:hyperlink>
    </w:p>
    <w:bookmarkEnd w:id="227"/>
    <w:bookmarkStart w:id="229" w:name="ref-mccoy2013"/>
    <w:p>
      <w:pPr>
        <w:pStyle w:val="Bibliography"/>
      </w:pPr>
      <w:r>
        <w:t xml:space="preserve">60.</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[Internet]. 2013;22(3):219–24. Available from:</w:t>
      </w:r>
      <w:r>
        <w:t xml:space="preserve"> </w:t>
      </w:r>
      <w:hyperlink r:id="rId228">
        <w:r>
          <w:rPr>
            <w:rStyle w:val="Hyperlink"/>
          </w:rPr>
          <w:t xml:space="preserve">https://qualitysafety.bmj.com/content/22/3/219.short</w:t>
        </w:r>
      </w:hyperlink>
    </w:p>
    <w:bookmarkEnd w:id="229"/>
    <w:bookmarkStart w:id="231" w:name="ref-rahman2020"/>
    <w:p>
      <w:pPr>
        <w:pStyle w:val="Bibliography"/>
      </w:pPr>
      <w:r>
        <w:t xml:space="preserve">61.</w:t>
      </w:r>
      <w:r>
        <w:t xml:space="preserve"> </w:t>
      </w:r>
      <w:r>
        <w:t xml:space="preserve">	</w:t>
      </w:r>
      <w:r>
        <w:t xml:space="preserve">Rahman P, Nandi A, Hebert C.</w:t>
      </w:r>
      <w:r>
        <w:t xml:space="preserve"> </w:t>
      </w:r>
      <w:r>
        <w:t xml:space="preserve">Amplifying domain expertise in clinical data pipelines</w:t>
      </w:r>
      <w:r>
        <w:t xml:space="preserve">. JMIR Medical Informatics [Internet]. 2020;8(11):e19612. Available from:</w:t>
      </w:r>
      <w:r>
        <w:t xml:space="preserve"> </w:t>
      </w:r>
      <w:hyperlink r:id="rId230">
        <w:r>
          <w:rPr>
            <w:rStyle w:val="Hyperlink"/>
          </w:rPr>
          <w:t xml:space="preserve">https://medinform.jmir.org/2020/11/e19612/</w:t>
        </w:r>
      </w:hyperlink>
    </w:p>
    <w:bookmarkEnd w:id="231"/>
    <w:bookmarkStart w:id="233" w:name="ref-sirgo2018"/>
    <w:p>
      <w:pPr>
        <w:pStyle w:val="Bibliography"/>
      </w:pPr>
      <w:r>
        <w:t xml:space="preserve">62.</w:t>
      </w:r>
      <w:r>
        <w:t xml:space="preserve"> </w:t>
      </w:r>
      <w:r>
        <w:t xml:space="preserve">	</w:t>
      </w:r>
      <w:r>
        <w:t xml:space="preserve">Sirgo G, Esteban G Francisco icon,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[Internet]. 2018;112:166–72. Available from:</w:t>
      </w:r>
      <w:r>
        <w:t xml:space="preserve"> </w:t>
      </w:r>
      <w:hyperlink r:id="rId232">
        <w:r>
          <w:rPr>
            <w:rStyle w:val="Hyperlink"/>
          </w:rPr>
          <w:t xml:space="preserve">https://www.sciencedirect.com/science/article/abs/pii/S1386505618300443</w:t>
        </w:r>
      </w:hyperlink>
    </w:p>
    <w:bookmarkEnd w:id="233"/>
    <w:bookmarkStart w:id="235" w:name="ref-shi2021"/>
    <w:p>
      <w:pPr>
        <w:pStyle w:val="Bibliography"/>
      </w:pPr>
      <w:r>
        <w:t xml:space="preserve">63.</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[Internet]. 2021;21:1–12. Available from:</w:t>
      </w:r>
      <w:r>
        <w:t xml:space="preserve"> </w:t>
      </w:r>
      <w:hyperlink r:id="rId234">
        <w:r>
          <w:rPr>
            <w:rStyle w:val="Hyperlink"/>
          </w:rPr>
          <w:t xml:space="preserve">https://link.springer.com/article/10.1186/s12911-021-01470-5</w:t>
        </w:r>
      </w:hyperlink>
    </w:p>
    <w:bookmarkEnd w:id="235"/>
    <w:bookmarkStart w:id="237" w:name="ref-dugas2016"/>
    <w:p>
      <w:pPr>
        <w:pStyle w:val="Bibliography"/>
      </w:pPr>
      <w:r>
        <w:t xml:space="preserve">64.</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[Internet]. 2016;2016. Available from:</w:t>
      </w:r>
      <w:r>
        <w:t xml:space="preserve"> </w:t>
      </w:r>
      <w:hyperlink r:id="rId236">
        <w:r>
          <w:rPr>
            <w:rStyle w:val="Hyperlink"/>
          </w:rPr>
          <w:t xml:space="preserve">https://academic.oup.com/database/article/doi/10.1093/database/bav121/2630096</w:t>
        </w:r>
      </w:hyperlink>
    </w:p>
    <w:bookmarkEnd w:id="237"/>
    <w:bookmarkStart w:id="239" w:name="ref-bokov2017"/>
    <w:p>
      <w:pPr>
        <w:pStyle w:val="Bibliography"/>
      </w:pPr>
      <w:r>
        <w:t xml:space="preserve">65.</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[Internet]. IEEE; 2017. p. 509–14. Available from:</w:t>
      </w:r>
      <w:r>
        <w:t xml:space="preserve"> </w:t>
      </w:r>
      <w:hyperlink r:id="rId238">
        <w:r>
          <w:rPr>
            <w:rStyle w:val="Hyperlink"/>
          </w:rPr>
          <w:t xml:space="preserve">https://ieeexplore.ieee.org/abstract/document/8104211</w:t>
        </w:r>
      </w:hyperlink>
    </w:p>
    <w:bookmarkEnd w:id="239"/>
    <w:bookmarkStart w:id="241" w:name="ref-ulrich2022"/>
    <w:p>
      <w:pPr>
        <w:pStyle w:val="Bibliography"/>
      </w:pPr>
      <w:r>
        <w:t xml:space="preserve">66.</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[Internet]. 2022;24(1):e25440. Available from:</w:t>
      </w:r>
      <w:r>
        <w:t xml:space="preserve"> </w:t>
      </w:r>
      <w:hyperlink r:id="rId240">
        <w:r>
          <w:rPr>
            <w:rStyle w:val="Hyperlink"/>
          </w:rPr>
          <w:t xml:space="preserve">https://www.jmir.org/2022/1/e25440/</w:t>
        </w:r>
      </w:hyperlink>
    </w:p>
    <w:bookmarkEnd w:id="241"/>
    <w:bookmarkStart w:id="243" w:name="ref-lucyk2017"/>
    <w:p>
      <w:pPr>
        <w:pStyle w:val="Bibliography"/>
      </w:pPr>
      <w:r>
        <w:t xml:space="preserve">67.</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[Internet]. 2017;17(1):1–10. Available from:</w:t>
      </w:r>
      <w:r>
        <w:t xml:space="preserve"> </w:t>
      </w:r>
      <w:hyperlink r:id="rId242">
        <w:r>
          <w:rPr>
            <w:rStyle w:val="Hyperlink"/>
          </w:rPr>
          <w:t xml:space="preserve">https://link.springer.com/article/10.1186/s12913-017-2697-y</w:t>
        </w:r>
      </w:hyperlink>
    </w:p>
    <w:bookmarkEnd w:id="243"/>
    <w:bookmarkStart w:id="245" w:name="ref-hovenga2013"/>
    <w:p>
      <w:pPr>
        <w:pStyle w:val="Bibliography"/>
      </w:pPr>
      <w:r>
        <w:t xml:space="preserve">68.</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[Internet]. IOS Press; 2013. p. 67–94. Available from:</w:t>
      </w:r>
      <w:r>
        <w:t xml:space="preserve"> </w:t>
      </w:r>
      <w:hyperlink r:id="rId244">
        <w:r>
          <w:rPr>
            <w:rStyle w:val="Hyperlink"/>
          </w:rPr>
          <w:t xml:space="preserve">https://ebooks.iospress.nl/volumearticle/35106</w:t>
        </w:r>
      </w:hyperlink>
    </w:p>
    <w:bookmarkEnd w:id="245"/>
    <w:bookmarkStart w:id="247" w:name="ref-wu2024"/>
    <w:p>
      <w:pPr>
        <w:pStyle w:val="Bibliography"/>
      </w:pPr>
      <w:r>
        <w:t xml:space="preserve">69.</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46">
        <w:r>
          <w:rPr>
            <w:rStyle w:val="Hyperlink"/>
          </w:rPr>
          <w:t xml:space="preserve">https://pmc.ncbi.nlm.nih.gov/articles/PMC10802134/</w:t>
        </w:r>
      </w:hyperlink>
    </w:p>
    <w:bookmarkEnd w:id="247"/>
    <w:bookmarkStart w:id="249" w:name="ref-ren2024"/>
    <w:p>
      <w:pPr>
        <w:pStyle w:val="Bibliography"/>
      </w:pPr>
      <w:r>
        <w:t xml:space="preserve">70.</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48">
        <w:r>
          <w:rPr>
            <w:rStyle w:val="Hyperlink"/>
          </w:rPr>
          <w:t xml:space="preserve">https://pmc.ncbi.nlm.nih.gov/articles/PMC11919231/</w:t>
        </w:r>
      </w:hyperlink>
    </w:p>
    <w:bookmarkEnd w:id="249"/>
    <w:bookmarkStart w:id="251" w:name="ref-hong2025"/>
    <w:p>
      <w:pPr>
        <w:pStyle w:val="Bibliography"/>
      </w:pPr>
      <w:r>
        <w:t xml:space="preserve">71.</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50">
        <w:r>
          <w:rPr>
            <w:rStyle w:val="Hyperlink"/>
          </w:rPr>
          <w:t xml:space="preserve">https://academic.oup.com/jpart/advance-article-abstract/doi/10.1093/jopart/muaf019/8162522</w:t>
        </w:r>
      </w:hyperlink>
    </w:p>
    <w:bookmarkEnd w:id="251"/>
    <w:bookmarkStart w:id="253" w:name="ref-willardgrace2019"/>
    <w:p>
      <w:pPr>
        <w:pStyle w:val="Bibliography"/>
      </w:pPr>
      <w:r>
        <w:t xml:space="preserve">72.</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52">
        <w:r>
          <w:rPr>
            <w:rStyle w:val="Hyperlink"/>
          </w:rPr>
          <w:t xml:space="preserve">https://www.annfammed.org/content/17/1/36</w:t>
        </w:r>
      </w:hyperlink>
    </w:p>
    <w:bookmarkEnd w:id="253"/>
    <w:bookmarkStart w:id="255" w:name="ref-nsi2025"/>
    <w:p>
      <w:pPr>
        <w:pStyle w:val="Bibliography"/>
      </w:pPr>
      <w:r>
        <w:t xml:space="preserve">73.</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54">
        <w:r>
          <w:rPr>
            <w:rStyle w:val="Hyperlink"/>
          </w:rPr>
          <w:t xml:space="preserve">https://www.nsinursingsolutions.com/documents/library/nsi_national_health_care_retention_report.pdf</w:t>
        </w:r>
      </w:hyperlink>
    </w:p>
    <w:bookmarkEnd w:id="255"/>
    <w:bookmarkStart w:id="257" w:name="ref-ledikwe2013"/>
    <w:p>
      <w:pPr>
        <w:pStyle w:val="Bibliography"/>
      </w:pPr>
      <w:r>
        <w:t xml:space="preserve">74.</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56">
        <w:r>
          <w:rPr>
            <w:rStyle w:val="Hyperlink"/>
          </w:rPr>
          <w:t xml:space="preserve">https://human-resources-health.biomedcentral.com/articles/10.1186/1478-4491-11-35</w:t>
        </w:r>
      </w:hyperlink>
    </w:p>
    <w:bookmarkEnd w:id="257"/>
    <w:bookmarkStart w:id="259" w:name="ref-mantas2010"/>
    <w:p>
      <w:pPr>
        <w:pStyle w:val="Bibliography"/>
      </w:pPr>
      <w:r>
        <w:t xml:space="preserve">75.</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58">
        <w:r>
          <w:rPr>
            <w:rStyle w:val="Hyperlink"/>
          </w:rPr>
          <w:t xml:space="preserve">https://pubmed.ncbi.nlm.nih.gov/20054502/</w:t>
        </w:r>
      </w:hyperlink>
    </w:p>
    <w:bookmarkEnd w:id="259"/>
    <w:bookmarkStart w:id="261" w:name="ref-musa2023"/>
    <w:p>
      <w:pPr>
        <w:pStyle w:val="Bibliography"/>
      </w:pPr>
      <w:r>
        <w:t xml:space="preserve">76.</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60">
        <w:r>
          <w:rPr>
            <w:rStyle w:val="Hyperlink"/>
          </w:rPr>
          <w:t xml:space="preserve">https://pmc.ncbi.nlm.nih.gov/articles/PMC10243608/</w:t>
        </w:r>
      </w:hyperlink>
    </w:p>
    <w:bookmarkEnd w:id="261"/>
    <w:bookmarkStart w:id="263" w:name="ref-konrad2022"/>
    <w:p>
      <w:pPr>
        <w:pStyle w:val="Bibliography"/>
      </w:pPr>
      <w:r>
        <w:t xml:space="preserve">77.</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62">
        <w:r>
          <w:rPr>
            <w:rStyle w:val="Hyperlink"/>
          </w:rPr>
          <w:t xml:space="preserve">https://www.diva-portal.org/smash/record.jsf?pid=diva2:1684142</w:t>
        </w:r>
      </w:hyperlink>
    </w:p>
    <w:bookmarkEnd w:id="263"/>
    <w:bookmarkStart w:id="265" w:name="ref-mayo2016"/>
    <w:p>
      <w:pPr>
        <w:pStyle w:val="Bibliography"/>
      </w:pPr>
      <w:r>
        <w:t xml:space="preserve">78.</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64">
        <w:r>
          <w:rPr>
            <w:rStyle w:val="Hyperlink"/>
          </w:rPr>
          <w:t xml:space="preserve">https://www.redjournal.org/article/S0360-3016(16)00260-1/fulltext</w:t>
        </w:r>
      </w:hyperlink>
    </w:p>
    <w:bookmarkEnd w:id="265"/>
    <w:bookmarkStart w:id="267" w:name="ref-goffin2011"/>
    <w:p>
      <w:pPr>
        <w:pStyle w:val="Bibliography"/>
      </w:pPr>
      <w:r>
        <w:t xml:space="preserve">79.</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66">
        <w:r>
          <w:rPr>
            <w:rStyle w:val="Hyperlink"/>
          </w:rPr>
          <w:t xml:space="preserve">https://onlinelibrary.wiley.com/doi/abs/10.1111/j.1540-5885.2010.00798.x</w:t>
        </w:r>
      </w:hyperlink>
    </w:p>
    <w:bookmarkEnd w:id="267"/>
    <w:bookmarkStart w:id="269" w:name="ref-wang2020"/>
    <w:p>
      <w:pPr>
        <w:pStyle w:val="Bibliography"/>
      </w:pPr>
      <w:r>
        <w:t xml:space="preserve">80.</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8">
        <w:r>
          <w:rPr>
            <w:rStyle w:val="Hyperlink"/>
          </w:rPr>
          <w:t xml:space="preserve">https://arxiv.org/abs/1908.01839</w:t>
        </w:r>
      </w:hyperlink>
    </w:p>
    <w:bookmarkEnd w:id="269"/>
    <w:bookmarkStart w:id="271" w:name="ref-yuan2019"/>
    <w:p>
      <w:pPr>
        <w:pStyle w:val="Bibliography"/>
      </w:pPr>
      <w:r>
        <w:t xml:space="preserve">81.</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70">
        <w:r>
          <w:rPr>
            <w:rStyle w:val="Hyperlink"/>
          </w:rPr>
          <w:t xml:space="preserve">https://academic.oup.com/jamia/article-abstract/26/4/294/5308980</w:t>
        </w:r>
      </w:hyperlink>
    </w:p>
    <w:bookmarkEnd w:id="271"/>
    <w:bookmarkStart w:id="273" w:name="ref-wang2025"/>
    <w:p>
      <w:pPr>
        <w:pStyle w:val="Bibliography"/>
      </w:pPr>
      <w:r>
        <w:t xml:space="preserve">82.</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72">
        <w:r>
          <w:rPr>
            <w:rStyle w:val="Hyperlink"/>
          </w:rPr>
          <w:t xml:space="preserve">https://arxiv.org/abs/2508.08224</w:t>
        </w:r>
      </w:hyperlink>
    </w:p>
    <w:bookmarkEnd w:id="273"/>
    <w:bookmarkStart w:id="275" w:name="ref-openai2025"/>
    <w:p>
      <w:pPr>
        <w:pStyle w:val="Bibliography"/>
      </w:pPr>
      <w:r>
        <w:t xml:space="preserve">83.</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74">
        <w:r>
          <w:rPr>
            <w:rStyle w:val="Hyperlink"/>
          </w:rPr>
          <w:t xml:space="preserve">https://arxiv.org/abs/2505.08775</w:t>
        </w:r>
      </w:hyperlink>
    </w:p>
    <w:bookmarkEnd w:id="275"/>
    <w:bookmarkStart w:id="277" w:name="ref-medagentbench2024"/>
    <w:p>
      <w:pPr>
        <w:pStyle w:val="Bibliography"/>
      </w:pPr>
      <w:r>
        <w:t xml:space="preserve">84.</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76">
        <w:r>
          <w:rPr>
            <w:rStyle w:val="Hyperlink"/>
          </w:rPr>
          <w:t xml:space="preserve">https://ai.nejm.org/doi/full/10.1056/AIdbp2500144</w:t>
        </w:r>
      </w:hyperlink>
    </w:p>
    <w:bookmarkEnd w:id="277"/>
    <w:bookmarkStart w:id="279" w:name="ref-wu2024a"/>
    <w:p>
      <w:pPr>
        <w:pStyle w:val="Bibliography"/>
      </w:pPr>
      <w:r>
        <w:t xml:space="preserve">85.</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78">
        <w:r>
          <w:rPr>
            <w:rStyle w:val="Hyperlink"/>
          </w:rPr>
          <w:t xml:space="preserve">https://www.nature.com/articles/s41746-024-01390-4</w:t>
        </w:r>
      </w:hyperlink>
    </w:p>
    <w:bookmarkEnd w:id="279"/>
    <w:bookmarkStart w:id="281" w:name="ref-blaskovic2025"/>
    <w:p>
      <w:pPr>
        <w:pStyle w:val="Bibliography"/>
      </w:pPr>
      <w:r>
        <w:t xml:space="preserve">86.</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80">
        <w:r>
          <w:rPr>
            <w:rStyle w:val="Hyperlink"/>
          </w:rPr>
          <w:t xml:space="preserve">https://www.mdpi.com/2504-2289/9/10/256</w:t>
        </w:r>
      </w:hyperlink>
    </w:p>
    <w:bookmarkEnd w:id="281"/>
    <w:bookmarkStart w:id="283" w:name="ref-lee2023"/>
    <w:p>
      <w:pPr>
        <w:pStyle w:val="Bibliography"/>
      </w:pPr>
      <w:r>
        <w:t xml:space="preserve">87.</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82">
        <w:r>
          <w:rPr>
            <w:rStyle w:val="Hyperlink"/>
          </w:rPr>
          <w:t xml:space="preserve">https://arxiv.org/abs/2301.07695</w:t>
        </w:r>
      </w:hyperlink>
    </w:p>
    <w:bookmarkEnd w:id="283"/>
    <w:bookmarkStart w:id="285" w:name="ref-sivasubramaniam2024"/>
    <w:p>
      <w:pPr>
        <w:pStyle w:val="Bibliography"/>
      </w:pPr>
      <w:r>
        <w:t xml:space="preserve">88.</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84">
        <w:r>
          <w:rPr>
            <w:rStyle w:val="Hyperlink"/>
          </w:rPr>
          <w:t xml:space="preserve">https://arxiv.org/abs/2411.05521</w:t>
        </w:r>
      </w:hyperlink>
    </w:p>
    <w:bookmarkEnd w:id="285"/>
    <w:bookmarkStart w:id="287" w:name="ref-lee2025"/>
    <w:p>
      <w:pPr>
        <w:pStyle w:val="Bibliography"/>
      </w:pPr>
      <w:r>
        <w:t xml:space="preserve">89.</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86">
        <w:r>
          <w:rPr>
            <w:rStyle w:val="Hyperlink"/>
          </w:rPr>
          <w:t xml:space="preserve">https://arxiv.org/abs/2511.17559</w:t>
        </w:r>
      </w:hyperlink>
    </w:p>
    <w:bookmarkEnd w:id="287"/>
    <w:bookmarkStart w:id="289" w:name="ref-chen2025"/>
    <w:p>
      <w:pPr>
        <w:pStyle w:val="Bibliography"/>
      </w:pPr>
      <w:r>
        <w:t xml:space="preserve">90.</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88">
        <w:r>
          <w:rPr>
            <w:rStyle w:val="Hyperlink"/>
          </w:rPr>
          <w:t xml:space="preserve">https://www.sciencedirect.com/science/article/pii/S0031320324008197</w:t>
        </w:r>
      </w:hyperlink>
    </w:p>
    <w:bookmarkEnd w:id="289"/>
    <w:bookmarkStart w:id="291" w:name="ref-dadi2025"/>
    <w:p>
      <w:pPr>
        <w:pStyle w:val="Bibliography"/>
      </w:pPr>
      <w:r>
        <w:t xml:space="preserve">91.</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90">
        <w:r>
          <w:rPr>
            <w:rStyle w:val="Hyperlink"/>
          </w:rPr>
          <w:t xml:space="preserve">https://al-kindipublisher.com/index.php/jcsts/article/view/9694</w:t>
        </w:r>
      </w:hyperlink>
    </w:p>
    <w:bookmarkEnd w:id="291"/>
    <w:bookmarkStart w:id="293" w:name="ref-park2024"/>
    <w:p>
      <w:pPr>
        <w:pStyle w:val="Bibliography"/>
      </w:pPr>
      <w:r>
        <w:t xml:space="preserve">92.</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92">
        <w:r>
          <w:rPr>
            <w:rStyle w:val="Hyperlink"/>
          </w:rPr>
          <w:t xml:space="preserve">https://www.sciencedirect.com/science/article/pii/S1532046424000650</w:t>
        </w:r>
      </w:hyperlink>
    </w:p>
    <w:bookmarkEnd w:id="293"/>
    <w:bookmarkStart w:id="295" w:name="ref-ipeirotis2025"/>
    <w:p>
      <w:pPr>
        <w:pStyle w:val="Bibliography"/>
      </w:pPr>
      <w:r>
        <w:t xml:space="preserve">93.</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94">
        <w:r>
          <w:rPr>
            <w:rStyle w:val="Hyperlink"/>
          </w:rPr>
          <w:t xml:space="preserve">https://arxiv.org/abs/2511.14718</w:t>
        </w:r>
      </w:hyperlink>
    </w:p>
    <w:bookmarkEnd w:id="295"/>
    <w:bookmarkStart w:id="297" w:name="ref-shah2020"/>
    <w:p>
      <w:pPr>
        <w:pStyle w:val="Bibliography"/>
      </w:pPr>
      <w:r>
        <w:t xml:space="preserve">94.</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96">
        <w:r>
          <w:rPr>
            <w:rStyle w:val="Hyperlink"/>
          </w:rPr>
          <w:t xml:space="preserve">https://dl.acm.org/doi/abs/10.1145/3318464.3389777</w:t>
        </w:r>
      </w:hyperlink>
    </w:p>
    <w:bookmarkEnd w:id="297"/>
    <w:bookmarkStart w:id="299" w:name="ref-safari2014"/>
    <w:p>
      <w:pPr>
        <w:pStyle w:val="Bibliography"/>
      </w:pPr>
      <w:r>
        <w:t xml:space="preserve">95.</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98">
        <w:r>
          <w:rPr>
            <w:rStyle w:val="Hyperlink"/>
          </w:rPr>
          <w:t xml:space="preserve">https://www.sciencedirect.com/science/article/pii/S1532046414001592</w:t>
        </w:r>
      </w:hyperlink>
    </w:p>
    <w:bookmarkEnd w:id="299"/>
    <w:bookmarkStart w:id="301" w:name="ref-han2019"/>
    <w:p>
      <w:pPr>
        <w:pStyle w:val="Bibliography"/>
      </w:pPr>
      <w:r>
        <w:t xml:space="preserve">96.</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300">
        <w:r>
          <w:rPr>
            <w:rStyle w:val="Hyperlink"/>
          </w:rPr>
          <w:t xml:space="preserve">https://medinform.jmir.org/2019/3/e13331</w:t>
        </w:r>
      </w:hyperlink>
    </w:p>
    <w:bookmarkEnd w:id="301"/>
    <w:bookmarkStart w:id="303" w:name="ref-marshan2024"/>
    <w:p>
      <w:pPr>
        <w:pStyle w:val="Bibliography"/>
      </w:pPr>
      <w:r>
        <w:t xml:space="preserve">97.</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302">
        <w:r>
          <w:rPr>
            <w:rStyle w:val="Hyperlink"/>
          </w:rPr>
          <w:t xml:space="preserve">https://www.frontiersin.org/articles/10.3389/fdata.2024.1371680</w:t>
        </w:r>
      </w:hyperlink>
    </w:p>
    <w:bookmarkEnd w:id="303"/>
    <w:bookmarkStart w:id="305" w:name="ref-saha2023"/>
    <w:p>
      <w:pPr>
        <w:pStyle w:val="Bibliography"/>
      </w:pPr>
      <w:r>
        <w:t xml:space="preserve">98.</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304">
        <w:r>
          <w:rPr>
            <w:rStyle w:val="Hyperlink"/>
          </w:rPr>
          <w:t xml:space="preserve">https://www.proquest.com/openview/0d955ee8209664a4447c9995a1b9e721/1?pq-origsite=gscholar&amp;cbl=326365</w:t>
        </w:r>
      </w:hyperlink>
    </w:p>
    <w:bookmarkEnd w:id="305"/>
    <w:bookmarkStart w:id="307" w:name="ref-khandelwal2025"/>
    <w:p>
      <w:pPr>
        <w:pStyle w:val="Bibliography"/>
      </w:pPr>
      <w:r>
        <w:t xml:space="preserve">99.</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306">
        <w:r>
          <w:rPr>
            <w:rStyle w:val="Hyperlink"/>
          </w:rPr>
          <w:t xml:space="preserve">https://sarcouncil.com/2025/06/ai-driven-mainframe-modernization-unlocking-legacy-data-for-cloud-analytics</w:t>
        </w:r>
      </w:hyperlink>
    </w:p>
    <w:bookmarkEnd w:id="307"/>
    <w:bookmarkStart w:id="309" w:name="ref-syed2025"/>
    <w:p>
      <w:pPr>
        <w:pStyle w:val="Bibliography"/>
      </w:pPr>
      <w:r>
        <w:t xml:space="preserve">100.</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w:t>
      </w:r>
      <w:r>
        <w:t xml:space="preserve">[Internet]. Syed Publication; 2025. Available from:</w:t>
      </w:r>
      <w:r>
        <w:t xml:space="preserve"> </w:t>
      </w:r>
      <w:hyperlink r:id="rId308">
        <w:r>
          <w:rPr>
            <w:rStyle w:val="Hyperlink"/>
          </w:rPr>
          <w:t xml:space="preserve">https://www.google.com/books/edition/ADVANCING_SELFSERVICE_BI_The_Rise_of_Aut/np01EQAAQBAJ</w:t>
        </w:r>
      </w:hyperlink>
    </w:p>
    <w:bookmarkEnd w:id="309"/>
    <w:bookmarkStart w:id="311" w:name="ref-samimi2025"/>
    <w:p>
      <w:pPr>
        <w:pStyle w:val="Bibliography"/>
      </w:pPr>
      <w:r>
        <w:t xml:space="preserve">101.</w:t>
      </w:r>
      <w:r>
        <w:t xml:space="preserve"> </w:t>
      </w:r>
      <w:r>
        <w:t xml:space="preserve">	</w:t>
      </w:r>
      <w:r>
        <w:t xml:space="preserve">Samimi R, Bhattacharya A, Gosak L, Stiglic G, Verbert K.</w:t>
      </w:r>
      <w:r>
        <w:t xml:space="preserve"> </w:t>
      </w:r>
      <w:hyperlink r:id="rId31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11"/>
    <w:bookmarkStart w:id="313" w:name="ref-ruoff2023"/>
    <w:p>
      <w:pPr>
        <w:pStyle w:val="Bibliography"/>
      </w:pPr>
      <w:r>
        <w:t xml:space="preserve">102.</w:t>
      </w:r>
      <w:r>
        <w:t xml:space="preserve"> </w:t>
      </w:r>
      <w:r>
        <w:t xml:space="preserve">	</w:t>
      </w:r>
      <w:r>
        <w:t xml:space="preserve">Ruoff M, Gnewuch U, Maedche A, Scheibehenne B.</w:t>
      </w:r>
      <w:r>
        <w:t xml:space="preserve"> </w:t>
      </w:r>
      <w:hyperlink r:id="rId31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13"/>
    <w:bookmarkStart w:id="315" w:name="ref-chowdhury2020"/>
    <w:p>
      <w:pPr>
        <w:pStyle w:val="Bibliography"/>
      </w:pPr>
      <w:r>
        <w:t xml:space="preserve">103.</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[Internet]. 2020; Available from:</w:t>
      </w:r>
      <w:r>
        <w:t xml:space="preserve"> </w:t>
      </w:r>
      <w:hyperlink r:id="rId314">
        <w:r>
          <w:rPr>
            <w:rStyle w:val="Hyperlink"/>
          </w:rPr>
          <w:t xml:space="preserve">https://ieeexplore.ieee.org/abstract/document/9303381</w:t>
        </w:r>
      </w:hyperlink>
    </w:p>
    <w:bookmarkEnd w:id="315"/>
    <w:bookmarkStart w:id="317" w:name="ref-holmes2019"/>
    <w:p>
      <w:pPr>
        <w:pStyle w:val="Bibliography"/>
      </w:pPr>
      <w:r>
        <w:t xml:space="preserve">104.</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[Internet]. 2019. Available from:</w:t>
      </w:r>
      <w:r>
        <w:t xml:space="preserve"> </w:t>
      </w:r>
      <w:hyperlink r:id="rId316">
        <w:r>
          <w:rPr>
            <w:rStyle w:val="Hyperlink"/>
          </w:rPr>
          <w:t xml:space="preserve">https://dl.acm.org/doi/abs/10.1145/3335082.3335094</w:t>
        </w:r>
      </w:hyperlink>
    </w:p>
    <w:bookmarkEnd w:id="317"/>
    <w:bookmarkStart w:id="319" w:name="ref-whittaker2008"/>
    <w:p>
      <w:pPr>
        <w:pStyle w:val="Bibliography"/>
      </w:pPr>
      <w:r>
        <w:t xml:space="preserve">105.</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18">
        <w:r>
          <w:rPr>
            <w:rStyle w:val="Hyperlink"/>
          </w:rPr>
          <w:t xml:space="preserve">https://www.academia.edu/download/41283190/Design_and_evaluation_of_systems_to_supp20160117-25708-98zc50.pdf</w:t>
        </w:r>
      </w:hyperlink>
    </w:p>
    <w:bookmarkEnd w:id="319"/>
    <w:bookmarkStart w:id="321" w:name="ref-rangachari2020"/>
    <w:p>
      <w:pPr>
        <w:pStyle w:val="Bibliography"/>
      </w:pPr>
      <w:r>
        <w:t xml:space="preserve">106.</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320">
        <w:r>
          <w:rPr>
            <w:rStyle w:val="Hyperlink"/>
          </w:rPr>
          <w:t xml:space="preserve">https://www.mdpi.com/1660-4601/17/12/4267</w:t>
        </w:r>
      </w:hyperlink>
    </w:p>
    <w:bookmarkEnd w:id="321"/>
    <w:bookmarkStart w:id="323" w:name="ref-moore2018"/>
    <w:p>
      <w:pPr>
        <w:pStyle w:val="Bibliography"/>
      </w:pPr>
      <w:r>
        <w:t xml:space="preserve">107.</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22">
        <w:r>
          <w:rPr>
            <w:rStyle w:val="Hyperlink"/>
          </w:rPr>
          <w:t xml:space="preserve">https://wendyju.com/publications/18_ijee3593.pdf</w:t>
        </w:r>
      </w:hyperlink>
    </w:p>
    <w:bookmarkEnd w:id="323"/>
    <w:bookmarkStart w:id="325" w:name="ref-yang2025"/>
    <w:p>
      <w:pPr>
        <w:pStyle w:val="Bibliography"/>
      </w:pPr>
      <w:r>
        <w:t xml:space="preserve">108.</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24">
        <w:r>
          <w:rPr>
            <w:rStyle w:val="Hyperlink"/>
          </w:rPr>
          <w:t xml:space="preserve">https://bioinform.jmir.org/2025/1/e63139</w:t>
        </w:r>
      </w:hyperlink>
    </w:p>
    <w:bookmarkEnd w:id="325"/>
    <w:bookmarkStart w:id="327" w:name="ref-mogili2025"/>
    <w:p>
      <w:pPr>
        <w:pStyle w:val="Bibliography"/>
      </w:pPr>
      <w:r>
        <w:t xml:space="preserve">109.</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26">
        <w:r>
          <w:rPr>
            <w:rStyle w:val="Hyperlink"/>
          </w:rPr>
          <w:t xml:space="preserve">https://sarcouncil.com/download-article/SJECS-209-_2025-630-636.pdf</w:t>
        </w:r>
      </w:hyperlink>
    </w:p>
    <w:bookmarkEnd w:id="327"/>
    <w:bookmarkStart w:id="329" w:name="ref-aveiro2023"/>
    <w:p>
      <w:pPr>
        <w:pStyle w:val="Bibliography"/>
      </w:pPr>
      <w:r>
        <w:t xml:space="preserve">110.</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28">
        <w:r>
          <w:rPr>
            <w:rStyle w:val="Hyperlink"/>
          </w:rPr>
          <w:t xml:space="preserve">https://ieeexplore.ieee.org/document/10186753</w:t>
        </w:r>
      </w:hyperlink>
    </w:p>
    <w:bookmarkEnd w:id="329"/>
    <w:bookmarkStart w:id="331" w:name="ref-pennington2023"/>
    <w:p>
      <w:pPr>
        <w:pStyle w:val="Bibliography"/>
      </w:pPr>
      <w:r>
        <w:t xml:space="preserve">111.</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30">
        <w:r>
          <w:rPr>
            <w:rStyle w:val="Hyperlink"/>
          </w:rPr>
          <w:t xml:space="preserve">https://mds.marshall.edu/etd/1824/</w:t>
        </w:r>
      </w:hyperlink>
    </w:p>
    <w:bookmarkEnd w:id="331"/>
    <w:bookmarkStart w:id="333" w:name="ref-atobatele2023"/>
    <w:p>
      <w:pPr>
        <w:pStyle w:val="Bibliography"/>
      </w:pPr>
      <w:r>
        <w:t xml:space="preserve">112.</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32">
        <w:r>
          <w:rPr>
            <w:rStyle w:val="Hyperlink"/>
          </w:rPr>
          <w:t xml:space="preserve">https://gisrrj.com/paper/GISRRJ236426.pdf</w:t>
        </w:r>
      </w:hyperlink>
    </w:p>
    <w:bookmarkEnd w:id="333"/>
    <w:bookmarkStart w:id="335" w:name="ref-jiao2023"/>
    <w:p>
      <w:pPr>
        <w:pStyle w:val="Bibliography"/>
      </w:pPr>
      <w:r>
        <w:t xml:space="preserve">113.</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34">
        <w:r>
          <w:rPr>
            <w:rStyle w:val="Hyperlink"/>
          </w:rPr>
          <w:t xml:space="preserve">https://ieeexplore.ieee.org/document/10297311</w:t>
        </w:r>
      </w:hyperlink>
    </w:p>
    <w:bookmarkEnd w:id="335"/>
    <w:bookmarkStart w:id="337" w:name="ref-elkamouchi2023"/>
    <w:p>
      <w:pPr>
        <w:pStyle w:val="Bibliography"/>
      </w:pPr>
      <w:r>
        <w:t xml:space="preserve">114.</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36">
        <w:r>
          <w:rPr>
            <w:rStyle w:val="Hyperlink"/>
          </w:rPr>
          <w:t xml:space="preserve">https://ieeexplore.ieee.org/abstract/document/10373712/</w:t>
        </w:r>
      </w:hyperlink>
    </w:p>
    <w:bookmarkEnd w:id="337"/>
    <w:bookmarkStart w:id="339" w:name="ref-pervaiz2025"/>
    <w:p>
      <w:pPr>
        <w:pStyle w:val="Bibliography"/>
      </w:pPr>
      <w:r>
        <w:t xml:space="preserve">115.</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38">
        <w:r>
          <w:rPr>
            <w:rStyle w:val="Hyperlink"/>
          </w:rPr>
          <w:t xml:space="preserve">https://imjstb.com/index.php/Journal/article/view/95</w:t>
        </w:r>
      </w:hyperlink>
    </w:p>
    <w:bookmarkEnd w:id="339"/>
    <w:bookmarkStart w:id="341" w:name="ref-snowdon2024a"/>
    <w:p>
      <w:pPr>
        <w:pStyle w:val="Bibliography"/>
      </w:pPr>
      <w:r>
        <w:t xml:space="preserve">116.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340">
        <w:r>
          <w:rPr>
            <w:rStyle w:val="Hyperlink"/>
          </w:rPr>
          <w:t xml:space="preserve">https://journals.sagepub.com/doi/full/10.1177/23743735241253785</w:t>
        </w:r>
      </w:hyperlink>
    </w:p>
    <w:bookmarkEnd w:id="341"/>
    <w:bookmarkStart w:id="343"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42">
        <w:r>
          <w:rPr>
            <w:rStyle w:val="Hyperlink"/>
          </w:rPr>
          <w:t xml:space="preserve">https://academic.oup.com/jamia/article/14/6/687/750453</w:t>
        </w:r>
      </w:hyperlink>
    </w:p>
    <w:bookmarkEnd w:id="343"/>
    <w:bookmarkStart w:id="345"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44">
        <w:r>
          <w:rPr>
            <w:rStyle w:val="Hyperlink"/>
          </w:rPr>
          <w:t xml:space="preserve">https://www.acpjournals.org/doi/10.7326/M19-0871</w:t>
        </w:r>
      </w:hyperlink>
    </w:p>
    <w:bookmarkEnd w:id="345"/>
    <w:bookmarkStart w:id="347"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46">
        <w:r>
          <w:rPr>
            <w:rStyle w:val="Hyperlink"/>
          </w:rPr>
          <w:t xml:space="preserve">https://www.sciencedirect.com/science/article/pii/S0168851021002396</w:t>
        </w:r>
      </w:hyperlink>
    </w:p>
    <w:bookmarkEnd w:id="347"/>
    <w:bookmarkStart w:id="349"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48">
        <w:r>
          <w:rPr>
            <w:rStyle w:val="Hyperlink"/>
          </w:rPr>
          <w:t xml:space="preserve">https://ieeexplore.ieee.org/abstract/document/8678513/</w:t>
        </w:r>
      </w:hyperlink>
    </w:p>
    <w:bookmarkEnd w:id="349"/>
    <w:bookmarkStart w:id="351"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50">
        <w:r>
          <w:rPr>
            <w:rStyle w:val="Hyperlink"/>
          </w:rPr>
          <w:t xml:space="preserve">https://oulurepo.oulu.fi/bitstream/handle/10024/27921/nbnfi-fe2020050424858.pdf</w:t>
        </w:r>
      </w:hyperlink>
    </w:p>
    <w:bookmarkEnd w:id="351"/>
    <w:bookmarkStart w:id="353"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52">
        <w:r>
          <w:rPr>
            <w:rStyle w:val="Hyperlink"/>
          </w:rPr>
          <w:t xml:space="preserve">https://www.academicradiology.org/article/S1076-6332(21)00140-9/abstract</w:t>
        </w:r>
      </w:hyperlink>
    </w:p>
    <w:bookmarkEnd w:id="353"/>
    <w:bookmarkStart w:id="355"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54">
        <w:r>
          <w:rPr>
            <w:rStyle w:val="Hyperlink"/>
          </w:rPr>
          <w:t xml:space="preserve">https://journals.sagepub.com/doi/abs/10.1177/00081256221094307</w:t>
        </w:r>
      </w:hyperlink>
    </w:p>
    <w:bookmarkEnd w:id="355"/>
    <w:bookmarkStart w:id="356" w:name="ref-nashid2023a"/>
    <w:p>
      <w:pPr>
        <w:pStyle w:val="Bibliography"/>
      </w:pPr>
      <w:r>
        <w:t xml:space="preserve">124.</w:t>
      </w:r>
      <w:r>
        <w:t xml:space="preserve"> </w:t>
      </w:r>
      <w:r>
        <w:t xml:space="preserve">	</w:t>
      </w:r>
      <w:r>
        <w:t xml:space="preserve">Nashid S, Papia SK, Chowdhury N, Mia MS,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39">
        <w:r>
          <w:rPr>
            <w:rStyle w:val="Hyperlink"/>
          </w:rPr>
          <w:t xml:space="preserve">https://doi.org/10.25163/business.1110345</w:t>
        </w:r>
      </w:hyperlink>
    </w:p>
    <w:bookmarkEnd w:id="356"/>
    <w:bookmarkStart w:id="358" w:name="ref-forrester2024a"/>
    <w:p>
      <w:pPr>
        <w:pStyle w:val="Bibliography"/>
      </w:pPr>
      <w:r>
        <w:t xml:space="preserve">125.</w:t>
      </w:r>
      <w:r>
        <w:t xml:space="preserve"> </w:t>
      </w:r>
      <w:r>
        <w:t xml:space="preserve">	</w:t>
      </w:r>
      <w:r>
        <w:t xml:space="preserve">Forrester Consulting.</w:t>
      </w:r>
      <w:r>
        <w:t xml:space="preserve"> </w:t>
      </w:r>
      <w:r>
        <w:t xml:space="preserve">The Total Economic Impact™ Of Microsoft Power Apps</w:t>
      </w:r>
      <w:r>
        <w:t xml:space="preserve"> </w:t>
      </w:r>
      <w:r>
        <w:t xml:space="preserve">[Internet]. Forrester Consulting; 2024. Available from:</w:t>
      </w:r>
      <w:r>
        <w:t xml:space="preserve"> </w:t>
      </w:r>
      <w:hyperlink r:id="rId357">
        <w:r>
          <w:rPr>
            <w:rStyle w:val="Hyperlink"/>
          </w:rPr>
          <w:t xml:space="preserve">https://tools.totaleconomicimpact.com/go/microsoft/powerapps/</w:t>
        </w:r>
      </w:hyperlink>
    </w:p>
    <w:bookmarkEnd w:id="358"/>
    <w:bookmarkStart w:id="360" w:name="ref-sezgin2022"/>
    <w:p>
      <w:pPr>
        <w:pStyle w:val="Bibliography"/>
      </w:pPr>
      <w:r>
        <w:t xml:space="preserve">126.</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59">
        <w:r>
          <w:rPr>
            <w:rStyle w:val="Hyperlink"/>
          </w:rPr>
          <w:t xml:space="preserve">https://medinform.jmir.org/2022/2/e32875</w:t>
        </w:r>
      </w:hyperlink>
    </w:p>
    <w:bookmarkEnd w:id="360"/>
    <w:bookmarkStart w:id="362" w:name="ref-himss2025ucdavis"/>
    <w:p>
      <w:pPr>
        <w:pStyle w:val="Bibliography"/>
      </w:pPr>
      <w:r>
        <w:t xml:space="preserve">127.</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61">
        <w:r>
          <w:rPr>
            <w:rStyle w:val="Hyperlink"/>
          </w:rPr>
          <w:t xml:space="preserve">https://pages.himss.org/LP-HA-Case-Study-UC-Davis.html</w:t>
        </w:r>
      </w:hyperlink>
    </w:p>
    <w:bookmarkEnd w:id="362"/>
    <w:bookmarkStart w:id="364" w:name="ref-lenz2007"/>
    <w:p>
      <w:pPr>
        <w:pStyle w:val="Bibliography"/>
      </w:pPr>
      <w:r>
        <w:t xml:space="preserve">128.</w:t>
      </w:r>
      <w:r>
        <w:t xml:space="preserve"> </w:t>
      </w:r>
      <w:r>
        <w:t xml:space="preserve">	</w:t>
      </w:r>
      <w:r>
        <w:t xml:space="preserve">Lenz R, Beyer M, Kuhn KA.</w:t>
      </w:r>
      <w:r>
        <w:t xml:space="preserve"> </w:t>
      </w:r>
      <w:hyperlink r:id="rId363">
        <w:r>
          <w:rPr>
            <w:rStyle w:val="Hyperlink"/>
          </w:rPr>
          <w:t xml:space="preserve">Semantic integration in healthcare networks</w:t>
        </w:r>
      </w:hyperlink>
      <w:r>
        <w:t xml:space="preserve">. International Journal of Medical Informatics. 2007;76(2-3):201–7.</w:t>
      </w:r>
      <w:r>
        <w:t xml:space="preserve"> </w:t>
      </w:r>
    </w:p>
    <w:bookmarkEnd w:id="364"/>
    <w:bookmarkStart w:id="366" w:name="ref-oliveira2023"/>
    <w:p>
      <w:pPr>
        <w:pStyle w:val="Bibliography"/>
      </w:pPr>
      <w:r>
        <w:t xml:space="preserve">129.</w:t>
      </w:r>
      <w:r>
        <w:t xml:space="preserve"> </w:t>
      </w:r>
      <w:r>
        <w:t xml:space="preserve">	</w:t>
      </w:r>
      <w:r>
        <w:t xml:space="preserve">Oliveira MAP et al.</w:t>
      </w:r>
      <w:r>
        <w:t xml:space="preserve"> Semantic modelling for enterprise data governance 4.0. arXiv preprint arXiv:231102082 [Internet]. 2023; Available from:</w:t>
      </w:r>
      <w:r>
        <w:t xml:space="preserve"> </w:t>
      </w:r>
      <w:hyperlink r:id="rId365">
        <w:r>
          <w:rPr>
            <w:rStyle w:val="Hyperlink"/>
          </w:rPr>
          <w:t xml:space="preserve">https://arxiv.org/pdf/2311.02082</w:t>
        </w:r>
      </w:hyperlink>
    </w:p>
    <w:bookmarkEnd w:id="366"/>
    <w:bookmarkStart w:id="368" w:name="ref-alukal2006"/>
    <w:p>
      <w:pPr>
        <w:pStyle w:val="Bibliography"/>
      </w:pPr>
      <w:r>
        <w:t xml:space="preserve">130.</w:t>
      </w:r>
      <w:r>
        <w:t xml:space="preserve"> </w:t>
      </w:r>
      <w:r>
        <w:t xml:space="preserve">	</w:t>
      </w:r>
      <w:r>
        <w:t xml:space="preserve">Alukal VG, Manos A. Lean kaizen: A simplified approach to process improvement [Internet]. Milwaukee, WI: ASQ Quality Press; 2006. Available from:</w:t>
      </w:r>
      <w:r>
        <w:t xml:space="preserve"> </w:t>
      </w:r>
      <w:hyperlink r:id="rId367">
        <w:r>
          <w:rPr>
            <w:rStyle w:val="Hyperlink"/>
          </w:rPr>
          <w:t xml:space="preserve">https://books.google.com/books?id=9uqiEAAAQBAJ</w:t>
        </w:r>
      </w:hyperlink>
    </w:p>
    <w:bookmarkEnd w:id="368"/>
    <w:bookmarkStart w:id="370" w:name="ref-mannapur2025"/>
    <w:p>
      <w:pPr>
        <w:pStyle w:val="Bibliography"/>
      </w:pPr>
      <w:r>
        <w:t xml:space="preserve">131.</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69">
        <w:r>
          <w:rPr>
            <w:rStyle w:val="Hyperlink"/>
          </w:rPr>
          <w:t xml:space="preserve">https://www.quantbeckman.com/api/v1/file/5b240742-bf0d-4f8c-a0f9-cb29fab42611.pdf</w:t>
        </w:r>
      </w:hyperlink>
    </w:p>
    <w:bookmarkEnd w:id="370"/>
    <w:bookmarkStart w:id="372" w:name="ref-yupopa2005"/>
    <w:p>
      <w:pPr>
        <w:pStyle w:val="Bibliography"/>
      </w:pPr>
      <w:r>
        <w:t xml:space="preserve">132.</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71">
        <w:r>
          <w:rPr>
            <w:rStyle w:val="Hyperlink"/>
          </w:rPr>
          <w:t xml:space="preserve">https://mail.vldb.org/archives/website/2005/program/paper/fri/p1006-yu.pdf</w:t>
        </w:r>
      </w:hyperlink>
    </w:p>
    <w:bookmarkEnd w:id="372"/>
    <w:bookmarkStart w:id="374" w:name="ref-sivaranjani2025"/>
    <w:p>
      <w:pPr>
        <w:pStyle w:val="Bibliography"/>
      </w:pPr>
      <w:r>
        <w:t xml:space="preserve">133.</w:t>
      </w:r>
      <w:r>
        <w:t xml:space="preserve"> </w:t>
      </w:r>
      <w:r>
        <w:t xml:space="preserve">	</w:t>
      </w:r>
      <w:r>
        <w:t xml:space="preserve">Sivaranjani S, Tharunika V.</w:t>
      </w:r>
      <w:r>
        <w:t xml:space="preserve"> </w:t>
      </w:r>
      <w:r>
        <w:t xml:space="preserve">Semantic Web for Addressing Data Integration Challenges</w:t>
      </w:r>
      <w:r>
        <w:t xml:space="preserve"> </w:t>
      </w:r>
      <w:r>
        <w:t xml:space="preserve">[Internet]. Taylor &amp; Francis; 2025. Available from:</w:t>
      </w:r>
      <w:r>
        <w:t xml:space="preserve"> </w:t>
      </w:r>
      <w:hyperlink r:id="rId373">
        <w:r>
          <w:rPr>
            <w:rStyle w:val="Hyperlink"/>
          </w:rPr>
          <w:t xml:space="preserve">https://www.taylorfrancis.com/chapters/edit/10.1201/9781003716686-10/semantic-web-addressing-data-integration-challenges-semantic-data-fabric-healthcare-sivaranjani-tharunika-bhuvaneswari</w:t>
        </w:r>
      </w:hyperlink>
    </w:p>
    <w:bookmarkEnd w:id="374"/>
    <w:bookmarkStart w:id="376" w:name="ref-battula2025"/>
    <w:p>
      <w:pPr>
        <w:pStyle w:val="Bibliography"/>
      </w:pPr>
      <w:r>
        <w:t xml:space="preserve">134.</w:t>
      </w:r>
      <w:r>
        <w:t xml:space="preserve"> </w:t>
      </w:r>
      <w:r>
        <w:t xml:space="preserve">	</w:t>
      </w:r>
      <w:r>
        <w:t xml:space="preserve">Battula SKY.</w:t>
      </w:r>
      <w:r>
        <w:t xml:space="preserve"> </w:t>
      </w:r>
      <w:hyperlink r:id="rId375">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76"/>
    <w:bookmarkStart w:id="378" w:name="ref-zimmermann2017"/>
    <w:p>
      <w:pPr>
        <w:pStyle w:val="Bibliography"/>
      </w:pPr>
      <w:r>
        <w:t xml:space="preserve">135.</w:t>
      </w:r>
      <w:r>
        <w:t xml:space="preserve"> </w:t>
      </w:r>
      <w:r>
        <w:t xml:space="preserve">	</w:t>
      </w:r>
      <w:r>
        <w:t xml:space="preserve">Zimmermann S, Rentrop C, Felden C.</w:t>
      </w:r>
      <w:r>
        <w:t xml:space="preserve"> </w:t>
      </w:r>
      <w:hyperlink r:id="rId377">
        <w:r>
          <w:rPr>
            <w:rStyle w:val="Hyperlink"/>
          </w:rPr>
          <w:t xml:space="preserve">A Multiple Case Study on the Nature and Management of Shadow Information Technology</w:t>
        </w:r>
      </w:hyperlink>
      <w:r>
        <w:t xml:space="preserve">. Journal of Information Systems. 2017;31(1):79–101.</w:t>
      </w:r>
      <w:r>
        <w:t xml:space="preserve"> </w:t>
      </w:r>
    </w:p>
    <w:bookmarkEnd w:id="378"/>
    <w:bookmarkStart w:id="380" w:name="ref-rivard1987"/>
    <w:p>
      <w:pPr>
        <w:pStyle w:val="Bibliography"/>
      </w:pPr>
      <w:r>
        <w:t xml:space="preserve">136.</w:t>
      </w:r>
      <w:r>
        <w:t xml:space="preserve"> </w:t>
      </w:r>
      <w:r>
        <w:t xml:space="preserve">	</w:t>
      </w:r>
      <w:r>
        <w:t xml:space="preserve">Rivard S.</w:t>
      </w:r>
      <w:r>
        <w:t xml:space="preserve"> </w:t>
      </w:r>
      <w:hyperlink r:id="rId379">
        <w:r>
          <w:rPr>
            <w:rStyle w:val="Hyperlink"/>
          </w:rPr>
          <w:t xml:space="preserve">Successful Implementation of End-User Computing</w:t>
        </w:r>
      </w:hyperlink>
      <w:r>
        <w:t xml:space="preserve">. Interfaces. 1987;17(3):25–33.</w:t>
      </w:r>
      <w:r>
        <w:t xml:space="preserve"> </w:t>
      </w:r>
    </w:p>
    <w:bookmarkEnd w:id="380"/>
    <w:bookmarkStart w:id="382" w:name="ref-kopper2020"/>
    <w:p>
      <w:pPr>
        <w:pStyle w:val="Bibliography"/>
      </w:pPr>
      <w:r>
        <w:t xml:space="preserve">137.</w:t>
      </w:r>
      <w:r>
        <w:t xml:space="preserve"> </w:t>
      </w:r>
      <w:r>
        <w:t xml:space="preserve">	</w:t>
      </w:r>
      <w:r>
        <w:t xml:space="preserve">Kopper A, Westner M, Strahringer S.</w:t>
      </w:r>
      <w:r>
        <w:t xml:space="preserve"> </w:t>
      </w:r>
      <w:hyperlink r:id="rId381">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82"/>
    <w:bookmarkEnd w:id="383"/>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hyperlink" Id="rId236" Target="https://academic.oup.com/database/article/doi/10.1093/database/bav121/2630096" TargetMode="External" /><Relationship Type="http://schemas.openxmlformats.org/officeDocument/2006/relationships/hyperlink" Id="rId270" Target="https://academic.oup.com/jamia/article-abstract/26/4/294/5308980" TargetMode="External" /><Relationship Type="http://schemas.openxmlformats.org/officeDocument/2006/relationships/hyperlink" Id="rId226" Target="https://academic.oup.com/jamia/article-abstract/9/6/600/1036696" TargetMode="External" /><Relationship Type="http://schemas.openxmlformats.org/officeDocument/2006/relationships/hyperlink" Id="rId342" Target="https://academic.oup.com/jamia/article/14/6/687/750453" TargetMode="External" /><Relationship Type="http://schemas.openxmlformats.org/officeDocument/2006/relationships/hyperlink" Id="rId250" Target="https://academic.oup.com/jpart/advance-article-abstract/doi/10.1093/jopart/muaf019/8162522" TargetMode="External" /><Relationship Type="http://schemas.openxmlformats.org/officeDocument/2006/relationships/hyperlink" Id="rId122" Target="https://academic.oup.com/jpubhealth" TargetMode="External" /><Relationship Type="http://schemas.openxmlformats.org/officeDocument/2006/relationships/hyperlink" Id="rId276" Target="https://ai.nejm.org/doi/full/10.1056/AIdbp2500144" TargetMode="External" /><Relationship Type="http://schemas.openxmlformats.org/officeDocument/2006/relationships/hyperlink" Id="rId290" Target="https://al-kindipublisher.com/index.php/jcsts/article/view/9694" TargetMode="External" /><Relationship Type="http://schemas.openxmlformats.org/officeDocument/2006/relationships/hyperlink" Id="rId118" Target="https://api.wittkieffer.com/wp-content/uploads/2012/10/cio-insights-the-state-of-healthcare-it-leadership-wittkieffer-october-2024.pdf" TargetMode="External" /><Relationship Type="http://schemas.openxmlformats.org/officeDocument/2006/relationships/hyperlink" Id="rId268" Target="https://arxiv.org/abs/1908.01839" TargetMode="External" /><Relationship Type="http://schemas.openxmlformats.org/officeDocument/2006/relationships/hyperlink" Id="rId282" Target="https://arxiv.org/abs/2301.07695" TargetMode="External" /><Relationship Type="http://schemas.openxmlformats.org/officeDocument/2006/relationships/hyperlink" Id="rId149" Target="https://arxiv.org/abs/2403.09226" TargetMode="External" /><Relationship Type="http://schemas.openxmlformats.org/officeDocument/2006/relationships/hyperlink" Id="rId284" Target="https://arxiv.org/abs/2411.05521" TargetMode="External" /><Relationship Type="http://schemas.openxmlformats.org/officeDocument/2006/relationships/hyperlink" Id="rId274" Target="https://arxiv.org/abs/2505.08775" TargetMode="External" /><Relationship Type="http://schemas.openxmlformats.org/officeDocument/2006/relationships/hyperlink" Id="rId272" Target="https://arxiv.org/abs/2508.08224" TargetMode="External" /><Relationship Type="http://schemas.openxmlformats.org/officeDocument/2006/relationships/hyperlink" Id="rId294" Target="https://arxiv.org/abs/2511.14718" TargetMode="External" /><Relationship Type="http://schemas.openxmlformats.org/officeDocument/2006/relationships/hyperlink" Id="rId286" Target="https://arxiv.org/abs/2511.17559" TargetMode="External" /><Relationship Type="http://schemas.openxmlformats.org/officeDocument/2006/relationships/hyperlink" Id="rId365" Target="https://arxiv.org/pdf/2311.02082" TargetMode="External" /><Relationship Type="http://schemas.openxmlformats.org/officeDocument/2006/relationships/hyperlink" Id="rId324" Target="https://bioinform.jmir.org/2025/1/e63139" TargetMode="External" /><Relationship Type="http://schemas.openxmlformats.org/officeDocument/2006/relationships/hyperlink" Id="rId367" Target="https://books.google.com/books?id=9uqiEAAAQBAJ" TargetMode="External" /><Relationship Type="http://schemas.openxmlformats.org/officeDocument/2006/relationships/hyperlink" Id="rId124" Target="https://dl.acm.org/doi/10.1145/1017114.1017118" TargetMode="External" /><Relationship Type="http://schemas.openxmlformats.org/officeDocument/2006/relationships/hyperlink" Id="rId131" Target="https://dl.acm.org/doi/abs/10.1145/320251.320253" TargetMode="External" /><Relationship Type="http://schemas.openxmlformats.org/officeDocument/2006/relationships/hyperlink" Id="rId296" Target="https://dl.acm.org/doi/abs/10.1145/3318464.3389777" TargetMode="External" /><Relationship Type="http://schemas.openxmlformats.org/officeDocument/2006/relationships/hyperlink" Id="rId316" Target="https://dl.acm.org/doi/abs/10.1145/3335082.3335094" TargetMode="External" /><Relationship Type="http://schemas.openxmlformats.org/officeDocument/2006/relationships/hyperlink" Id="rId381" Target="https://doi.org/10.1007/s10257-020-00472-y" TargetMode="External" /><Relationship Type="http://schemas.openxmlformats.org/officeDocument/2006/relationships/hyperlink" Id="rId183" Target="https://doi.org/10.1016/j.ijinfomgt.2003.12.012" TargetMode="External" /><Relationship Type="http://schemas.openxmlformats.org/officeDocument/2006/relationships/hyperlink" Id="rId216" Target="https://doi.org/10.1016/j.ijinfomgt.2018.07.001" TargetMode="External" /><Relationship Type="http://schemas.openxmlformats.org/officeDocument/2006/relationships/hyperlink" Id="rId363" Target="https://doi.org/10.1016/j.ijmedinf.2006.05.008" TargetMode="External" /><Relationship Type="http://schemas.openxmlformats.org/officeDocument/2006/relationships/hyperlink" Id="rId177" Target="https://doi.org/10.1108/JKM-08-2016-0338" TargetMode="External" /><Relationship Type="http://schemas.openxmlformats.org/officeDocument/2006/relationships/hyperlink" Id="rId310" Target="https://doi.org/10.1145/3670653.3670660" TargetMode="External" /><Relationship Type="http://schemas.openxmlformats.org/officeDocument/2006/relationships/hyperlink" Id="rId173" Target="https://doi.org/10.1177/0165551506070706" TargetMode="External" /><Relationship Type="http://schemas.openxmlformats.org/officeDocument/2006/relationships/hyperlink" Id="rId169" Target="https://doi.org/10.1201/9781003188162" TargetMode="External" /><Relationship Type="http://schemas.openxmlformats.org/officeDocument/2006/relationships/hyperlink" Id="rId379" Target="https://doi.org/10.1287/inte.17.3.25" TargetMode="External" /><Relationship Type="http://schemas.openxmlformats.org/officeDocument/2006/relationships/hyperlink" Id="rId312" Target="https://doi.org/10.17705/1jais.00801" TargetMode="External" /><Relationship Type="http://schemas.openxmlformats.org/officeDocument/2006/relationships/hyperlink" Id="rId377" Target="https://doi.org/10.2308/isys-51517" TargetMode="External" /><Relationship Type="http://schemas.openxmlformats.org/officeDocument/2006/relationships/hyperlink" Id="rId139" Target="https://doi.org/10.25163/business.1110345" TargetMode="External" /><Relationship Type="http://schemas.openxmlformats.org/officeDocument/2006/relationships/hyperlink" Id="rId375" Target="https://doi.org/10.63282/3050-9262.IJAIDSML-V6I4P130" TargetMode="External" /><Relationship Type="http://schemas.openxmlformats.org/officeDocument/2006/relationships/hyperlink" Id="rId151" Target="https://dspace.flinders.edu.au/jspui/bitstream/2328/3326/4/AACODS_Checklist.pdf" TargetMode="External" /><Relationship Type="http://schemas.openxmlformats.org/officeDocument/2006/relationships/hyperlink" Id="rId244" Target="https://ebooks.iospress.nl/volumearticle/35106" TargetMode="External" /><Relationship Type="http://schemas.openxmlformats.org/officeDocument/2006/relationships/hyperlink" Id="rId332" Target="https://gisrrj.com/paper/GISRRJ236426.pdf" TargetMode="External" /><Relationship Type="http://schemas.openxmlformats.org/officeDocument/2006/relationships/hyperlink" Id="rId256" Target="https://human-resources-health.biomedcentral.com/articles/10.1186/1478-4491-11-35" TargetMode="External" /><Relationship Type="http://schemas.openxmlformats.org/officeDocument/2006/relationships/hyperlink" Id="rId157" Target="https://ia.berkshirehealthcare.nhs.uk/citizen-developer-programme" TargetMode="External" /><Relationship Type="http://schemas.openxmlformats.org/officeDocument/2006/relationships/hyperlink" Id="rId336" Target="https://ieeexplore.ieee.org/abstract/document/10373712/" TargetMode="External" /><Relationship Type="http://schemas.openxmlformats.org/officeDocument/2006/relationships/hyperlink" Id="rId238" Target="https://ieeexplore.ieee.org/abstract/document/8104211" TargetMode="External" /><Relationship Type="http://schemas.openxmlformats.org/officeDocument/2006/relationships/hyperlink" Id="rId348" Target="https://ieeexplore.ieee.org/abstract/document/8678513/" TargetMode="External" /><Relationship Type="http://schemas.openxmlformats.org/officeDocument/2006/relationships/hyperlink" Id="rId314" Target="https://ieeexplore.ieee.org/abstract/document/9303381" TargetMode="External" /><Relationship Type="http://schemas.openxmlformats.org/officeDocument/2006/relationships/hyperlink" Id="rId328" Target="https://ieeexplore.ieee.org/document/10186753" TargetMode="External" /><Relationship Type="http://schemas.openxmlformats.org/officeDocument/2006/relationships/hyperlink" Id="rId334" Target="https://ieeexplore.ieee.org/document/10297311" TargetMode="External" /><Relationship Type="http://schemas.openxmlformats.org/officeDocument/2006/relationships/hyperlink" Id="rId338" Target="https://imjstb.com/index.php/Journal/article/view/95" TargetMode="External" /><Relationship Type="http://schemas.openxmlformats.org/officeDocument/2006/relationships/hyperlink" Id="rId224" Target="https://jamanetwork.com/journals/jamanetworkopen/fullarticle/2777777" TargetMode="External" /><Relationship Type="http://schemas.openxmlformats.org/officeDocument/2006/relationships/hyperlink" Id="rId141" Target="https://journalofbigdata.springeropen.com/articles/10.1186/s40537-019-0170-y" TargetMode="External" /><Relationship Type="http://schemas.openxmlformats.org/officeDocument/2006/relationships/hyperlink" Id="rId354" Target="https://journals.sagepub.com/doi/abs/10.1177/00081256221094307" TargetMode="External" /><Relationship Type="http://schemas.openxmlformats.org/officeDocument/2006/relationships/hyperlink" Id="rId340" Target="https://journals.sagepub.com/doi/full/10.1177/23743735241253785" TargetMode="External" /><Relationship Type="http://schemas.openxmlformats.org/officeDocument/2006/relationships/hyperlink" Id="rId153" Target="https://legacy.himss.org/news/new-analytics-maturity-adoption-model-pushes-digital-transformation-and-data-driven-decisions" TargetMode="External" /><Relationship Type="http://schemas.openxmlformats.org/officeDocument/2006/relationships/hyperlink" Id="rId214" Target="https://link.springer.com/article/10.1007/s10916-020-01665-9" TargetMode="External" /><Relationship Type="http://schemas.openxmlformats.org/officeDocument/2006/relationships/hyperlink" Id="rId234" Target="https://link.springer.com/article/10.1186/s12911-021-01470-5" TargetMode="External" /><Relationship Type="http://schemas.openxmlformats.org/officeDocument/2006/relationships/hyperlink" Id="rId242" Target="https://link.springer.com/article/10.1186/s12913-017-2697-y" TargetMode="External" /><Relationship Type="http://schemas.openxmlformats.org/officeDocument/2006/relationships/hyperlink" Id="rId147" Target="https://link.springer.com/content/pdf/10.1007/s10462-022-10246-w.pdf" TargetMode="External" /><Relationship Type="http://schemas.openxmlformats.org/officeDocument/2006/relationships/hyperlink" Id="rId371" Target="https://mail.vldb.org/archives/website/2005/program/paper/fri/p1006-yu.pdf" TargetMode="External" /><Relationship Type="http://schemas.openxmlformats.org/officeDocument/2006/relationships/hyperlink" Id="rId330" Target="https://mds.marshall.edu/etd/1824/" TargetMode="External" /><Relationship Type="http://schemas.openxmlformats.org/officeDocument/2006/relationships/hyperlink" Id="rId196" Target="https://medicalbuyer.co.in/2-medical-groups-in-saudi-arabia-achieve-stage-7-digital-maturity/" TargetMode="External" /><Relationship Type="http://schemas.openxmlformats.org/officeDocument/2006/relationships/hyperlink" Id="rId300" Target="https://medinform.jmir.org/2019/3/e13331" TargetMode="External" /><Relationship Type="http://schemas.openxmlformats.org/officeDocument/2006/relationships/hyperlink" Id="rId230" Target="https://medinform.jmir.org/2020/11/e19612/" TargetMode="External" /><Relationship Type="http://schemas.openxmlformats.org/officeDocument/2006/relationships/hyperlink" Id="rId359" Target="https://medinform.jmir.org/2022/2/e32875" TargetMode="External" /><Relationship Type="http://schemas.openxmlformats.org/officeDocument/2006/relationships/hyperlink" Id="rId165" Target="https://newsroom.ibm.com/2022-01-21-Francisco-Partners-to-Acquire-IBMs-Healthcare-Data-and-Analytics-Assets" TargetMode="External" /><Relationship Type="http://schemas.openxmlformats.org/officeDocument/2006/relationships/hyperlink" Id="rId220" Target="https://onlinelibrary.wiley.com/doi/abs/10.1002/smr.2415" TargetMode="External" /><Relationship Type="http://schemas.openxmlformats.org/officeDocument/2006/relationships/hyperlink" Id="rId175" Target="https://onlinelibrary.wiley.com/doi/abs/10.1057/palgrave.emr.1500057" TargetMode="External" /><Relationship Type="http://schemas.openxmlformats.org/officeDocument/2006/relationships/hyperlink" Id="rId200" Target="https://onlinelibrary.wiley.com/doi/abs/10.1111/1467-8551.12332" TargetMode="External" /><Relationship Type="http://schemas.openxmlformats.org/officeDocument/2006/relationships/hyperlink" Id="rId266" Target="https://onlinelibrary.wiley.com/doi/abs/10.1111/j.1540-5885.2010.00798.x" TargetMode="External" /><Relationship Type="http://schemas.openxmlformats.org/officeDocument/2006/relationships/hyperlink" Id="rId171" Target="https://openurl.ebsco.com/EPDB%3Agcd%3A3%3A34056963/detailv2?sid=ebsco%3Aplink%3Ascholar&amp;id=ebsco%3Agcd%3A121526814" TargetMode="External" /><Relationship Type="http://schemas.openxmlformats.org/officeDocument/2006/relationships/hyperlink" Id="rId350"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35" Target="https://papers.ssrn.com/sol3/papers.cfm?abstract_id=5268176" TargetMode="External" /><Relationship Type="http://schemas.openxmlformats.org/officeDocument/2006/relationships/hyperlink" Id="rId260" Target="https://pmc.ncbi.nlm.nih.gov/articles/PMC10243608/" TargetMode="External" /><Relationship Type="http://schemas.openxmlformats.org/officeDocument/2006/relationships/hyperlink" Id="rId246" Target="https://pmc.ncbi.nlm.nih.gov/articles/PMC10802134/" TargetMode="External" /><Relationship Type="http://schemas.openxmlformats.org/officeDocument/2006/relationships/hyperlink" Id="rId248" Target="https://pmc.ncbi.nlm.nih.gov/articles/PMC11919231/" TargetMode="External" /><Relationship Type="http://schemas.openxmlformats.org/officeDocument/2006/relationships/hyperlink" Id="rId258" Target="https://pubmed.ncbi.nlm.nih.gov/20054502/" TargetMode="External" /><Relationship Type="http://schemas.openxmlformats.org/officeDocument/2006/relationships/hyperlink" Id="rId228" Target="https://qualitysafety.bmj.com/content/22/3/219.short" TargetMode="External" /><Relationship Type="http://schemas.openxmlformats.org/officeDocument/2006/relationships/hyperlink" Id="rId129" Target="https://resources.anthropic.com/code-modernization-playbook" TargetMode="External" /><Relationship Type="http://schemas.openxmlformats.org/officeDocument/2006/relationships/hyperlink" Id="rId306" Target="https://sarcouncil.com/2025/06/ai-driven-mainframe-modernization-unlocking-legacy-data-for-cloud-analytics" TargetMode="External" /><Relationship Type="http://schemas.openxmlformats.org/officeDocument/2006/relationships/hyperlink" Id="rId326" Target="https://sarcouncil.com/download-article/SJECS-209-_2025-630-636.pdf" TargetMode="External" /><Relationship Type="http://schemas.openxmlformats.org/officeDocument/2006/relationships/hyperlink" Id="rId206" Target="https://scholarworks.waldenu.edu/cgi/viewcontent.cgi?article=12395&amp;context=dissertations" TargetMode="External" /><Relationship Type="http://schemas.openxmlformats.org/officeDocument/2006/relationships/hyperlink" Id="rId218" Target="https://scholarworks.wmich.edu/ichita_transactions/37/" TargetMode="External" /><Relationship Type="http://schemas.openxmlformats.org/officeDocument/2006/relationships/hyperlink" Id="rId159" Target="https://tei.forrester.com/go/microsoft/powerappstei/?lang=en-us" TargetMode="External" /><Relationship Type="http://schemas.openxmlformats.org/officeDocument/2006/relationships/hyperlink" Id="rId357" Target="https://tools.totaleconomicimpact.com/go/microsoft/powerapps/" TargetMode="External" /><Relationship Type="http://schemas.openxmlformats.org/officeDocument/2006/relationships/hyperlink" Id="rId322" Target="https://wendyju.com/publications/18_ijee3593.pdf" TargetMode="External" /><Relationship Type="http://schemas.openxmlformats.org/officeDocument/2006/relationships/hyperlink" Id="rId318" Target="https://www.academia.edu/download/41283190/Design_and_evaluation_of_systems_to_supp20160117-25708-98zc50.pdf" TargetMode="External" /><Relationship Type="http://schemas.openxmlformats.org/officeDocument/2006/relationships/hyperlink" Id="rId352" Target="https://www.academicradiology.org/article/S1076-6332(21)00140-9/abstract" TargetMode="External" /><Relationship Type="http://schemas.openxmlformats.org/officeDocument/2006/relationships/hyperlink" Id="rId344" Target="https://www.acpjournals.org/doi/10.7326/M19-0871" TargetMode="External" /><Relationship Type="http://schemas.openxmlformats.org/officeDocument/2006/relationships/hyperlink" Id="rId112" Target="https://www.ahima.org/news-publications/press-room-press-releases/2023-press-releases/health-information-workforce-shortages-persist-as-ai-shows-promise-ahima-survey-reveals/" TargetMode="External" /><Relationship Type="http://schemas.openxmlformats.org/officeDocument/2006/relationships/hyperlink" Id="rId133" Target="https://www.allmultidisciplinaryjournal.com/uploads/archives/20250306182550_MGE-2025-2-018.1.pdf" TargetMode="External" /><Relationship Type="http://schemas.openxmlformats.org/officeDocument/2006/relationships/hyperlink" Id="rId252" Target="https://www.annfammed.org/content/17/1/36" TargetMode="External" /><Relationship Type="http://schemas.openxmlformats.org/officeDocument/2006/relationships/hyperlink" Id="rId167" Target="https://www.cnbc.com/2021/01/04/haven-the-amazon-berkshire-jpmorgan-venture-to-disrupt-healthcare-is-disbanding-after-3-years.html" TargetMode="External" /><Relationship Type="http://schemas.openxmlformats.org/officeDocument/2006/relationships/hyperlink" Id="rId262" Target="https://www.diva-portal.org/smash/record.jsf?pid=diva2:1684142" TargetMode="External" /><Relationship Type="http://schemas.openxmlformats.org/officeDocument/2006/relationships/hyperlink" Id="rId181" Target="https://www.emerald.com/insight/content/doi/10.1108/13673270610650067/full/html" TargetMode="External" /><Relationship Type="http://schemas.openxmlformats.org/officeDocument/2006/relationships/hyperlink" Id="rId185" Target="https://www.emerald.com/insight/content/doi/10.1108/JKM-03-2024-0262/full/html" TargetMode="External" /><Relationship Type="http://schemas.openxmlformats.org/officeDocument/2006/relationships/hyperlink" Id="rId302" Target="https://www.frontiersin.org/articles/10.3389/fdata.2024.1371680" TargetMode="External" /><Relationship Type="http://schemas.openxmlformats.org/officeDocument/2006/relationships/hyperlink" Id="rId179" Target="https://www.frontiersin.org/articles/10.3389/fpsyg.2019.02730" TargetMode="External" /><Relationship Type="http://schemas.openxmlformats.org/officeDocument/2006/relationships/hyperlink" Id="rId308" Target="https://www.google.com/books/edition/ADVANCING_SELFSERVICE_BI_The_Rise_of_Aut/np01EQAAQBAJ" TargetMode="External" /><Relationship Type="http://schemas.openxmlformats.org/officeDocument/2006/relationships/hyperlink" Id="rId212" Target="https://www.health.org.uk/publications/understanding-analytical-capability-in-health-care" TargetMode="External" /><Relationship Type="http://schemas.openxmlformats.org/officeDocument/2006/relationships/hyperlink" Id="rId116" Target="https://www.healthcareitnews.com/news/asia/himss24-apac-adoption-model-analytics-maturity-gets-facelift" TargetMode="External" /><Relationship Type="http://schemas.openxmlformats.org/officeDocument/2006/relationships/hyperlink" Id="rId155" Target="https://www.healthcatalyst.com/learn/insights/healthcare-analytics-adoption-model-roadmap-analytic-maturity" TargetMode="External" /><Relationship Type="http://schemas.openxmlformats.org/officeDocument/2006/relationships/hyperlink" Id="rId114" Target="https://www.himss.org/maturity-models/amam/" TargetMode="External" /><Relationship Type="http://schemas.openxmlformats.org/officeDocument/2006/relationships/hyperlink" Id="rId120" Target="https://www.himss.org/resources/the-future-of-workforce/" TargetMode="External" /><Relationship Type="http://schemas.openxmlformats.org/officeDocument/2006/relationships/hyperlink" Id="rId137" Target="https://www.ingentaconnect.com/content/hsp/mih/2024/00000008/00000004/art00006" TargetMode="External" /><Relationship Type="http://schemas.openxmlformats.org/officeDocument/2006/relationships/hyperlink" Id="rId240" Target="https://www.jmir.org/2022/1/e25440/" TargetMode="External" /><Relationship Type="http://schemas.openxmlformats.org/officeDocument/2006/relationships/hyperlink" Id="rId198" Target="https://www.jmir.org/2024/1/e56316" TargetMode="External" /><Relationship Type="http://schemas.openxmlformats.org/officeDocument/2006/relationships/hyperlink" Id="rId320" Target="https://www.mdpi.com/1660-4601/17/12/4267" TargetMode="External" /><Relationship Type="http://schemas.openxmlformats.org/officeDocument/2006/relationships/hyperlink" Id="rId202" Target="https://www.mdpi.com/2227-9032/13/1/1" TargetMode="External" /><Relationship Type="http://schemas.openxmlformats.org/officeDocument/2006/relationships/hyperlink" Id="rId280" Target="https://www.mdpi.com/2504-2289/9/10/256" TargetMode="External" /><Relationship Type="http://schemas.openxmlformats.org/officeDocument/2006/relationships/hyperlink" Id="rId208" Target="https://www.nature.com/articles/s41746-019-0118-9" TargetMode="External" /><Relationship Type="http://schemas.openxmlformats.org/officeDocument/2006/relationships/hyperlink" Id="rId278" Target="https://www.nature.com/articles/s41746-024-01390-4" TargetMode="External" /><Relationship Type="http://schemas.openxmlformats.org/officeDocument/2006/relationships/hyperlink" Id="rId254" Target="https://www.nsinursingsolutions.com/documents/library/nsi_national_health_care_retention_report.pdf" TargetMode="External" /><Relationship Type="http://schemas.openxmlformats.org/officeDocument/2006/relationships/hyperlink" Id="rId126" Target="https://www.nyulawreview.org/issues/volume-94-number-4/data-standardization/" TargetMode="External" /><Relationship Type="http://schemas.openxmlformats.org/officeDocument/2006/relationships/hyperlink" Id="rId161" Target="https://www.oracle.com/human-capital-management/cost-employee-turnover-healthcare/" TargetMode="External" /><Relationship Type="http://schemas.openxmlformats.org/officeDocument/2006/relationships/hyperlink" Id="rId163" Target="https://www.precedenceresearch.com/healthcare-analytics-market" TargetMode="External" /><Relationship Type="http://schemas.openxmlformats.org/officeDocument/2006/relationships/hyperlink" Id="rId194" Target="https://www.prnewswire.com/news-releases/taiwans-first-hospital-to-achieve-amam-stage-7-certification-302390824.html" TargetMode="External" /><Relationship Type="http://schemas.openxmlformats.org/officeDocument/2006/relationships/hyperlink" Id="rId304" Target="https://www.proquest.com/openview/0d955ee8209664a4447c9995a1b9e721/1?pq-origsite=gscholar&amp;cbl=326365" TargetMode="External" /><Relationship Type="http://schemas.openxmlformats.org/officeDocument/2006/relationships/hyperlink" Id="rId369" Target="https://www.quantbeckman.com/api/v1/file/5b240742-bf0d-4f8c-a0f9-cb29fab42611.pdf" TargetMode="External" /><Relationship Type="http://schemas.openxmlformats.org/officeDocument/2006/relationships/hyperlink" Id="rId264" Target="https://www.redjournal.org/article/S0360-3016(16)00260-1/fulltext" TargetMode="External" /><Relationship Type="http://schemas.openxmlformats.org/officeDocument/2006/relationships/hyperlink" Id="rId187" Target="https://www.sciencedirect.com/science/article/abs/pii/S0040162516000500" TargetMode="External" /><Relationship Type="http://schemas.openxmlformats.org/officeDocument/2006/relationships/hyperlink" Id="rId189" Target="https://www.sciencedirect.com/science/article/abs/pii/S0148296316304891" TargetMode="External" /><Relationship Type="http://schemas.openxmlformats.org/officeDocument/2006/relationships/hyperlink" Id="rId222" Target="https://www.sciencedirect.com/science/article/abs/pii/S0268401216305655" TargetMode="External" /><Relationship Type="http://schemas.openxmlformats.org/officeDocument/2006/relationships/hyperlink" Id="rId232" Target="https://www.sciencedirect.com/science/article/abs/pii/S1386505618300443" TargetMode="External" /><Relationship Type="http://schemas.openxmlformats.org/officeDocument/2006/relationships/hyperlink" Id="rId288" Target="https://www.sciencedirect.com/science/article/pii/S0031320324008197" TargetMode="External" /><Relationship Type="http://schemas.openxmlformats.org/officeDocument/2006/relationships/hyperlink" Id="rId346" Target="https://www.sciencedirect.com/science/article/pii/S0168851021002396" TargetMode="External" /><Relationship Type="http://schemas.openxmlformats.org/officeDocument/2006/relationships/hyperlink" Id="rId210" Target="https://www.sciencedirect.com/science/article/pii/S1386505623001405" TargetMode="External" /><Relationship Type="http://schemas.openxmlformats.org/officeDocument/2006/relationships/hyperlink" Id="rId204" Target="https://www.sciencedirect.com/science/article/pii/S1386505624001916" TargetMode="External" /><Relationship Type="http://schemas.openxmlformats.org/officeDocument/2006/relationships/hyperlink" Id="rId298" Target="https://www.sciencedirect.com/science/article/pii/S1532046414001592" TargetMode="External" /><Relationship Type="http://schemas.openxmlformats.org/officeDocument/2006/relationships/hyperlink" Id="rId292" Target="https://www.sciencedirect.com/science/article/pii/S1532046424000650" TargetMode="External" /><Relationship Type="http://schemas.openxmlformats.org/officeDocument/2006/relationships/hyperlink" Id="rId143" Target="https://www.tandfonline.com/doi/full/10.1080/20479700.2018.1531606" TargetMode="External" /><Relationship Type="http://schemas.openxmlformats.org/officeDocument/2006/relationships/hyperlink" Id="rId373"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45" Target="https://www.tdx.cat/bitstream/handle/10803/695722/TGJBR1de1.pdf?sequence=1" TargetMode="External" /><Relationship Type="http://schemas.openxmlformats.org/officeDocument/2006/relationships/hyperlink" Id="rId192"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36" Target="https://academic.oup.com/database/article/doi/10.1093/database/bav121/2630096" TargetMode="External" /><Relationship Type="http://schemas.openxmlformats.org/officeDocument/2006/relationships/hyperlink" Id="rId270" Target="https://academic.oup.com/jamia/article-abstract/26/4/294/5308980" TargetMode="External" /><Relationship Type="http://schemas.openxmlformats.org/officeDocument/2006/relationships/hyperlink" Id="rId226" Target="https://academic.oup.com/jamia/article-abstract/9/6/600/1036696" TargetMode="External" /><Relationship Type="http://schemas.openxmlformats.org/officeDocument/2006/relationships/hyperlink" Id="rId342" Target="https://academic.oup.com/jamia/article/14/6/687/750453" TargetMode="External" /><Relationship Type="http://schemas.openxmlformats.org/officeDocument/2006/relationships/hyperlink" Id="rId250" Target="https://academic.oup.com/jpart/advance-article-abstract/doi/10.1093/jopart/muaf019/8162522" TargetMode="External" /><Relationship Type="http://schemas.openxmlformats.org/officeDocument/2006/relationships/hyperlink" Id="rId122" Target="https://academic.oup.com/jpubhealth" TargetMode="External" /><Relationship Type="http://schemas.openxmlformats.org/officeDocument/2006/relationships/hyperlink" Id="rId276" Target="https://ai.nejm.org/doi/full/10.1056/AIdbp2500144" TargetMode="External" /><Relationship Type="http://schemas.openxmlformats.org/officeDocument/2006/relationships/hyperlink" Id="rId290" Target="https://al-kindipublisher.com/index.php/jcsts/article/view/9694" TargetMode="External" /><Relationship Type="http://schemas.openxmlformats.org/officeDocument/2006/relationships/hyperlink" Id="rId118" Target="https://api.wittkieffer.com/wp-content/uploads/2012/10/cio-insights-the-state-of-healthcare-it-leadership-wittkieffer-october-2024.pdf" TargetMode="External" /><Relationship Type="http://schemas.openxmlformats.org/officeDocument/2006/relationships/hyperlink" Id="rId268" Target="https://arxiv.org/abs/1908.01839" TargetMode="External" /><Relationship Type="http://schemas.openxmlformats.org/officeDocument/2006/relationships/hyperlink" Id="rId282" Target="https://arxiv.org/abs/2301.07695" TargetMode="External" /><Relationship Type="http://schemas.openxmlformats.org/officeDocument/2006/relationships/hyperlink" Id="rId149" Target="https://arxiv.org/abs/2403.09226" TargetMode="External" /><Relationship Type="http://schemas.openxmlformats.org/officeDocument/2006/relationships/hyperlink" Id="rId284" Target="https://arxiv.org/abs/2411.05521" TargetMode="External" /><Relationship Type="http://schemas.openxmlformats.org/officeDocument/2006/relationships/hyperlink" Id="rId274" Target="https://arxiv.org/abs/2505.08775" TargetMode="External" /><Relationship Type="http://schemas.openxmlformats.org/officeDocument/2006/relationships/hyperlink" Id="rId272" Target="https://arxiv.org/abs/2508.08224" TargetMode="External" /><Relationship Type="http://schemas.openxmlformats.org/officeDocument/2006/relationships/hyperlink" Id="rId294" Target="https://arxiv.org/abs/2511.14718" TargetMode="External" /><Relationship Type="http://schemas.openxmlformats.org/officeDocument/2006/relationships/hyperlink" Id="rId286" Target="https://arxiv.org/abs/2511.17559" TargetMode="External" /><Relationship Type="http://schemas.openxmlformats.org/officeDocument/2006/relationships/hyperlink" Id="rId365" Target="https://arxiv.org/pdf/2311.02082" TargetMode="External" /><Relationship Type="http://schemas.openxmlformats.org/officeDocument/2006/relationships/hyperlink" Id="rId324" Target="https://bioinform.jmir.org/2025/1/e63139" TargetMode="External" /><Relationship Type="http://schemas.openxmlformats.org/officeDocument/2006/relationships/hyperlink" Id="rId367" Target="https://books.google.com/books?id=9uqiEAAAQBAJ" TargetMode="External" /><Relationship Type="http://schemas.openxmlformats.org/officeDocument/2006/relationships/hyperlink" Id="rId124" Target="https://dl.acm.org/doi/10.1145/1017114.1017118" TargetMode="External" /><Relationship Type="http://schemas.openxmlformats.org/officeDocument/2006/relationships/hyperlink" Id="rId131" Target="https://dl.acm.org/doi/abs/10.1145/320251.320253" TargetMode="External" /><Relationship Type="http://schemas.openxmlformats.org/officeDocument/2006/relationships/hyperlink" Id="rId296" Target="https://dl.acm.org/doi/abs/10.1145/3318464.3389777" TargetMode="External" /><Relationship Type="http://schemas.openxmlformats.org/officeDocument/2006/relationships/hyperlink" Id="rId316" Target="https://dl.acm.org/doi/abs/10.1145/3335082.3335094" TargetMode="External" /><Relationship Type="http://schemas.openxmlformats.org/officeDocument/2006/relationships/hyperlink" Id="rId381" Target="https://doi.org/10.1007/s10257-020-00472-y" TargetMode="External" /><Relationship Type="http://schemas.openxmlformats.org/officeDocument/2006/relationships/hyperlink" Id="rId183" Target="https://doi.org/10.1016/j.ijinfomgt.2003.12.012" TargetMode="External" /><Relationship Type="http://schemas.openxmlformats.org/officeDocument/2006/relationships/hyperlink" Id="rId216" Target="https://doi.org/10.1016/j.ijinfomgt.2018.07.001" TargetMode="External" /><Relationship Type="http://schemas.openxmlformats.org/officeDocument/2006/relationships/hyperlink" Id="rId363" Target="https://doi.org/10.1016/j.ijmedinf.2006.05.008" TargetMode="External" /><Relationship Type="http://schemas.openxmlformats.org/officeDocument/2006/relationships/hyperlink" Id="rId177" Target="https://doi.org/10.1108/JKM-08-2016-0338" TargetMode="External" /><Relationship Type="http://schemas.openxmlformats.org/officeDocument/2006/relationships/hyperlink" Id="rId310" Target="https://doi.org/10.1145/3670653.3670660" TargetMode="External" /><Relationship Type="http://schemas.openxmlformats.org/officeDocument/2006/relationships/hyperlink" Id="rId173" Target="https://doi.org/10.1177/0165551506070706" TargetMode="External" /><Relationship Type="http://schemas.openxmlformats.org/officeDocument/2006/relationships/hyperlink" Id="rId169" Target="https://doi.org/10.1201/9781003188162" TargetMode="External" /><Relationship Type="http://schemas.openxmlformats.org/officeDocument/2006/relationships/hyperlink" Id="rId379" Target="https://doi.org/10.1287/inte.17.3.25" TargetMode="External" /><Relationship Type="http://schemas.openxmlformats.org/officeDocument/2006/relationships/hyperlink" Id="rId312" Target="https://doi.org/10.17705/1jais.00801" TargetMode="External" /><Relationship Type="http://schemas.openxmlformats.org/officeDocument/2006/relationships/hyperlink" Id="rId377" Target="https://doi.org/10.2308/isys-51517" TargetMode="External" /><Relationship Type="http://schemas.openxmlformats.org/officeDocument/2006/relationships/hyperlink" Id="rId139" Target="https://doi.org/10.25163/business.1110345" TargetMode="External" /><Relationship Type="http://schemas.openxmlformats.org/officeDocument/2006/relationships/hyperlink" Id="rId375" Target="https://doi.org/10.63282/3050-9262.IJAIDSML-V6I4P130" TargetMode="External" /><Relationship Type="http://schemas.openxmlformats.org/officeDocument/2006/relationships/hyperlink" Id="rId151" Target="https://dspace.flinders.edu.au/jspui/bitstream/2328/3326/4/AACODS_Checklist.pdf" TargetMode="External" /><Relationship Type="http://schemas.openxmlformats.org/officeDocument/2006/relationships/hyperlink" Id="rId244" Target="https://ebooks.iospress.nl/volumearticle/35106" TargetMode="External" /><Relationship Type="http://schemas.openxmlformats.org/officeDocument/2006/relationships/hyperlink" Id="rId332" Target="https://gisrrj.com/paper/GISRRJ236426.pdf" TargetMode="External" /><Relationship Type="http://schemas.openxmlformats.org/officeDocument/2006/relationships/hyperlink" Id="rId256" Target="https://human-resources-health.biomedcentral.com/articles/10.1186/1478-4491-11-35" TargetMode="External" /><Relationship Type="http://schemas.openxmlformats.org/officeDocument/2006/relationships/hyperlink" Id="rId157" Target="https://ia.berkshirehealthcare.nhs.uk/citizen-developer-programme" TargetMode="External" /><Relationship Type="http://schemas.openxmlformats.org/officeDocument/2006/relationships/hyperlink" Id="rId336" Target="https://ieeexplore.ieee.org/abstract/document/10373712/" TargetMode="External" /><Relationship Type="http://schemas.openxmlformats.org/officeDocument/2006/relationships/hyperlink" Id="rId238" Target="https://ieeexplore.ieee.org/abstract/document/8104211" TargetMode="External" /><Relationship Type="http://schemas.openxmlformats.org/officeDocument/2006/relationships/hyperlink" Id="rId348" Target="https://ieeexplore.ieee.org/abstract/document/8678513/" TargetMode="External" /><Relationship Type="http://schemas.openxmlformats.org/officeDocument/2006/relationships/hyperlink" Id="rId314" Target="https://ieeexplore.ieee.org/abstract/document/9303381" TargetMode="External" /><Relationship Type="http://schemas.openxmlformats.org/officeDocument/2006/relationships/hyperlink" Id="rId328" Target="https://ieeexplore.ieee.org/document/10186753" TargetMode="External" /><Relationship Type="http://schemas.openxmlformats.org/officeDocument/2006/relationships/hyperlink" Id="rId334" Target="https://ieeexplore.ieee.org/document/10297311" TargetMode="External" /><Relationship Type="http://schemas.openxmlformats.org/officeDocument/2006/relationships/hyperlink" Id="rId338" Target="https://imjstb.com/index.php/Journal/article/view/95" TargetMode="External" /><Relationship Type="http://schemas.openxmlformats.org/officeDocument/2006/relationships/hyperlink" Id="rId224" Target="https://jamanetwork.com/journals/jamanetworkopen/fullarticle/2777777" TargetMode="External" /><Relationship Type="http://schemas.openxmlformats.org/officeDocument/2006/relationships/hyperlink" Id="rId141" Target="https://journalofbigdata.springeropen.com/articles/10.1186/s40537-019-0170-y" TargetMode="External" /><Relationship Type="http://schemas.openxmlformats.org/officeDocument/2006/relationships/hyperlink" Id="rId354" Target="https://journals.sagepub.com/doi/abs/10.1177/00081256221094307" TargetMode="External" /><Relationship Type="http://schemas.openxmlformats.org/officeDocument/2006/relationships/hyperlink" Id="rId340" Target="https://journals.sagepub.com/doi/full/10.1177/23743735241253785" TargetMode="External" /><Relationship Type="http://schemas.openxmlformats.org/officeDocument/2006/relationships/hyperlink" Id="rId153" Target="https://legacy.himss.org/news/new-analytics-maturity-adoption-model-pushes-digital-transformation-and-data-driven-decisions" TargetMode="External" /><Relationship Type="http://schemas.openxmlformats.org/officeDocument/2006/relationships/hyperlink" Id="rId214" Target="https://link.springer.com/article/10.1007/s10916-020-01665-9" TargetMode="External" /><Relationship Type="http://schemas.openxmlformats.org/officeDocument/2006/relationships/hyperlink" Id="rId234" Target="https://link.springer.com/article/10.1186/s12911-021-01470-5" TargetMode="External" /><Relationship Type="http://schemas.openxmlformats.org/officeDocument/2006/relationships/hyperlink" Id="rId242" Target="https://link.springer.com/article/10.1186/s12913-017-2697-y" TargetMode="External" /><Relationship Type="http://schemas.openxmlformats.org/officeDocument/2006/relationships/hyperlink" Id="rId147" Target="https://link.springer.com/content/pdf/10.1007/s10462-022-10246-w.pdf" TargetMode="External" /><Relationship Type="http://schemas.openxmlformats.org/officeDocument/2006/relationships/hyperlink" Id="rId371" Target="https://mail.vldb.org/archives/website/2005/program/paper/fri/p1006-yu.pdf" TargetMode="External" /><Relationship Type="http://schemas.openxmlformats.org/officeDocument/2006/relationships/hyperlink" Id="rId330" Target="https://mds.marshall.edu/etd/1824/" TargetMode="External" /><Relationship Type="http://schemas.openxmlformats.org/officeDocument/2006/relationships/hyperlink" Id="rId196" Target="https://medicalbuyer.co.in/2-medical-groups-in-saudi-arabia-achieve-stage-7-digital-maturity/" TargetMode="External" /><Relationship Type="http://schemas.openxmlformats.org/officeDocument/2006/relationships/hyperlink" Id="rId300" Target="https://medinform.jmir.org/2019/3/e13331" TargetMode="External" /><Relationship Type="http://schemas.openxmlformats.org/officeDocument/2006/relationships/hyperlink" Id="rId230" Target="https://medinform.jmir.org/2020/11/e19612/" TargetMode="External" /><Relationship Type="http://schemas.openxmlformats.org/officeDocument/2006/relationships/hyperlink" Id="rId359" Target="https://medinform.jmir.org/2022/2/e32875" TargetMode="External" /><Relationship Type="http://schemas.openxmlformats.org/officeDocument/2006/relationships/hyperlink" Id="rId165" Target="https://newsroom.ibm.com/2022-01-21-Francisco-Partners-to-Acquire-IBMs-Healthcare-Data-and-Analytics-Assets" TargetMode="External" /><Relationship Type="http://schemas.openxmlformats.org/officeDocument/2006/relationships/hyperlink" Id="rId220" Target="https://onlinelibrary.wiley.com/doi/abs/10.1002/smr.2415" TargetMode="External" /><Relationship Type="http://schemas.openxmlformats.org/officeDocument/2006/relationships/hyperlink" Id="rId175" Target="https://onlinelibrary.wiley.com/doi/abs/10.1057/palgrave.emr.1500057" TargetMode="External" /><Relationship Type="http://schemas.openxmlformats.org/officeDocument/2006/relationships/hyperlink" Id="rId200" Target="https://onlinelibrary.wiley.com/doi/abs/10.1111/1467-8551.12332" TargetMode="External" /><Relationship Type="http://schemas.openxmlformats.org/officeDocument/2006/relationships/hyperlink" Id="rId266" Target="https://onlinelibrary.wiley.com/doi/abs/10.1111/j.1540-5885.2010.00798.x" TargetMode="External" /><Relationship Type="http://schemas.openxmlformats.org/officeDocument/2006/relationships/hyperlink" Id="rId171" Target="https://openurl.ebsco.com/EPDB%3Agcd%3A3%3A34056963/detailv2?sid=ebsco%3Aplink%3Ascholar&amp;id=ebsco%3Agcd%3A121526814" TargetMode="External" /><Relationship Type="http://schemas.openxmlformats.org/officeDocument/2006/relationships/hyperlink" Id="rId350"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35" Target="https://papers.ssrn.com/sol3/papers.cfm?abstract_id=5268176" TargetMode="External" /><Relationship Type="http://schemas.openxmlformats.org/officeDocument/2006/relationships/hyperlink" Id="rId260" Target="https://pmc.ncbi.nlm.nih.gov/articles/PMC10243608/" TargetMode="External" /><Relationship Type="http://schemas.openxmlformats.org/officeDocument/2006/relationships/hyperlink" Id="rId246" Target="https://pmc.ncbi.nlm.nih.gov/articles/PMC10802134/" TargetMode="External" /><Relationship Type="http://schemas.openxmlformats.org/officeDocument/2006/relationships/hyperlink" Id="rId248" Target="https://pmc.ncbi.nlm.nih.gov/articles/PMC11919231/" TargetMode="External" /><Relationship Type="http://schemas.openxmlformats.org/officeDocument/2006/relationships/hyperlink" Id="rId258" Target="https://pubmed.ncbi.nlm.nih.gov/20054502/" TargetMode="External" /><Relationship Type="http://schemas.openxmlformats.org/officeDocument/2006/relationships/hyperlink" Id="rId228" Target="https://qualitysafety.bmj.com/content/22/3/219.short" TargetMode="External" /><Relationship Type="http://schemas.openxmlformats.org/officeDocument/2006/relationships/hyperlink" Id="rId129" Target="https://resources.anthropic.com/code-modernization-playbook" TargetMode="External" /><Relationship Type="http://schemas.openxmlformats.org/officeDocument/2006/relationships/hyperlink" Id="rId306" Target="https://sarcouncil.com/2025/06/ai-driven-mainframe-modernization-unlocking-legacy-data-for-cloud-analytics" TargetMode="External" /><Relationship Type="http://schemas.openxmlformats.org/officeDocument/2006/relationships/hyperlink" Id="rId326" Target="https://sarcouncil.com/download-article/SJECS-209-_2025-630-636.pdf" TargetMode="External" /><Relationship Type="http://schemas.openxmlformats.org/officeDocument/2006/relationships/hyperlink" Id="rId206" Target="https://scholarworks.waldenu.edu/cgi/viewcontent.cgi?article=12395&amp;context=dissertations" TargetMode="External" /><Relationship Type="http://schemas.openxmlformats.org/officeDocument/2006/relationships/hyperlink" Id="rId218" Target="https://scholarworks.wmich.edu/ichita_transactions/37/" TargetMode="External" /><Relationship Type="http://schemas.openxmlformats.org/officeDocument/2006/relationships/hyperlink" Id="rId159" Target="https://tei.forrester.com/go/microsoft/powerappstei/?lang=en-us" TargetMode="External" /><Relationship Type="http://schemas.openxmlformats.org/officeDocument/2006/relationships/hyperlink" Id="rId357" Target="https://tools.totaleconomicimpact.com/go/microsoft/powerapps/" TargetMode="External" /><Relationship Type="http://schemas.openxmlformats.org/officeDocument/2006/relationships/hyperlink" Id="rId322" Target="https://wendyju.com/publications/18_ijee3593.pdf" TargetMode="External" /><Relationship Type="http://schemas.openxmlformats.org/officeDocument/2006/relationships/hyperlink" Id="rId318" Target="https://www.academia.edu/download/41283190/Design_and_evaluation_of_systems_to_supp20160117-25708-98zc50.pdf" TargetMode="External" /><Relationship Type="http://schemas.openxmlformats.org/officeDocument/2006/relationships/hyperlink" Id="rId352" Target="https://www.academicradiology.org/article/S1076-6332(21)00140-9/abstract" TargetMode="External" /><Relationship Type="http://schemas.openxmlformats.org/officeDocument/2006/relationships/hyperlink" Id="rId344" Target="https://www.acpjournals.org/doi/10.7326/M19-0871" TargetMode="External" /><Relationship Type="http://schemas.openxmlformats.org/officeDocument/2006/relationships/hyperlink" Id="rId112" Target="https://www.ahima.org/news-publications/press-room-press-releases/2023-press-releases/health-information-workforce-shortages-persist-as-ai-shows-promise-ahima-survey-reveals/" TargetMode="External" /><Relationship Type="http://schemas.openxmlformats.org/officeDocument/2006/relationships/hyperlink" Id="rId133" Target="https://www.allmultidisciplinaryjournal.com/uploads/archives/20250306182550_MGE-2025-2-018.1.pdf" TargetMode="External" /><Relationship Type="http://schemas.openxmlformats.org/officeDocument/2006/relationships/hyperlink" Id="rId252" Target="https://www.annfammed.org/content/17/1/36" TargetMode="External" /><Relationship Type="http://schemas.openxmlformats.org/officeDocument/2006/relationships/hyperlink" Id="rId167" Target="https://www.cnbc.com/2021/01/04/haven-the-amazon-berkshire-jpmorgan-venture-to-disrupt-healthcare-is-disbanding-after-3-years.html" TargetMode="External" /><Relationship Type="http://schemas.openxmlformats.org/officeDocument/2006/relationships/hyperlink" Id="rId262" Target="https://www.diva-portal.org/smash/record.jsf?pid=diva2:1684142" TargetMode="External" /><Relationship Type="http://schemas.openxmlformats.org/officeDocument/2006/relationships/hyperlink" Id="rId181" Target="https://www.emerald.com/insight/content/doi/10.1108/13673270610650067/full/html" TargetMode="External" /><Relationship Type="http://schemas.openxmlformats.org/officeDocument/2006/relationships/hyperlink" Id="rId185" Target="https://www.emerald.com/insight/content/doi/10.1108/JKM-03-2024-0262/full/html" TargetMode="External" /><Relationship Type="http://schemas.openxmlformats.org/officeDocument/2006/relationships/hyperlink" Id="rId302" Target="https://www.frontiersin.org/articles/10.3389/fdata.2024.1371680" TargetMode="External" /><Relationship Type="http://schemas.openxmlformats.org/officeDocument/2006/relationships/hyperlink" Id="rId179" Target="https://www.frontiersin.org/articles/10.3389/fpsyg.2019.02730" TargetMode="External" /><Relationship Type="http://schemas.openxmlformats.org/officeDocument/2006/relationships/hyperlink" Id="rId308" Target="https://www.google.com/books/edition/ADVANCING_SELFSERVICE_BI_The_Rise_of_Aut/np01EQAAQBAJ" TargetMode="External" /><Relationship Type="http://schemas.openxmlformats.org/officeDocument/2006/relationships/hyperlink" Id="rId212" Target="https://www.health.org.uk/publications/understanding-analytical-capability-in-health-care" TargetMode="External" /><Relationship Type="http://schemas.openxmlformats.org/officeDocument/2006/relationships/hyperlink" Id="rId116" Target="https://www.healthcareitnews.com/news/asia/himss24-apac-adoption-model-analytics-maturity-gets-facelift" TargetMode="External" /><Relationship Type="http://schemas.openxmlformats.org/officeDocument/2006/relationships/hyperlink" Id="rId155" Target="https://www.healthcatalyst.com/learn/insights/healthcare-analytics-adoption-model-roadmap-analytic-maturity" TargetMode="External" /><Relationship Type="http://schemas.openxmlformats.org/officeDocument/2006/relationships/hyperlink" Id="rId114" Target="https://www.himss.org/maturity-models/amam/" TargetMode="External" /><Relationship Type="http://schemas.openxmlformats.org/officeDocument/2006/relationships/hyperlink" Id="rId120" Target="https://www.himss.org/resources/the-future-of-workforce/" TargetMode="External" /><Relationship Type="http://schemas.openxmlformats.org/officeDocument/2006/relationships/hyperlink" Id="rId137" Target="https://www.ingentaconnect.com/content/hsp/mih/2024/00000008/00000004/art00006" TargetMode="External" /><Relationship Type="http://schemas.openxmlformats.org/officeDocument/2006/relationships/hyperlink" Id="rId240" Target="https://www.jmir.org/2022/1/e25440/" TargetMode="External" /><Relationship Type="http://schemas.openxmlformats.org/officeDocument/2006/relationships/hyperlink" Id="rId198" Target="https://www.jmir.org/2024/1/e56316" TargetMode="External" /><Relationship Type="http://schemas.openxmlformats.org/officeDocument/2006/relationships/hyperlink" Id="rId320" Target="https://www.mdpi.com/1660-4601/17/12/4267" TargetMode="External" /><Relationship Type="http://schemas.openxmlformats.org/officeDocument/2006/relationships/hyperlink" Id="rId202" Target="https://www.mdpi.com/2227-9032/13/1/1" TargetMode="External" /><Relationship Type="http://schemas.openxmlformats.org/officeDocument/2006/relationships/hyperlink" Id="rId280" Target="https://www.mdpi.com/2504-2289/9/10/256" TargetMode="External" /><Relationship Type="http://schemas.openxmlformats.org/officeDocument/2006/relationships/hyperlink" Id="rId208" Target="https://www.nature.com/articles/s41746-019-0118-9" TargetMode="External" /><Relationship Type="http://schemas.openxmlformats.org/officeDocument/2006/relationships/hyperlink" Id="rId278" Target="https://www.nature.com/articles/s41746-024-01390-4" TargetMode="External" /><Relationship Type="http://schemas.openxmlformats.org/officeDocument/2006/relationships/hyperlink" Id="rId254" Target="https://www.nsinursingsolutions.com/documents/library/nsi_national_health_care_retention_report.pdf" TargetMode="External" /><Relationship Type="http://schemas.openxmlformats.org/officeDocument/2006/relationships/hyperlink" Id="rId126" Target="https://www.nyulawreview.org/issues/volume-94-number-4/data-standardization/" TargetMode="External" /><Relationship Type="http://schemas.openxmlformats.org/officeDocument/2006/relationships/hyperlink" Id="rId161" Target="https://www.oracle.com/human-capital-management/cost-employee-turnover-healthcare/" TargetMode="External" /><Relationship Type="http://schemas.openxmlformats.org/officeDocument/2006/relationships/hyperlink" Id="rId163" Target="https://www.precedenceresearch.com/healthcare-analytics-market" TargetMode="External" /><Relationship Type="http://schemas.openxmlformats.org/officeDocument/2006/relationships/hyperlink" Id="rId194" Target="https://www.prnewswire.com/news-releases/taiwans-first-hospital-to-achieve-amam-stage-7-certification-302390824.html" TargetMode="External" /><Relationship Type="http://schemas.openxmlformats.org/officeDocument/2006/relationships/hyperlink" Id="rId304" Target="https://www.proquest.com/openview/0d955ee8209664a4447c9995a1b9e721/1?pq-origsite=gscholar&amp;cbl=326365" TargetMode="External" /><Relationship Type="http://schemas.openxmlformats.org/officeDocument/2006/relationships/hyperlink" Id="rId369" Target="https://www.quantbeckman.com/api/v1/file/5b240742-bf0d-4f8c-a0f9-cb29fab42611.pdf" TargetMode="External" /><Relationship Type="http://schemas.openxmlformats.org/officeDocument/2006/relationships/hyperlink" Id="rId264" Target="https://www.redjournal.org/article/S0360-3016(16)00260-1/fulltext" TargetMode="External" /><Relationship Type="http://schemas.openxmlformats.org/officeDocument/2006/relationships/hyperlink" Id="rId187" Target="https://www.sciencedirect.com/science/article/abs/pii/S0040162516000500" TargetMode="External" /><Relationship Type="http://schemas.openxmlformats.org/officeDocument/2006/relationships/hyperlink" Id="rId189" Target="https://www.sciencedirect.com/science/article/abs/pii/S0148296316304891" TargetMode="External" /><Relationship Type="http://schemas.openxmlformats.org/officeDocument/2006/relationships/hyperlink" Id="rId222" Target="https://www.sciencedirect.com/science/article/abs/pii/S0268401216305655" TargetMode="External" /><Relationship Type="http://schemas.openxmlformats.org/officeDocument/2006/relationships/hyperlink" Id="rId232" Target="https://www.sciencedirect.com/science/article/abs/pii/S1386505618300443" TargetMode="External" /><Relationship Type="http://schemas.openxmlformats.org/officeDocument/2006/relationships/hyperlink" Id="rId288" Target="https://www.sciencedirect.com/science/article/pii/S0031320324008197" TargetMode="External" /><Relationship Type="http://schemas.openxmlformats.org/officeDocument/2006/relationships/hyperlink" Id="rId346" Target="https://www.sciencedirect.com/science/article/pii/S0168851021002396" TargetMode="External" /><Relationship Type="http://schemas.openxmlformats.org/officeDocument/2006/relationships/hyperlink" Id="rId210" Target="https://www.sciencedirect.com/science/article/pii/S1386505623001405" TargetMode="External" /><Relationship Type="http://schemas.openxmlformats.org/officeDocument/2006/relationships/hyperlink" Id="rId204" Target="https://www.sciencedirect.com/science/article/pii/S1386505624001916" TargetMode="External" /><Relationship Type="http://schemas.openxmlformats.org/officeDocument/2006/relationships/hyperlink" Id="rId298" Target="https://www.sciencedirect.com/science/article/pii/S1532046414001592" TargetMode="External" /><Relationship Type="http://schemas.openxmlformats.org/officeDocument/2006/relationships/hyperlink" Id="rId292" Target="https://www.sciencedirect.com/science/article/pii/S1532046424000650" TargetMode="External" /><Relationship Type="http://schemas.openxmlformats.org/officeDocument/2006/relationships/hyperlink" Id="rId143" Target="https://www.tandfonline.com/doi/full/10.1080/20479700.2018.1531606" TargetMode="External" /><Relationship Type="http://schemas.openxmlformats.org/officeDocument/2006/relationships/hyperlink" Id="rId373"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45" Target="https://www.tdx.cat/bitstream/handle/10803/695722/TGJBR1de1.pdf?sequence=1" TargetMode="External" /><Relationship Type="http://schemas.openxmlformats.org/officeDocument/2006/relationships/hyperlink" Id="rId192"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2026-01-15T17:53:40Z</dcterms:created>
  <dcterms:modified xsi:type="dcterms:W3CDTF">2026-01-15T17:53:40Z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/Users/stharrold/Documents/GitHub/yuimedi-paper-20250901/references.bib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/Users/stharrold/Documents/GitHub/yuimedi-paper-20250901/citation-style.csl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papersize">
    <vt:lpwstr>letter</vt:lpwstr>
  </property>
  <property fmtid="{D5CDD505-2E9C-101B-9397-08002B2CF9AE}" pid="30" name="prevent-widows">
    <vt:lpwstr>True</vt:lpwstr>
  </property>
  <property fmtid="{D5CDD505-2E9C-101B-9397-08002B2CF9AE}" pid="31" name="suppress-bibliography">
    <vt:lpwstr>False</vt:lpwstr>
  </property>
  <property fmtid="{D5CDD505-2E9C-101B-9397-08002B2CF9AE}" pid="32" name="titlepage">
    <vt:lpwstr>True</vt:lpwstr>
  </property>
  <property fmtid="{D5CDD505-2E9C-101B-9397-08002B2CF9AE}" pid="33" name="titlepage-color">
    <vt:lpwstr>FFFFFF</vt:lpwstr>
  </property>
  <property fmtid="{D5CDD505-2E9C-101B-9397-08002B2CF9AE}" pid="34" name="titlepage-rule-color">
    <vt:lpwstr>000000</vt:lpwstr>
  </property>
  <property fmtid="{D5CDD505-2E9C-101B-9397-08002B2CF9AE}" pid="35" name="titlepage-rule-height">
    <vt:lpwstr>2</vt:lpwstr>
  </property>
  <property fmtid="{D5CDD505-2E9C-101B-9397-08002B2CF9AE}" pid="36" name="titlepage-text-color">
    <vt:lpwstr>000000</vt:lpwstr>
  </property>
  <property fmtid="{D5CDD505-2E9C-101B-9397-08002B2CF9AE}" pid="37" name="toc">
    <vt:lpwstr>True</vt:lpwstr>
  </property>
  <property fmtid="{D5CDD505-2E9C-101B-9397-08002B2CF9AE}" pid="38" name="toc-depth">
    <vt:lpwstr>3</vt:lpwstr>
  </property>
  <property fmtid="{D5CDD505-2E9C-101B-9397-08002B2CF9AE}" pid="39" name="urlcolor">
    <vt:lpwstr>blue</vt:lpwstr>
  </property>
  <property fmtid="{D5CDD505-2E9C-101B-9397-08002B2CF9AE}" pid="40" name="version">
    <vt:lpwstr>1.24.0</vt:lpwstr>
  </property>
</Properties>
</file>