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khan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allowing the domain expert to validate the query’s intent and results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10"/>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10"/>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10"/>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In addition to broad keyword searches, targeted queries were employed to address specific evidence gaps identified during the synthesis process (e.g., specific turnover statistics for healthcare IT roles).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1"/>
        </w:numPr>
      </w:pPr>
      <w:r>
        <w:t xml:space="preserve">Peer-reviewed publications in healthcare informatics, medical informatics, computer science, or health services research</w:t>
      </w:r>
    </w:p>
    <w:p>
      <w:pPr>
        <w:pStyle w:val="Compact"/>
        <w:numPr>
          <w:ilvl w:val="0"/>
          <w:numId w:val="1011"/>
        </w:numPr>
      </w:pPr>
      <w:r>
        <w:t xml:space="preserve">Industry reports from established healthcare IT organizations (HIMSS, AHIMA, AMIA)</w:t>
      </w:r>
    </w:p>
    <w:p>
      <w:pPr>
        <w:pStyle w:val="Compact"/>
        <w:numPr>
          <w:ilvl w:val="0"/>
          <w:numId w:val="1011"/>
        </w:numPr>
      </w:pPr>
      <w:r>
        <w:t xml:space="preserve">Publications from 2015-current, with emphasis on 2020-current for rapidly evolving NL2SQL technologies</w:t>
      </w:r>
    </w:p>
    <w:p>
      <w:pPr>
        <w:pStyle w:val="Compact"/>
        <w:numPr>
          <w:ilvl w:val="0"/>
          <w:numId w:val="1011"/>
        </w:numPr>
      </w:pPr>
      <w:r>
        <w:t xml:space="preserve">English language publications</w:t>
      </w:r>
    </w:p>
    <w:p>
      <w:pPr>
        <w:pStyle w:val="Compact"/>
        <w:numPr>
          <w:ilvl w:val="0"/>
          <w:numId w:val="1011"/>
        </w:numPr>
      </w:pPr>
      <w:r>
        <w:t xml:space="preserve">Sources with verifiable DOIs, URLs, or institutional attribution</w:t>
      </w:r>
    </w:p>
    <w:p>
      <w:pPr>
        <w:pStyle w:val="FirstParagraph"/>
      </w:pPr>
      <w:r>
        <w:rPr>
          <w:b/>
          <w:bCs/>
        </w:rPr>
        <w:t xml:space="preserve">Exclusion Criteria:</w:t>
      </w:r>
    </w:p>
    <w:p>
      <w:pPr>
        <w:pStyle w:val="Compact"/>
        <w:numPr>
          <w:ilvl w:val="0"/>
          <w:numId w:val="1012"/>
        </w:numPr>
      </w:pPr>
      <w:r>
        <w:t xml:space="preserve">Sources without verifiable attribution or institutional backing</w:t>
      </w:r>
    </w:p>
    <w:p>
      <w:pPr>
        <w:pStyle w:val="Compact"/>
        <w:numPr>
          <w:ilvl w:val="0"/>
          <w:numId w:val="1012"/>
        </w:numPr>
      </w:pPr>
      <w:r>
        <w:t xml:space="preserve">Vendor marketing materials without independent validation</w:t>
      </w:r>
    </w:p>
    <w:p>
      <w:pPr>
        <w:pStyle w:val="Compact"/>
        <w:numPr>
          <w:ilvl w:val="0"/>
          <w:numId w:val="1012"/>
        </w:numPr>
      </w:pPr>
      <w:r>
        <w:t xml:space="preserve">Preprints without subsequent peer-reviewed publication (exception: foundational NL2SQL benchmarks where peer review is pending)</w:t>
      </w:r>
    </w:p>
    <w:p>
      <w:pPr>
        <w:pStyle w:val="Compact"/>
        <w:numPr>
          <w:ilvl w:val="0"/>
          <w:numId w:val="1012"/>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Evidence was synthesized thematically around the three-pillar framework:</w:t>
      </w:r>
    </w:p>
    <w:p>
      <w:pPr>
        <w:pStyle w:val="Compact"/>
        <w:numPr>
          <w:ilvl w:val="0"/>
          <w:numId w:val="1013"/>
        </w:numPr>
      </w:pPr>
      <w:r>
        <w:rPr>
          <w:b/>
          <w:bCs/>
        </w:rPr>
        <w:t xml:space="preserve">Analytics maturity</w:t>
      </w:r>
      <w:r>
        <w:t xml:space="preserve">: Evidence on HIMSS AMAM adoption, healthcare analytics capabilities, and organizational readiness</w:t>
      </w:r>
    </w:p>
    <w:p>
      <w:pPr>
        <w:pStyle w:val="Compact"/>
        <w:numPr>
          <w:ilvl w:val="0"/>
          <w:numId w:val="1013"/>
        </w:numPr>
      </w:pPr>
      <w:r>
        <w:rPr>
          <w:b/>
          <w:bCs/>
        </w:rPr>
        <w:t xml:space="preserve">Workforce turnover</w:t>
      </w:r>
      <w:r>
        <w:t xml:space="preserve">: Evidence on nursing and IT staff turnover rates, institutional memory loss, and knowledge transfer challenges</w:t>
      </w:r>
    </w:p>
    <w:p>
      <w:pPr>
        <w:pStyle w:val="Compact"/>
        <w:numPr>
          <w:ilvl w:val="0"/>
          <w:numId w:val="1013"/>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4"/>
        </w:numPr>
      </w:pPr>
      <w:r>
        <w:rPr>
          <w:b/>
          <w:bCs/>
        </w:rPr>
        <w:t xml:space="preserve">Non-exhaustive search</w:t>
      </w:r>
      <w:r>
        <w:t xml:space="preserve">: Literature identification was selective rather than exhaustive; relevant studies may have been missed</w:t>
      </w:r>
    </w:p>
    <w:p>
      <w:pPr>
        <w:pStyle w:val="Compact"/>
        <w:numPr>
          <w:ilvl w:val="0"/>
          <w:numId w:val="1014"/>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4"/>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4"/>
        </w:numPr>
      </w:pPr>
      <w:r>
        <w:rPr>
          <w:b/>
          <w:bCs/>
        </w:rPr>
        <w:t xml:space="preserve">Post-hoc selection criteria</w:t>
      </w:r>
      <w:r>
        <w:t xml:space="preserve">: Inclusion and exclusion criteria were refined during the review process rather than pre-registered</w:t>
      </w:r>
    </w:p>
    <w:p>
      <w:pPr>
        <w:pStyle w:val="Compact"/>
        <w:numPr>
          <w:ilvl w:val="0"/>
          <w:numId w:val="1014"/>
        </w:numPr>
      </w:pPr>
      <w:r>
        <w:rPr>
          <w:b/>
          <w:bCs/>
        </w:rPr>
        <w:t xml:space="preserve">No protocol registration</w:t>
      </w:r>
      <w:r>
        <w:t xml:space="preserve">: This review was not registered in PROSPERO or similar registries</w:t>
      </w:r>
    </w:p>
    <w:p>
      <w:pPr>
        <w:pStyle w:val="Compact"/>
        <w:numPr>
          <w:ilvl w:val="0"/>
          <w:numId w:val="1014"/>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5"/>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5"/>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5"/>
        </w:numPr>
      </w:pPr>
      <w:r>
        <w:rPr>
          <w:b/>
          <w:bCs/>
        </w:rPr>
        <w:t xml:space="preserve">Pillar Identification</w:t>
      </w:r>
      <w:r>
        <w:t xml:space="preserve">: Three orthogonal yet interconnected dimensions emerged as the organizing structure:</w:t>
      </w:r>
    </w:p>
    <w:p>
      <w:pPr>
        <w:pStyle w:val="Compact"/>
        <w:numPr>
          <w:ilvl w:val="1"/>
          <w:numId w:val="1016"/>
        </w:numPr>
      </w:pPr>
      <w:r>
        <w:rPr>
          <w:b/>
          <w:bCs/>
        </w:rPr>
        <w:t xml:space="preserve">Analytics Maturity</w:t>
      </w:r>
      <w:r>
        <w:t xml:space="preserve">: Organizational capability progression measured against HIMSS AMAM stages</w:t>
      </w:r>
    </w:p>
    <w:p>
      <w:pPr>
        <w:pStyle w:val="Compact"/>
        <w:numPr>
          <w:ilvl w:val="1"/>
          <w:numId w:val="1016"/>
        </w:numPr>
      </w:pPr>
      <w:r>
        <w:rPr>
          <w:b/>
          <w:bCs/>
        </w:rPr>
        <w:t xml:space="preserve">Workforce Agility</w:t>
      </w:r>
      <w:r>
        <w:t xml:space="preserve">: Human capital retention and tacit knowledge preservation</w:t>
      </w:r>
    </w:p>
    <w:p>
      <w:pPr>
        <w:pStyle w:val="Compact"/>
        <w:numPr>
          <w:ilvl w:val="1"/>
          <w:numId w:val="1016"/>
        </w:numPr>
      </w:pPr>
      <w:r>
        <w:rPr>
          <w:b/>
          <w:bCs/>
        </w:rPr>
        <w:t xml:space="preserve">Technical Enablement</w:t>
      </w:r>
      <w:r>
        <w:t xml:space="preserve">: NL2SQL capabilities and healthcare-specific implementation solutions</w:t>
      </w:r>
    </w:p>
    <w:p>
      <w:pPr>
        <w:pStyle w:val="Compact"/>
        <w:numPr>
          <w:ilvl w:val="0"/>
          <w:numId w:val="1015"/>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7"/>
        </w:numPr>
      </w:pPr>
      <w:r>
        <w:t xml:space="preserve">Fragmented data sources without integration</w:t>
      </w:r>
    </w:p>
    <w:p>
      <w:pPr>
        <w:pStyle w:val="Compact"/>
        <w:numPr>
          <w:ilvl w:val="0"/>
          <w:numId w:val="1017"/>
        </w:numPr>
      </w:pPr>
      <w:r>
        <w:t xml:space="preserve">Limited automated reporting capabilities</w:t>
      </w:r>
    </w:p>
    <w:p>
      <w:pPr>
        <w:pStyle w:val="Compact"/>
        <w:numPr>
          <w:ilvl w:val="0"/>
          <w:numId w:val="1017"/>
        </w:numPr>
      </w:pPr>
      <w:r>
        <w:t xml:space="preserve">Lack of standardized data governance</w:t>
      </w:r>
    </w:p>
    <w:p>
      <w:pPr>
        <w:pStyle w:val="Compact"/>
        <w:numPr>
          <w:ilvl w:val="0"/>
          <w:numId w:val="1017"/>
        </w:numPr>
      </w:pPr>
      <w:r>
        <w:t xml:space="preserve">Minimal predictive or prescriptive analytics</w:t>
      </w:r>
    </w:p>
    <w:p>
      <w:pPr>
        <w:pStyle w:val="Compact"/>
        <w:numPr>
          <w:ilvl w:val="0"/>
          <w:numId w:val="1017"/>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57</w:t>
        </w:r>
      </w:hyperlink>
      <w:r>
        <w:t xml:space="preserve">,</w:t>
      </w:r>
      <w:hyperlink w:anchor="ref-ren2024">
        <w:r>
          <w:rPr>
            <w:rStyle w:val="Hyperlink"/>
          </w:rPr>
          <w:t xml:space="preserve">58</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59</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are substantial. Massingham</w:t>
      </w:r>
      <w:r>
        <w:t xml:space="preserve"> </w:t>
      </w:r>
      <w:r>
        <w:t xml:space="preserve">(</w:t>
      </w:r>
      <w:hyperlink w:anchor="ref-massingham2018">
        <w:r>
          <w:rPr>
            <w:rStyle w:val="Hyperlink"/>
          </w:rPr>
          <w:t xml:space="preserve">60</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61</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62</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63</w:t>
        </w:r>
      </w:hyperlink>
      <w:r>
        <w:t xml:space="preserve">)</w:t>
      </w:r>
      <w:r>
        <w:t xml:space="preserve">. Vendor analysis from Oracle</w:t>
      </w:r>
      <w:r>
        <w:t xml:space="preserve"> </w:t>
      </w:r>
      <w:r>
        <w:t xml:space="preserve">(</w:t>
      </w:r>
      <w:hyperlink w:anchor="ref-oracle2024">
        <w:r>
          <w:rPr>
            <w:rStyle w:val="Hyperlink"/>
          </w:rPr>
          <w:t xml:space="preserve">64</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65</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66</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67</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68</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69</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70</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60</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71</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72</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73</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74</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75</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71</w:t>
        </w:r>
      </w:hyperlink>
      <w:r>
        <w:t xml:space="preserve">)</w:t>
      </w:r>
      <w:r>
        <w:t xml:space="preserve">:</w:t>
      </w:r>
    </w:p>
    <w:p>
      <w:pPr>
        <w:pStyle w:val="Compact"/>
        <w:numPr>
          <w:ilvl w:val="0"/>
          <w:numId w:val="1018"/>
        </w:numPr>
      </w:pPr>
      <w:r>
        <w:t xml:space="preserve">Traditional knowledge transfer mechanisms show limited effectiveness</w:t>
      </w:r>
    </w:p>
    <w:p>
      <w:pPr>
        <w:pStyle w:val="Compact"/>
        <w:numPr>
          <w:ilvl w:val="0"/>
          <w:numId w:val="1018"/>
        </w:numPr>
      </w:pPr>
      <w:r>
        <w:t xml:space="preserve">Organizations struggle to capture and maintain analytical expertise</w:t>
      </w:r>
    </w:p>
    <w:p>
      <w:pPr>
        <w:pStyle w:val="Compact"/>
        <w:numPr>
          <w:ilvl w:val="0"/>
          <w:numId w:val="1018"/>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8"/>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76</w:t>
        </w:r>
      </w:hyperlink>
      <w:r>
        <w:t xml:space="preserve">)</w:t>
      </w:r>
      <w:r>
        <w:t xml:space="preserve">,</w:t>
      </w:r>
      <w:r>
        <w:t xml:space="preserve"> </w:t>
      </w:r>
      <w:r>
        <w:t xml:space="preserve">(</w:t>
      </w:r>
      <w:hyperlink w:anchor="ref-openai2025">
        <w:r>
          <w:rPr>
            <w:rStyle w:val="Hyperlink"/>
          </w:rPr>
          <w:t xml:space="preserve">77</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78</w:t>
        </w:r>
      </w:hyperlink>
      <w:r>
        <w:t xml:space="preserve">)</w:t>
      </w:r>
      <w:r>
        <w:t xml:space="preserve">,</w:t>
      </w:r>
      <w:r>
        <w:t xml:space="preserve"> </w:t>
      </w:r>
      <w:r>
        <w:t xml:space="preserve">(</w:t>
      </w:r>
      <w:hyperlink w:anchor="ref-wu2024a">
        <w:r>
          <w:rPr>
            <w:rStyle w:val="Hyperlink"/>
          </w:rPr>
          <w:t xml:space="preserve">79</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76</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80</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77</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81</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81</w:t>
        </w:r>
      </w:hyperlink>
      <w:r>
        <w:t xml:space="preserve">)</w:t>
      </w:r>
      <w:r>
        <w:t xml:space="preserve"> </w:t>
      </w:r>
      <w:r>
        <w:t xml:space="preserve">and EHRSQL benchmark</w:t>
      </w:r>
      <w:r>
        <w:t xml:space="preserve"> </w:t>
      </w:r>
      <w:r>
        <w:t xml:space="preserve">(</w:t>
      </w:r>
      <w:hyperlink w:anchor="ref-lee2023">
        <w:r>
          <w:rPr>
            <w:rStyle w:val="Hyperlink"/>
          </w:rPr>
          <w:t xml:space="preserve">82</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83</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78</w:t>
        </w:r>
      </w:hyperlink>
      <w:r>
        <w:t xml:space="preserve">)</w:t>
      </w:r>
      <w:r>
        <w:t xml:space="preserve">,</w:t>
      </w:r>
      <w:r>
        <w:t xml:space="preserve"> </w:t>
      </w:r>
      <w:r>
        <w:t xml:space="preserve">(</w:t>
      </w:r>
      <w:hyperlink w:anchor="ref-wu2024a">
        <w:r>
          <w:rPr>
            <w:rStyle w:val="Hyperlink"/>
          </w:rPr>
          <w:t xml:space="preserve">79</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84</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85</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86</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86</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87</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87</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88</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89</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90</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91</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92</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93</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94</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95</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96</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96</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97</w:t>
        </w:r>
      </w:hyperlink>
      <w:r>
        <w:t xml:space="preserve">,</w:t>
      </w:r>
      <w:hyperlink w:anchor="ref-ruoff2023">
        <w:r>
          <w:rPr>
            <w:rStyle w:val="Hyperlink"/>
          </w:rPr>
          <w:t xml:space="preserve">98</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99</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100</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9"/>
        </w:numPr>
      </w:pPr>
      <w:r>
        <w:t xml:space="preserve">Capturing decision-making patterns through usage</w:t>
      </w:r>
    </w:p>
    <w:p>
      <w:pPr>
        <w:pStyle w:val="Compact"/>
        <w:numPr>
          <w:ilvl w:val="0"/>
          <w:numId w:val="1019"/>
        </w:numPr>
      </w:pPr>
      <w:r>
        <w:t xml:space="preserve">Encoding best practices in accessible formats</w:t>
      </w:r>
    </w:p>
    <w:p>
      <w:pPr>
        <w:pStyle w:val="Compact"/>
        <w:numPr>
          <w:ilvl w:val="0"/>
          <w:numId w:val="1019"/>
        </w:numPr>
      </w:pPr>
      <w:r>
        <w:t xml:space="preserve">Providing context-aware guidance to new users</w:t>
      </w:r>
    </w:p>
    <w:p>
      <w:pPr>
        <w:pStyle w:val="Compact"/>
        <w:numPr>
          <w:ilvl w:val="0"/>
          <w:numId w:val="1019"/>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101</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102</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106</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107</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103</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108</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109</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110</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112</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113</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20"/>
        </w:numPr>
      </w:pPr>
      <w:r>
        <w:rPr>
          <w:b/>
          <w:bCs/>
        </w:rPr>
        <w:t xml:space="preserve">Long-term outcomes</w:t>
      </w:r>
      <w:r>
        <w:t xml:space="preserve">: Most studies examine 6-24 month implementations; multi-year impacts remain understudied</w:t>
      </w:r>
    </w:p>
    <w:p>
      <w:pPr>
        <w:pStyle w:val="Compact"/>
        <w:numPr>
          <w:ilvl w:val="0"/>
          <w:numId w:val="1020"/>
        </w:numPr>
      </w:pPr>
      <w:r>
        <w:rPr>
          <w:b/>
          <w:bCs/>
        </w:rPr>
        <w:t xml:space="preserve">Scalability across specialties</w:t>
      </w:r>
      <w:r>
        <w:t xml:space="preserve">: Evidence primarily focuses on general acute care; specialty-specific applications need investigation</w:t>
      </w:r>
    </w:p>
    <w:p>
      <w:pPr>
        <w:pStyle w:val="Compact"/>
        <w:numPr>
          <w:ilvl w:val="0"/>
          <w:numId w:val="1020"/>
        </w:numPr>
      </w:pPr>
      <w:r>
        <w:rPr>
          <w:b/>
          <w:bCs/>
        </w:rPr>
        <w:t xml:space="preserve">Governance frameworks</w:t>
      </w:r>
      <w:r>
        <w:t xml:space="preserve">: Limited research on optimal governance models for democratized analytics</w:t>
      </w:r>
    </w:p>
    <w:p>
      <w:pPr>
        <w:pStyle w:val="Compact"/>
        <w:numPr>
          <w:ilvl w:val="0"/>
          <w:numId w:val="1020"/>
        </w:numPr>
      </w:pPr>
      <w:r>
        <w:rPr>
          <w:b/>
          <w:bCs/>
        </w:rPr>
        <w:t xml:space="preserve">Training methodologies</w:t>
      </w:r>
      <w:r>
        <w:t xml:space="preserve">: Best practices for transitioning from traditional to conversational analytics lack empirical validation</w:t>
      </w:r>
    </w:p>
    <w:p>
      <w:pPr>
        <w:pStyle w:val="Compact"/>
        <w:numPr>
          <w:ilvl w:val="0"/>
          <w:numId w:val="1020"/>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20"/>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87</w:t>
        </w:r>
      </w:hyperlink>
      <w:r>
        <w:t xml:space="preserve">)</w:t>
      </w:r>
      <w:r>
        <w:t xml:space="preserve">,</w:t>
      </w:r>
      <w:r>
        <w:t xml:space="preserve"> </w:t>
      </w:r>
      <w:r>
        <w:t xml:space="preserve">(</w:t>
      </w:r>
      <w:hyperlink w:anchor="ref-dadi2025">
        <w:r>
          <w:rPr>
            <w:rStyle w:val="Hyperlink"/>
          </w:rPr>
          <w:t xml:space="preserve">86</w:t>
        </w:r>
      </w:hyperlink>
      <w:r>
        <w:t xml:space="preserve">)</w:t>
      </w:r>
      <w:r>
        <w:t xml:space="preserve">,</w:t>
      </w:r>
      <w:r>
        <w:t xml:space="preserve"> </w:t>
      </w:r>
      <w:r>
        <w:t xml:space="preserve">(</w:t>
      </w:r>
      <w:hyperlink w:anchor="ref-shah2020">
        <w:r>
          <w:rPr>
            <w:rStyle w:val="Hyperlink"/>
          </w:rPr>
          <w:t xml:space="preserve">90</w:t>
        </w:r>
      </w:hyperlink>
      <w:r>
        <w:t xml:space="preserve">)</w:t>
      </w:r>
      <w:r>
        <w:t xml:space="preserve">,</w:t>
      </w:r>
      <w:r>
        <w:t xml:space="preserve"> </w:t>
      </w:r>
      <w:r>
        <w:t xml:space="preserve">(</w:t>
      </w:r>
      <w:hyperlink w:anchor="ref-ipeirotis2025">
        <w:r>
          <w:rPr>
            <w:rStyle w:val="Hyperlink"/>
          </w:rPr>
          <w:t xml:space="preserve">89</w:t>
        </w:r>
      </w:hyperlink>
      <w:r>
        <w:t xml:space="preserve">)</w:t>
      </w:r>
      <w:r>
        <w:t xml:space="preserve">), longitudinal studies tracking sustained productivity improvements over multiple years remain limited</w:t>
      </w:r>
    </w:p>
    <w:p>
      <w:pPr>
        <w:pStyle w:val="Compact"/>
        <w:numPr>
          <w:ilvl w:val="0"/>
          <w:numId w:val="1020"/>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114</w:t>
        </w:r>
      </w:hyperlink>
      <w:r>
        <w:t xml:space="preserve">)</w:t>
      </w:r>
      <w:r>
        <w:t xml:space="preserve">, the methodology for quantifying their productivity contributions lacks standardization across studies</w:t>
      </w:r>
    </w:p>
    <w:p>
      <w:pPr>
        <w:pStyle w:val="Compact"/>
        <w:numPr>
          <w:ilvl w:val="0"/>
          <w:numId w:val="1020"/>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115</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116</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117</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119</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120</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121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78</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79</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109</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113</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79</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1"/>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1"/>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1"/>
        </w:numPr>
      </w:pPr>
      <w:r>
        <w:rPr>
          <w:b/>
          <w:bCs/>
        </w:rPr>
        <w:t xml:space="preserve">Governance Framework Development</w:t>
      </w:r>
      <w:r>
        <w:t xml:space="preserve">: Research on optimal governance models for democratized analytics</w:t>
      </w:r>
    </w:p>
    <w:p>
      <w:pPr>
        <w:pStyle w:val="Compact"/>
        <w:numPr>
          <w:ilvl w:val="0"/>
          <w:numId w:val="1021"/>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2"/>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2"/>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2"/>
        </w:numPr>
      </w:pPr>
      <w:r>
        <w:rPr>
          <w:b/>
          <w:bCs/>
        </w:rPr>
        <w:t xml:space="preserve">Longitudinal Outcome Studies</w:t>
      </w:r>
      <w:r>
        <w:t xml:space="preserve">: Multi-year implementations to assess sustained benefits and organizational evolution</w:t>
      </w:r>
    </w:p>
    <w:p>
      <w:pPr>
        <w:pStyle w:val="Compact"/>
        <w:numPr>
          <w:ilvl w:val="0"/>
          <w:numId w:val="1022"/>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3"/>
        </w:numPr>
      </w:pPr>
      <w:r>
        <w:rPr>
          <w:b/>
          <w:bCs/>
        </w:rPr>
        <w:t xml:space="preserve">Organizational Transformation Studies</w:t>
      </w:r>
      <w:r>
        <w:t xml:space="preserve">: Research on how conversational AI platforms reshape healthcare organizational capabilities</w:t>
      </w:r>
    </w:p>
    <w:p>
      <w:pPr>
        <w:pStyle w:val="Compact"/>
        <w:numPr>
          <w:ilvl w:val="0"/>
          <w:numId w:val="1023"/>
        </w:numPr>
      </w:pPr>
      <w:r>
        <w:rPr>
          <w:b/>
          <w:bCs/>
        </w:rPr>
        <w:t xml:space="preserve">Clinical Outcome Impact Assessment</w:t>
      </w:r>
      <w:r>
        <w:t xml:space="preserve">: Studies linking improved analytics access to patient care outcomes</w:t>
      </w:r>
    </w:p>
    <w:p>
      <w:pPr>
        <w:pStyle w:val="Compact"/>
        <w:numPr>
          <w:ilvl w:val="0"/>
          <w:numId w:val="1023"/>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70</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59</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114</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81</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65</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115</w:t>
              </w:r>
            </w:hyperlink>
            <w:r>
              <w:t xml:space="preserve">,</w:t>
            </w:r>
            <w:hyperlink w:anchor="ref-benbya2004">
              <w:r>
                <w:rPr>
                  <w:rStyle w:val="Hyperlink"/>
                </w:rPr>
                <w:t xml:space="preserve">137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66</w:t>
              </w:r>
            </w:hyperlink>
            <w:r>
              <w:t xml:space="preserve">,</w:t>
            </w:r>
            <w:hyperlink w:anchor="ref-mantas2010">
              <w:r>
                <w:rPr>
                  <w:rStyle w:val="Hyperlink"/>
                </w:rPr>
                <w:t xml:space="preserve">67</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117</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p>
    <w:p>
      <w:pPr>
        <w:pStyle w:val="Compact"/>
        <w:numPr>
          <w:ilvl w:val="0"/>
          <w:numId w:val="1025"/>
        </w:numPr>
      </w:pPr>
      <w:r>
        <w:rPr>
          <w:b/>
          <w:bCs/>
        </w:rPr>
        <w:t xml:space="preserve">Change Management</w:t>
      </w:r>
      <w:r>
        <w:t xml:space="preserve">: Training and support programs to ensure user adoption</w:t>
      </w:r>
    </w:p>
    <w:p>
      <w:pPr>
        <w:pStyle w:val="Compact"/>
        <w:numPr>
          <w:ilvl w:val="0"/>
          <w:numId w:val="1025"/>
        </w:numPr>
      </w:pPr>
      <w:r>
        <w:rPr>
          <w:b/>
          <w:bCs/>
        </w:rPr>
        <w:t xml:space="preserve">Phased Deployment</w:t>
      </w:r>
      <w:r>
        <w:t xml:space="preserve">: Gradual rollout beginning with analytics-savvy early adopters</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6"/>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6"/>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6"/>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7"/>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7"/>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7"/>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115</w:t>
        </w:r>
      </w:hyperlink>
      <w:r>
        <w:t xml:space="preserve">,</w:t>
      </w:r>
      <w:hyperlink w:anchor="ref-benbya2004">
        <w:r>
          <w:rPr>
            <w:rStyle w:val="Hyperlink"/>
          </w:rPr>
          <w:t xml:space="preserve">137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8"/>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81</w:t>
        </w:r>
      </w:hyperlink>
      <w:r>
        <w:t xml:space="preserve">,</w:t>
      </w:r>
      <w:hyperlink w:anchor="ref-lee2023">
        <w:r>
          <w:rPr>
            <w:rStyle w:val="Hyperlink"/>
          </w:rPr>
          <w:t xml:space="preserve">82</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8"/>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8"/>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8"/>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107</w:t>
        </w:r>
      </w:hyperlink>
      <w:r>
        <w:t xml:space="preserve">,</w:t>
      </w:r>
      <w:hyperlink w:anchor="ref-sezgin2022">
        <w:r>
          <w:rPr>
            <w:rStyle w:val="Hyperlink"/>
          </w:rPr>
          <w:t xml:space="preserve">108</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9"/>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9"/>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9"/>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6" w:name="references"/>
    <w:p>
      <w:pPr>
        <w:pStyle w:val="Heading1"/>
      </w:pPr>
      <w:r>
        <w:rPr>
          <w:rStyle w:val="SectionNumber"/>
        </w:rPr>
        <w:t xml:space="preserve">14</w:t>
      </w:r>
      <w:r>
        <w:tab/>
      </w:r>
      <w:r>
        <w:t xml:space="preserve">References</w:t>
      </w:r>
    </w:p>
    <w:bookmarkStart w:id="365"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khan2023"/>
    <w:p>
      <w:pPr>
        <w:pStyle w:val="Bibliography"/>
      </w:pPr>
      <w:r>
        <w:t xml:space="preserve">17.</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Journal of Business Analytics [Internet]. 2023;6(2):112–25. Available from:</w:t>
      </w:r>
      <w:r>
        <w:t xml:space="preserve"> </w:t>
      </w:r>
      <w:hyperlink r:id="rId144">
        <w:r>
          <w:rPr>
            <w:rStyle w:val="Hyperlink"/>
          </w:rPr>
          <w:t xml:space="preserve">https://publishing.emanresearch.org/Journal/FullText/6104</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3">
        <w:r>
          <w:rPr>
            <w:rStyle w:val="Hyperlink"/>
          </w:rPr>
          <w:t xml:space="preserve">https://www.healthcatalyst.com/learn/insights/healthcare-analytics-adoption-model-roadmap-analytic-maturity</w:t>
        </w:r>
      </w:hyperlink>
    </w:p>
    <w:bookmarkEnd w:id="184"/>
    <w:bookmarkStart w:id="186"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5">
        <w:r>
          <w:rPr>
            <w:rStyle w:val="Hyperlink"/>
          </w:rPr>
          <w:t xml:space="preserve">https://www.sciencedirect.com/science/article/pii/S1386505623001405</w:t>
        </w:r>
      </w:hyperlink>
    </w:p>
    <w:bookmarkEnd w:id="186"/>
    <w:bookmarkStart w:id="188"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9">
        <w:r>
          <w:rPr>
            <w:rStyle w:val="Hyperlink"/>
          </w:rPr>
          <w:t xml:space="preserve">https://link.springer.com/article/10.1007/s10916-020-01665-9</w:t>
        </w:r>
      </w:hyperlink>
    </w:p>
    <w:bookmarkEnd w:id="190"/>
    <w:bookmarkStart w:id="192" w:name="ref-carvalho2019"/>
    <w:p>
      <w:pPr>
        <w:pStyle w:val="Bibliography"/>
      </w:pPr>
      <w:r>
        <w:t xml:space="preserve">42.</w:t>
      </w:r>
      <w:r>
        <w:t xml:space="preserve"> </w:t>
      </w:r>
      <w:r>
        <w:t xml:space="preserve">	</w:t>
      </w:r>
      <w:r>
        <w:t xml:space="preserve">Carvalho JV, Rocha Á, Vasconcelos J.</w:t>
      </w:r>
      <w:r>
        <w:t xml:space="preserve"> </w:t>
      </w:r>
      <w:hyperlink r:id="rId19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2"/>
    <w:bookmarkStart w:id="193"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3"/>
    <w:bookmarkStart w:id="194"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4"/>
    <w:bookmarkStart w:id="195"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5"/>
    <w:bookmarkStart w:id="196"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6"/>
    <w:bookmarkStart w:id="197"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7"/>
    <w:bookmarkStart w:id="198"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98"/>
    <w:bookmarkStart w:id="199"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99"/>
    <w:bookmarkStart w:id="200"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0"/>
    <w:bookmarkStart w:id="201"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1"/>
    <w:bookmarkStart w:id="202"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2"/>
    <w:bookmarkStart w:id="203"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3"/>
    <w:bookmarkStart w:id="204"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4"/>
    <w:bookmarkStart w:id="205"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5"/>
    <w:bookmarkStart w:id="206"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6"/>
    <w:bookmarkStart w:id="208"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7">
        <w:r>
          <w:rPr>
            <w:rStyle w:val="Hyperlink"/>
          </w:rPr>
          <w:t xml:space="preserve">https://pmc.ncbi.nlm.nih.gov/articles/PMC10802134/</w:t>
        </w:r>
      </w:hyperlink>
    </w:p>
    <w:bookmarkEnd w:id="208"/>
    <w:bookmarkStart w:id="210"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09">
        <w:r>
          <w:rPr>
            <w:rStyle w:val="Hyperlink"/>
          </w:rPr>
          <w:t xml:space="preserve">https://pmc.ncbi.nlm.nih.gov/articles/PMC11919231/</w:t>
        </w:r>
      </w:hyperlink>
    </w:p>
    <w:bookmarkEnd w:id="210"/>
    <w:bookmarkStart w:id="212" w:name="ref-hong2025"/>
    <w:p>
      <w:pPr>
        <w:pStyle w:val="Bibliography"/>
      </w:pPr>
      <w:r>
        <w:t xml:space="preserve">59.</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1">
        <w:r>
          <w:rPr>
            <w:rStyle w:val="Hyperlink"/>
          </w:rPr>
          <w:t xml:space="preserve">https://academic.oup.com/jpart/advance-article-abstract/doi/10.1093/jopart/muaf019/8162522</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jones2005"/>
    <w:p>
      <w:pPr>
        <w:pStyle w:val="Bibliography"/>
      </w:pPr>
      <w:r>
        <w:t xml:space="preserve">61.</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15">
        <w:r>
          <w:rPr>
            <w:rStyle w:val="Hyperlink"/>
          </w:rPr>
          <w:t xml:space="preserve">https://journals.lww.com/jonajournal/abstract/2005/01000/the_costs_of_nurse_turnover__part_2__application.14.aspx</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melnick2021"/>
    <w:p>
      <w:pPr>
        <w:pStyle w:val="Bibliography"/>
      </w:pPr>
      <w:r>
        <w:t xml:space="preserve">63.</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19">
        <w:r>
          <w:rPr>
            <w:rStyle w:val="Hyperlink"/>
          </w:rPr>
          <w:t xml:space="preserve">https://jamanetwork.com/journals/jamanetworkopen/fullarticle/2784810</w:t>
        </w:r>
      </w:hyperlink>
    </w:p>
    <w:bookmarkEnd w:id="220"/>
    <w:bookmarkStart w:id="222" w:name="ref-oracle2024"/>
    <w:p>
      <w:pPr>
        <w:pStyle w:val="Bibliography"/>
      </w:pPr>
      <w:r>
        <w:t xml:space="preserve">64.</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21">
        <w:r>
          <w:rPr>
            <w:rStyle w:val="Hyperlink"/>
          </w:rPr>
          <w:t xml:space="preserve">https://www.oracle.com/human-capital-management/cost-employee-turnover-healthcare/</w:t>
        </w:r>
      </w:hyperlink>
    </w:p>
    <w:bookmarkEnd w:id="222"/>
    <w:bookmarkStart w:id="224" w:name="ref-nsi2025"/>
    <w:p>
      <w:pPr>
        <w:pStyle w:val="Bibliography"/>
      </w:pPr>
      <w:r>
        <w:t xml:space="preserve">65.</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23">
        <w:r>
          <w:rPr>
            <w:rStyle w:val="Hyperlink"/>
          </w:rPr>
          <w:t xml:space="preserve">https://www.nsinursingsolutions.com/documents/library/nsi_national_health_care_retention_report.pdf</w:t>
        </w:r>
      </w:hyperlink>
    </w:p>
    <w:bookmarkEnd w:id="224"/>
    <w:bookmarkStart w:id="226" w:name="ref-ledikwe2013"/>
    <w:p>
      <w:pPr>
        <w:pStyle w:val="Bibliography"/>
      </w:pPr>
      <w:r>
        <w:t xml:space="preserve">66.</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5">
        <w:r>
          <w:rPr>
            <w:rStyle w:val="Hyperlink"/>
          </w:rPr>
          <w:t xml:space="preserve">https://human-resources-health.biomedcentral.com/articles/10.1186/1478-4491-11-35</w:t>
        </w:r>
      </w:hyperlink>
    </w:p>
    <w:bookmarkEnd w:id="226"/>
    <w:bookmarkStart w:id="228" w:name="ref-mantas2010"/>
    <w:p>
      <w:pPr>
        <w:pStyle w:val="Bibliography"/>
      </w:pPr>
      <w:r>
        <w:t xml:space="preserve">67.</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7">
        <w:r>
          <w:rPr>
            <w:rStyle w:val="Hyperlink"/>
          </w:rPr>
          <w:t xml:space="preserve">https://pubmed.ncbi.nlm.nih.gov/20054502/</w:t>
        </w:r>
      </w:hyperlink>
    </w:p>
    <w:bookmarkEnd w:id="228"/>
    <w:bookmarkStart w:id="230" w:name="ref-musa2023"/>
    <w:p>
      <w:pPr>
        <w:pStyle w:val="Bibliography"/>
      </w:pPr>
      <w:r>
        <w:t xml:space="preserve">68.</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9">
        <w:r>
          <w:rPr>
            <w:rStyle w:val="Hyperlink"/>
          </w:rPr>
          <w:t xml:space="preserve">https://pmc.ncbi.nlm.nih.gov/articles/PMC10243608/</w:t>
        </w:r>
      </w:hyperlink>
    </w:p>
    <w:bookmarkEnd w:id="230"/>
    <w:bookmarkStart w:id="232" w:name="ref-konrad2022"/>
    <w:p>
      <w:pPr>
        <w:pStyle w:val="Bibliography"/>
      </w:pPr>
      <w:r>
        <w:t xml:space="preserve">69.</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31">
        <w:r>
          <w:rPr>
            <w:rStyle w:val="Hyperlink"/>
          </w:rPr>
          <w:t xml:space="preserve">https://www.diva-portal.org/smash/record.jsf?pid=diva2:1684142</w:t>
        </w:r>
      </w:hyperlink>
    </w:p>
    <w:bookmarkEnd w:id="232"/>
    <w:bookmarkStart w:id="234" w:name="ref-rao2006"/>
    <w:p>
      <w:pPr>
        <w:pStyle w:val="Bibliography"/>
      </w:pPr>
      <w:r>
        <w:t xml:space="preserve">70.</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33">
        <w:r>
          <w:rPr>
            <w:rStyle w:val="Hyperlink"/>
          </w:rPr>
          <w:t xml:space="preserve">https://onlinelibrary.wiley.com/doi/abs/10.1057/palgrave.emr.1500057</w:t>
        </w:r>
      </w:hyperlink>
    </w:p>
    <w:bookmarkEnd w:id="234"/>
    <w:bookmarkStart w:id="236" w:name="ref-mayo2016"/>
    <w:p>
      <w:pPr>
        <w:pStyle w:val="Bibliography"/>
      </w:pPr>
      <w:r>
        <w:t xml:space="preserve">71.</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5">
        <w:r>
          <w:rPr>
            <w:rStyle w:val="Hyperlink"/>
          </w:rPr>
          <w:t xml:space="preserve">https://www.redjournal.org/article/S0360-3016(16)00260-1/fulltext</w:t>
        </w:r>
      </w:hyperlink>
    </w:p>
    <w:bookmarkEnd w:id="236"/>
    <w:bookmarkStart w:id="238" w:name="ref-goffin2011"/>
    <w:p>
      <w:pPr>
        <w:pStyle w:val="Bibliography"/>
      </w:pPr>
      <w:r>
        <w:t xml:space="preserve">72.</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7">
        <w:r>
          <w:rPr>
            <w:rStyle w:val="Hyperlink"/>
          </w:rPr>
          <w:t xml:space="preserve">https://onlinelibrary.wiley.com/doi/abs/10.1111/j.1540-5885.2010.00798.x</w:t>
        </w:r>
      </w:hyperlink>
    </w:p>
    <w:bookmarkEnd w:id="238"/>
    <w:bookmarkStart w:id="240" w:name="ref-foos2006"/>
    <w:p>
      <w:pPr>
        <w:pStyle w:val="Bibliography"/>
      </w:pPr>
      <w:r>
        <w:t xml:space="preserve">73.</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9">
        <w:r>
          <w:rPr>
            <w:rStyle w:val="Hyperlink"/>
          </w:rPr>
          <w:t xml:space="preserve">https://www.emerald.com/insight/content/doi/10.1108/13673270610650067/full/html</w:t>
        </w:r>
      </w:hyperlink>
    </w:p>
    <w:bookmarkEnd w:id="240"/>
    <w:bookmarkStart w:id="242" w:name="ref-goffin2010"/>
    <w:p>
      <w:pPr>
        <w:pStyle w:val="Bibliography"/>
      </w:pPr>
      <w:r>
        <w:t xml:space="preserve">74.</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41">
        <w:r>
          <w:rPr>
            <w:rStyle w:val="Hyperlink"/>
          </w:rPr>
          <w:t xml:space="preserve">https://www.tandfonline.com/doi/abs/10.1080/08956308.2010.11657637</w:t>
        </w:r>
      </w:hyperlink>
    </w:p>
    <w:bookmarkEnd w:id="242"/>
    <w:bookmarkStart w:id="244" w:name="ref-rintala2006"/>
    <w:p>
      <w:pPr>
        <w:pStyle w:val="Bibliography"/>
      </w:pPr>
      <w:r>
        <w:t xml:space="preserve">75.</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43">
        <w:r>
          <w:rPr>
            <w:rStyle w:val="Hyperlink"/>
          </w:rPr>
          <w:t xml:space="preserve">https://www.inderscienceonline.com/doi/abs/10.1504/IJNKM.2006.009880</w:t>
        </w:r>
      </w:hyperlink>
    </w:p>
    <w:bookmarkEnd w:id="244"/>
    <w:bookmarkStart w:id="246" w:name="ref-wang2025"/>
    <w:p>
      <w:pPr>
        <w:pStyle w:val="Bibliography"/>
      </w:pPr>
      <w:r>
        <w:t xml:space="preserve">76.</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5">
        <w:r>
          <w:rPr>
            <w:rStyle w:val="Hyperlink"/>
          </w:rPr>
          <w:t xml:space="preserve">https://arxiv.org/abs/2508.08224</w:t>
        </w:r>
      </w:hyperlink>
    </w:p>
    <w:bookmarkEnd w:id="246"/>
    <w:bookmarkStart w:id="248" w:name="ref-openai2025"/>
    <w:p>
      <w:pPr>
        <w:pStyle w:val="Bibliography"/>
      </w:pPr>
      <w:r>
        <w:t xml:space="preserve">77.</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7">
        <w:r>
          <w:rPr>
            <w:rStyle w:val="Hyperlink"/>
          </w:rPr>
          <w:t xml:space="preserve">https://arxiv.org/abs/2505.08775</w:t>
        </w:r>
      </w:hyperlink>
    </w:p>
    <w:bookmarkEnd w:id="248"/>
    <w:bookmarkStart w:id="250" w:name="ref-medagentbench2024"/>
    <w:p>
      <w:pPr>
        <w:pStyle w:val="Bibliography"/>
      </w:pPr>
      <w:r>
        <w:t xml:space="preserve">78.</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9">
        <w:r>
          <w:rPr>
            <w:rStyle w:val="Hyperlink"/>
          </w:rPr>
          <w:t xml:space="preserve">https://ai.nejm.org/doi/full/10.1056/AIdbp2500144</w:t>
        </w:r>
      </w:hyperlink>
    </w:p>
    <w:bookmarkEnd w:id="250"/>
    <w:bookmarkStart w:id="252" w:name="ref-wu2024a"/>
    <w:p>
      <w:pPr>
        <w:pStyle w:val="Bibliography"/>
      </w:pPr>
      <w:r>
        <w:t xml:space="preserve">79.</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51">
        <w:r>
          <w:rPr>
            <w:rStyle w:val="Hyperlink"/>
          </w:rPr>
          <w:t xml:space="preserve">https://www.nature.com/articles/s41746-024-01390-4</w:t>
        </w:r>
      </w:hyperlink>
    </w:p>
    <w:bookmarkEnd w:id="252"/>
    <w:bookmarkStart w:id="254" w:name="ref-blaskovic2025"/>
    <w:p>
      <w:pPr>
        <w:pStyle w:val="Bibliography"/>
      </w:pPr>
      <w:r>
        <w:t xml:space="preserve">80.</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53">
        <w:r>
          <w:rPr>
            <w:rStyle w:val="Hyperlink"/>
          </w:rPr>
          <w:t xml:space="preserve">https://www.mdpi.com/2504-2289/9/10/256</w:t>
        </w:r>
      </w:hyperlink>
    </w:p>
    <w:bookmarkEnd w:id="254"/>
    <w:bookmarkStart w:id="256" w:name="ref-wang2020"/>
    <w:p>
      <w:pPr>
        <w:pStyle w:val="Bibliography"/>
      </w:pPr>
      <w:r>
        <w:t xml:space="preserve">81.</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5">
        <w:r>
          <w:rPr>
            <w:rStyle w:val="Hyperlink"/>
          </w:rPr>
          <w:t xml:space="preserve">https://arxiv.org/abs/1908.01839</w:t>
        </w:r>
      </w:hyperlink>
    </w:p>
    <w:bookmarkEnd w:id="256"/>
    <w:bookmarkStart w:id="258" w:name="ref-lee2023"/>
    <w:p>
      <w:pPr>
        <w:pStyle w:val="Bibliography"/>
      </w:pPr>
      <w:r>
        <w:t xml:space="preserve">82.</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7">
        <w:r>
          <w:rPr>
            <w:rStyle w:val="Hyperlink"/>
          </w:rPr>
          <w:t xml:space="preserve">https://arxiv.org/abs/2301.07695</w:t>
        </w:r>
      </w:hyperlink>
    </w:p>
    <w:bookmarkEnd w:id="258"/>
    <w:bookmarkStart w:id="260" w:name="ref-sivasubramaniam2024"/>
    <w:p>
      <w:pPr>
        <w:pStyle w:val="Bibliography"/>
      </w:pPr>
      <w:r>
        <w:t xml:space="preserve">83.</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9">
        <w:r>
          <w:rPr>
            <w:rStyle w:val="Hyperlink"/>
          </w:rPr>
          <w:t xml:space="preserve">https://arxiv.org/abs/2411.05521</w:t>
        </w:r>
      </w:hyperlink>
    </w:p>
    <w:bookmarkEnd w:id="260"/>
    <w:bookmarkStart w:id="262" w:name="ref-lee2025"/>
    <w:p>
      <w:pPr>
        <w:pStyle w:val="Bibliography"/>
      </w:pPr>
      <w:r>
        <w:t xml:space="preserve">84.</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61">
        <w:r>
          <w:rPr>
            <w:rStyle w:val="Hyperlink"/>
          </w:rPr>
          <w:t xml:space="preserve">https://arxiv.org/abs/2511.17559</w:t>
        </w:r>
      </w:hyperlink>
    </w:p>
    <w:bookmarkEnd w:id="262"/>
    <w:bookmarkStart w:id="264" w:name="ref-chen2025"/>
    <w:p>
      <w:pPr>
        <w:pStyle w:val="Bibliography"/>
      </w:pPr>
      <w:r>
        <w:t xml:space="preserve">85.</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63">
        <w:r>
          <w:rPr>
            <w:rStyle w:val="Hyperlink"/>
          </w:rPr>
          <w:t xml:space="preserve">https://www.sciencedirect.com/science/article/pii/S0031320324008197</w:t>
        </w:r>
      </w:hyperlink>
    </w:p>
    <w:bookmarkEnd w:id="264"/>
    <w:bookmarkStart w:id="266" w:name="ref-dadi2025"/>
    <w:p>
      <w:pPr>
        <w:pStyle w:val="Bibliography"/>
      </w:pPr>
      <w:r>
        <w:t xml:space="preserve">86.</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5">
        <w:r>
          <w:rPr>
            <w:rStyle w:val="Hyperlink"/>
          </w:rPr>
          <w:t xml:space="preserve">https://al-kindipublisher.com/index.php/jcsts/article/view/9694</w:t>
        </w:r>
      </w:hyperlink>
    </w:p>
    <w:bookmarkEnd w:id="266"/>
    <w:bookmarkStart w:id="268" w:name="ref-yuan2019"/>
    <w:p>
      <w:pPr>
        <w:pStyle w:val="Bibliography"/>
      </w:pPr>
      <w:r>
        <w:t xml:space="preserve">87.</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7">
        <w:r>
          <w:rPr>
            <w:rStyle w:val="Hyperlink"/>
          </w:rPr>
          <w:t xml:space="preserve">https://academic.oup.com/jamia/article-abstract/26/4/294/5308980</w:t>
        </w:r>
      </w:hyperlink>
    </w:p>
    <w:bookmarkEnd w:id="268"/>
    <w:bookmarkStart w:id="270" w:name="ref-park2024"/>
    <w:p>
      <w:pPr>
        <w:pStyle w:val="Bibliography"/>
      </w:pPr>
      <w:r>
        <w:t xml:space="preserve">88.</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9">
        <w:r>
          <w:rPr>
            <w:rStyle w:val="Hyperlink"/>
          </w:rPr>
          <w:t xml:space="preserve">https://www.sciencedirect.com/science/article/pii/S1532046424000650</w:t>
        </w:r>
      </w:hyperlink>
    </w:p>
    <w:bookmarkEnd w:id="270"/>
    <w:bookmarkStart w:id="272" w:name="ref-ipeirotis2025"/>
    <w:p>
      <w:pPr>
        <w:pStyle w:val="Bibliography"/>
      </w:pPr>
      <w:r>
        <w:t xml:space="preserve">89.</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71">
        <w:r>
          <w:rPr>
            <w:rStyle w:val="Hyperlink"/>
          </w:rPr>
          <w:t xml:space="preserve">https://arxiv.org/abs/2511.14718</w:t>
        </w:r>
      </w:hyperlink>
    </w:p>
    <w:bookmarkEnd w:id="272"/>
    <w:bookmarkStart w:id="274" w:name="ref-shah2020"/>
    <w:p>
      <w:pPr>
        <w:pStyle w:val="Bibliography"/>
      </w:pPr>
      <w:r>
        <w:t xml:space="preserve">90.</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73">
        <w:r>
          <w:rPr>
            <w:rStyle w:val="Hyperlink"/>
          </w:rPr>
          <w:t xml:space="preserve">https://dl.acm.org/doi/abs/10.1145/3318464.3389777</w:t>
        </w:r>
      </w:hyperlink>
    </w:p>
    <w:bookmarkEnd w:id="274"/>
    <w:bookmarkStart w:id="276" w:name="ref-safari2014"/>
    <w:p>
      <w:pPr>
        <w:pStyle w:val="Bibliography"/>
      </w:pPr>
      <w:r>
        <w:t xml:space="preserve">91.</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5">
        <w:r>
          <w:rPr>
            <w:rStyle w:val="Hyperlink"/>
          </w:rPr>
          <w:t xml:space="preserve">https://www.sciencedirect.com/science/article/pii/S1532046414001592</w:t>
        </w:r>
      </w:hyperlink>
    </w:p>
    <w:bookmarkEnd w:id="276"/>
    <w:bookmarkStart w:id="278" w:name="ref-han2019"/>
    <w:p>
      <w:pPr>
        <w:pStyle w:val="Bibliography"/>
      </w:pPr>
      <w:r>
        <w:t xml:space="preserve">92.</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7">
        <w:r>
          <w:rPr>
            <w:rStyle w:val="Hyperlink"/>
          </w:rPr>
          <w:t xml:space="preserve">https://medinform.jmir.org/2019/3/e13331</w:t>
        </w:r>
      </w:hyperlink>
    </w:p>
    <w:bookmarkEnd w:id="278"/>
    <w:bookmarkStart w:id="280" w:name="ref-marshan2024"/>
    <w:p>
      <w:pPr>
        <w:pStyle w:val="Bibliography"/>
      </w:pPr>
      <w:r>
        <w:t xml:space="preserve">93.</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9">
        <w:r>
          <w:rPr>
            <w:rStyle w:val="Hyperlink"/>
          </w:rPr>
          <w:t xml:space="preserve">https://www.frontiersin.org/articles/10.3389/fdata.2024.1371680</w:t>
        </w:r>
      </w:hyperlink>
    </w:p>
    <w:bookmarkEnd w:id="280"/>
    <w:bookmarkStart w:id="282" w:name="ref-saha2023"/>
    <w:p>
      <w:pPr>
        <w:pStyle w:val="Bibliography"/>
      </w:pPr>
      <w:r>
        <w:t xml:space="preserve">94.</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81">
        <w:r>
          <w:rPr>
            <w:rStyle w:val="Hyperlink"/>
          </w:rPr>
          <w:t xml:space="preserve">https://www.proquest.com/openview/0d955ee8209664a4447c9995a1b9e721/1?pq-origsite=gscholar&amp;cbl=326365</w:t>
        </w:r>
      </w:hyperlink>
    </w:p>
    <w:bookmarkEnd w:id="282"/>
    <w:bookmarkStart w:id="284" w:name="ref-khandelwal2025"/>
    <w:p>
      <w:pPr>
        <w:pStyle w:val="Bibliography"/>
      </w:pPr>
      <w:r>
        <w:t xml:space="preserve">95.</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83">
        <w:r>
          <w:rPr>
            <w:rStyle w:val="Hyperlink"/>
          </w:rPr>
          <w:t xml:space="preserve">https://sarcouncil.com/2025/06/ai-driven-mainframe-modernization-unlocking-legacy-data-for-cloud-analytics</w:t>
        </w:r>
      </w:hyperlink>
    </w:p>
    <w:bookmarkEnd w:id="284"/>
    <w:bookmarkStart w:id="285" w:name="ref-syed2025"/>
    <w:p>
      <w:pPr>
        <w:pStyle w:val="Bibliography"/>
      </w:pPr>
      <w:r>
        <w:t xml:space="preserve">96.</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5"/>
    <w:bookmarkStart w:id="287" w:name="ref-samimi2025"/>
    <w:p>
      <w:pPr>
        <w:pStyle w:val="Bibliography"/>
      </w:pPr>
      <w:r>
        <w:t xml:space="preserve">97.</w:t>
      </w:r>
      <w:r>
        <w:t xml:space="preserve"> </w:t>
      </w:r>
      <w:r>
        <w:t xml:space="preserve">	</w:t>
      </w:r>
      <w:r>
        <w:t xml:space="preserve">Samimi R, Bhattacharya A, Gosak L, Stiglic G, Verbert K.</w:t>
      </w:r>
      <w:r>
        <w:t xml:space="preserve"> </w:t>
      </w:r>
      <w:hyperlink r:id="rId286">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7"/>
    <w:bookmarkStart w:id="289" w:name="ref-ruoff2023"/>
    <w:p>
      <w:pPr>
        <w:pStyle w:val="Bibliography"/>
      </w:pPr>
      <w:r>
        <w:t xml:space="preserve">98.</w:t>
      </w:r>
      <w:r>
        <w:t xml:space="preserve"> </w:t>
      </w:r>
      <w:r>
        <w:t xml:space="preserve">	</w:t>
      </w:r>
      <w:r>
        <w:t xml:space="preserve">Ruoff M, Gnewuch U, Maedche A, Scheibehenne B.</w:t>
      </w:r>
      <w:r>
        <w:t xml:space="preserve"> </w:t>
      </w:r>
      <w:hyperlink r:id="rId288">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9"/>
    <w:bookmarkStart w:id="290" w:name="ref-chowdhury2020"/>
    <w:p>
      <w:pPr>
        <w:pStyle w:val="Bibliography"/>
      </w:pPr>
      <w:r>
        <w:t xml:space="preserve">99.</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90"/>
    <w:bookmarkStart w:id="291" w:name="ref-holmes2019"/>
    <w:p>
      <w:pPr>
        <w:pStyle w:val="Bibliography"/>
      </w:pPr>
      <w:r>
        <w:t xml:space="preserve">100.</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91"/>
    <w:bookmarkStart w:id="293" w:name="ref-milneives2020"/>
    <w:p>
      <w:pPr>
        <w:pStyle w:val="Bibliography"/>
      </w:pPr>
      <w:r>
        <w:t xml:space="preserve">101.</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92">
        <w:r>
          <w:rPr>
            <w:rStyle w:val="Hyperlink"/>
          </w:rPr>
          <w:t xml:space="preserve">https://www.jmir.org/2020/10/e20346/</w:t>
        </w:r>
      </w:hyperlink>
    </w:p>
    <w:bookmarkEnd w:id="293"/>
    <w:bookmarkStart w:id="295" w:name="ref-li2023"/>
    <w:p>
      <w:pPr>
        <w:pStyle w:val="Bibliography"/>
      </w:pPr>
      <w:r>
        <w:t xml:space="preserve">102.</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4">
        <w:r>
          <w:rPr>
            <w:rStyle w:val="Hyperlink"/>
          </w:rPr>
          <w:t xml:space="preserve">https://www.sciencedirect.com/science/article/pii/S1386505623001296</w:t>
        </w:r>
      </w:hyperlink>
    </w:p>
    <w:bookmarkEnd w:id="295"/>
    <w:bookmarkStart w:id="297" w:name="ref-pennington2023"/>
    <w:p>
      <w:pPr>
        <w:pStyle w:val="Bibliography"/>
      </w:pPr>
      <w:r>
        <w:t xml:space="preserve">103.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6">
        <w:r>
          <w:rPr>
            <w:rStyle w:val="Hyperlink"/>
          </w:rPr>
          <w:t xml:space="preserve">https://mds.marshall.edu/etd/1824/</w:t>
        </w:r>
      </w:hyperlink>
    </w:p>
    <w:bookmarkEnd w:id="297"/>
    <w:bookmarkStart w:id="299" w:name="ref-atobatele2023"/>
    <w:p>
      <w:pPr>
        <w:pStyle w:val="Bibliography"/>
      </w:pPr>
      <w:r>
        <w:t xml:space="preserve">104.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8">
        <w:r>
          <w:rPr>
            <w:rStyle w:val="Hyperlink"/>
          </w:rPr>
          <w:t xml:space="preserve">https://gisrrj.com/paper/GISRRJ236426.pdf</w:t>
        </w:r>
      </w:hyperlink>
    </w:p>
    <w:bookmarkEnd w:id="299"/>
    <w:bookmarkStart w:id="301" w:name="ref-farnese2019"/>
    <w:p>
      <w:pPr>
        <w:pStyle w:val="Bibliography"/>
      </w:pPr>
      <w:r>
        <w:t xml:space="preserve">105.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00">
        <w:r>
          <w:rPr>
            <w:rStyle w:val="Hyperlink"/>
          </w:rPr>
          <w:t xml:space="preserve">https://www.frontiersin.org/articles/10.3389/fpsyg.2019.02730</w:t>
        </w:r>
      </w:hyperlink>
    </w:p>
    <w:bookmarkEnd w:id="301"/>
    <w:bookmarkStart w:id="303" w:name="ref-zhang2025"/>
    <w:p>
      <w:pPr>
        <w:pStyle w:val="Bibliography"/>
      </w:pPr>
      <w:r>
        <w:t xml:space="preserve">106.</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2">
        <w:r>
          <w:rPr>
            <w:rStyle w:val="Hyperlink"/>
          </w:rPr>
          <w:t xml:space="preserve">https://www.emerald.com/insight/content/doi/10.1108/JKM-03-2024-0262/full/html</w:t>
        </w:r>
      </w:hyperlink>
    </w:p>
    <w:bookmarkEnd w:id="303"/>
    <w:bookmarkStart w:id="305" w:name="ref-jiao2023"/>
    <w:p>
      <w:pPr>
        <w:pStyle w:val="Bibliography"/>
      </w:pPr>
      <w:r>
        <w:t xml:space="preserve">107.</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4">
        <w:r>
          <w:rPr>
            <w:rStyle w:val="Hyperlink"/>
          </w:rPr>
          <w:t xml:space="preserve">https://ieeexplore.ieee.org/document/10297311</w:t>
        </w:r>
      </w:hyperlink>
    </w:p>
    <w:bookmarkEnd w:id="305"/>
    <w:bookmarkStart w:id="307" w:name="ref-sezgin2022"/>
    <w:p>
      <w:pPr>
        <w:pStyle w:val="Bibliography"/>
      </w:pPr>
      <w:r>
        <w:t xml:space="preserve">108.</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6">
        <w:r>
          <w:rPr>
            <w:rStyle w:val="Hyperlink"/>
          </w:rPr>
          <w:t xml:space="preserve">https://medinform.jmir.org/2022/2/e32875</w:t>
        </w:r>
      </w:hyperlink>
    </w:p>
    <w:bookmarkEnd w:id="307"/>
    <w:bookmarkStart w:id="309" w:name="ref-forrester2024"/>
    <w:p>
      <w:pPr>
        <w:pStyle w:val="Bibliography"/>
      </w:pPr>
      <w:r>
        <w:t xml:space="preserve">109.</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8">
        <w:r>
          <w:rPr>
            <w:rStyle w:val="Hyperlink"/>
          </w:rPr>
          <w:t xml:space="preserve">https://tei.forrester.com/go/microsoft/powerappstei/?lang=en-us</w:t>
        </w:r>
      </w:hyperlink>
    </w:p>
    <w:bookmarkEnd w:id="309"/>
    <w:bookmarkStart w:id="311" w:name="ref-elkamouchi2023"/>
    <w:p>
      <w:pPr>
        <w:pStyle w:val="Bibliography"/>
      </w:pPr>
      <w:r>
        <w:t xml:space="preserve">110.</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0">
        <w:r>
          <w:rPr>
            <w:rStyle w:val="Hyperlink"/>
          </w:rPr>
          <w:t xml:space="preserve">https://ieeexplore.ieee.org/abstract/document/10373712/</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pervaiz2025"/>
    <w:p>
      <w:pPr>
        <w:pStyle w:val="Bibliography"/>
      </w:pPr>
      <w:r>
        <w:t xml:space="preserve">112.</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4">
        <w:r>
          <w:rPr>
            <w:rStyle w:val="Hyperlink"/>
          </w:rPr>
          <w:t xml:space="preserve">https://imjstb.com/index.php/Journal/article/view/95</w:t>
        </w:r>
      </w:hyperlink>
    </w:p>
    <w:bookmarkEnd w:id="315"/>
    <w:bookmarkStart w:id="317" w:name="ref-precedence2024"/>
    <w:p>
      <w:pPr>
        <w:pStyle w:val="Bibliography"/>
      </w:pPr>
      <w:r>
        <w:t xml:space="preserve">113.</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6">
        <w:r>
          <w:rPr>
            <w:rStyle w:val="Hyperlink"/>
          </w:rPr>
          <w:t xml:space="preserve">https://www.precedenceresearch.com/healthcare-analytics-market</w:t>
        </w:r>
      </w:hyperlink>
    </w:p>
    <w:bookmarkEnd w:id="317"/>
    <w:bookmarkStart w:id="319" w:name="ref-berkshire2024"/>
    <w:p>
      <w:pPr>
        <w:pStyle w:val="Bibliography"/>
      </w:pPr>
      <w:r>
        <w:t xml:space="preserve">114.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8">
        <w:r>
          <w:rPr>
            <w:rStyle w:val="Hyperlink"/>
          </w:rPr>
          <w:t xml:space="preserve">https://ia.berkshirehealthcare.nhs.uk/citizen-developer-programme</w:t>
        </w:r>
      </w:hyperlink>
    </w:p>
    <w:bookmarkEnd w:id="319"/>
    <w:bookmarkStart w:id="321" w:name="ref-richesson2007"/>
    <w:p>
      <w:pPr>
        <w:pStyle w:val="Bibliography"/>
      </w:pPr>
      <w:r>
        <w:t xml:space="preserve">115.</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0">
        <w:r>
          <w:rPr>
            <w:rStyle w:val="Hyperlink"/>
          </w:rPr>
          <w:t xml:space="preserve">https://academic.oup.com/jamia/article/14/6/687/750453</w:t>
        </w:r>
      </w:hyperlink>
    </w:p>
    <w:bookmarkEnd w:id="321"/>
    <w:bookmarkStart w:id="323" w:name="ref-zheng2020"/>
    <w:p>
      <w:pPr>
        <w:pStyle w:val="Bibliography"/>
      </w:pPr>
      <w:r>
        <w:t xml:space="preserve">116.</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2">
        <w:r>
          <w:rPr>
            <w:rStyle w:val="Hyperlink"/>
          </w:rPr>
          <w:t xml:space="preserve">https://www.acpjournals.org/doi/10.7326/M19-0871</w:t>
        </w:r>
      </w:hyperlink>
    </w:p>
    <w:bookmarkEnd w:id="323"/>
    <w:bookmarkStart w:id="325" w:name="ref-bogaert2021"/>
    <w:p>
      <w:pPr>
        <w:pStyle w:val="Bibliography"/>
      </w:pPr>
      <w:r>
        <w:t xml:space="preserve">117.</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4">
        <w:r>
          <w:rPr>
            <w:rStyle w:val="Hyperlink"/>
          </w:rPr>
          <w:t xml:space="preserve">https://www.sciencedirect.com/science/article/pii/S0168851021002396</w:t>
        </w:r>
      </w:hyperlink>
    </w:p>
    <w:bookmarkEnd w:id="325"/>
    <w:bookmarkStart w:id="327" w:name="ref-ibm2022"/>
    <w:p>
      <w:pPr>
        <w:pStyle w:val="Bibliography"/>
      </w:pPr>
      <w:r>
        <w:t xml:space="preserve">118.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6">
        <w:r>
          <w:rPr>
            <w:rStyle w:val="Hyperlink"/>
          </w:rPr>
          <w:t xml:space="preserve">https://newsroom.ibm.com/2022-01-21-Francisco-Partners-to-Acquire-IBMs-Healthcare-Data-and-Analytics-Assets</w:t>
        </w:r>
      </w:hyperlink>
    </w:p>
    <w:bookmarkEnd w:id="327"/>
    <w:bookmarkStart w:id="329" w:name="ref-strickland2019"/>
    <w:p>
      <w:pPr>
        <w:pStyle w:val="Bibliography"/>
      </w:pPr>
      <w:r>
        <w:t xml:space="preserve">119.</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8">
        <w:r>
          <w:rPr>
            <w:rStyle w:val="Hyperlink"/>
          </w:rPr>
          <w:t xml:space="preserve">https://ieeexplore.ieee.org/abstract/document/8678513/</w:t>
        </w:r>
      </w:hyperlink>
    </w:p>
    <w:bookmarkEnd w:id="329"/>
    <w:bookmarkStart w:id="331" w:name="ref-yang2020"/>
    <w:p>
      <w:pPr>
        <w:pStyle w:val="Bibliography"/>
      </w:pPr>
      <w:r>
        <w:t xml:space="preserve">120.</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0">
        <w:r>
          <w:rPr>
            <w:rStyle w:val="Hyperlink"/>
          </w:rPr>
          <w:t xml:space="preserve">https://oulurepo.oulu.fi/bitstream/handle/10024/27921/nbnfi-fe2020050424858.pdf</w:t>
        </w:r>
      </w:hyperlink>
    </w:p>
    <w:bookmarkEnd w:id="331"/>
    <w:bookmarkStart w:id="333" w:name="ref-lavito2021"/>
    <w:p>
      <w:pPr>
        <w:pStyle w:val="Bibliography"/>
      </w:pPr>
      <w:r>
        <w:t xml:space="preserve">121.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2">
        <w:r>
          <w:rPr>
            <w:rStyle w:val="Hyperlink"/>
          </w:rPr>
          <w:t xml:space="preserve">https://www.cnbc.com/2021/01/04/haven-the-amazon-berkshire-jpmorgan-venture-to-disrupt-healthcare-is-disbanding-after-3-years.html</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Start w:id="364" w:name="ref-benbya2004"/>
    <w:p>
      <w:pPr>
        <w:pStyle w:val="Bibliography"/>
      </w:pPr>
      <w:r>
        <w:t xml:space="preserve">137.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63">
        <w:r>
          <w:rPr>
            <w:rStyle w:val="Hyperlink"/>
          </w:rPr>
          <w:t xml:space="preserve">https://doi.org/10.1016/j.ijinfomgt.2003.12.012</w:t>
        </w:r>
      </w:hyperlink>
    </w:p>
    <w:bookmarkEnd w:id="364"/>
    <w:bookmarkEnd w:id="365"/>
    <w:bookmarkEnd w:id="366"/>
    <w:bookmarkStart w:id="373" w:name="appendices"/>
    <w:p>
      <w:pPr>
        <w:pStyle w:val="Heading1"/>
      </w:pPr>
      <w:r>
        <w:rPr>
          <w:rStyle w:val="SectionNumber"/>
        </w:rPr>
        <w:t xml:space="preserve">15</w:t>
      </w:r>
      <w:r>
        <w:tab/>
      </w:r>
      <w:r>
        <w:t xml:space="preserve">Appendices</w:t>
      </w:r>
    </w:p>
    <w:bookmarkStart w:id="367"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7"/>
    <w:bookmarkStart w:id="368"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8"/>
    <w:bookmarkStart w:id="372" w:name="Xbfd30549e6247e2f3e5132a039875af0e2849bb"/>
    <w:p>
      <w:pPr>
        <w:pStyle w:val="Heading2"/>
      </w:pPr>
      <w:r>
        <w:rPr>
          <w:rStyle w:val="SectionNumber"/>
        </w:rPr>
        <w:t xml:space="preserve">15.3</w:t>
      </w:r>
      <w:r>
        <w:tab/>
      </w:r>
      <w:r>
        <w:t xml:space="preserve">Appendix C: Healthcare NL2SQL Query Examples</w:t>
      </w:r>
    </w:p>
    <w:bookmarkStart w:id="369"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9"/>
    <w:bookmarkStart w:id="370"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70"/>
    <w:bookmarkStart w:id="371"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71"/>
    <w:bookmarkEnd w:id="372"/>
    <w:bookmarkEnd w:id="3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7"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9" Target="https://ai.nejm.org/doi/full/10.1056/AIdbp2500144" TargetMode="External" /><Relationship Type="http://schemas.openxmlformats.org/officeDocument/2006/relationships/hyperlink" Id="rId265"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5" Target="https://arxiv.org/abs/1908.01839" TargetMode="External" /><Relationship Type="http://schemas.openxmlformats.org/officeDocument/2006/relationships/hyperlink" Id="rId257"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9" Target="https://arxiv.org/abs/2411.05521" TargetMode="External" /><Relationship Type="http://schemas.openxmlformats.org/officeDocument/2006/relationships/hyperlink" Id="rId247" Target="https://arxiv.org/abs/2505.08775" TargetMode="External" /><Relationship Type="http://schemas.openxmlformats.org/officeDocument/2006/relationships/hyperlink" Id="rId245" Target="https://arxiv.org/abs/2508.08224" TargetMode="External" /><Relationship Type="http://schemas.openxmlformats.org/officeDocument/2006/relationships/hyperlink" Id="rId271" Target="https://arxiv.org/abs/2511.14718" TargetMode="External" /><Relationship Type="http://schemas.openxmlformats.org/officeDocument/2006/relationships/hyperlink" Id="rId261"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3"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363"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6" Target="https://doi.org/10.1145/3670653.3670660" TargetMode="External" /><Relationship Type="http://schemas.openxmlformats.org/officeDocument/2006/relationships/hyperlink" Id="rId357" Target="https://doi.org/10.1287/inte.17.3.25" TargetMode="External" /><Relationship Type="http://schemas.openxmlformats.org/officeDocument/2006/relationships/hyperlink" Id="rId288"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8" Target="https://gisrrj.com/paper/GISRRJ236426.pdf" TargetMode="External" /><Relationship Type="http://schemas.openxmlformats.org/officeDocument/2006/relationships/hyperlink" Id="rId225"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219" Target="https://jamanetwork.com/journals/jamanetworkopen/fullarticle/2784810"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215" Target="https://journals.lww.com/jonajournal/abstract/2005/01000/the_costs_of_nurse_turnover__part_2__application.14.aspx"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296"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7"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233"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7"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9"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144" Target="https://publishing.emanresearch.org/Journal/FullText/6104" TargetMode="External" /><Relationship Type="http://schemas.openxmlformats.org/officeDocument/2006/relationships/hyperlink" Id="rId227"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3"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1" Target="https://www.diva-portal.org/smash/record.jsf?pid=diva2:1684142" TargetMode="External" /><Relationship Type="http://schemas.openxmlformats.org/officeDocument/2006/relationships/hyperlink" Id="rId239" Target="https://www.emerald.com/insight/content/doi/10.1108/13673270610650067/full/html" TargetMode="External" /><Relationship Type="http://schemas.openxmlformats.org/officeDocument/2006/relationships/hyperlink" Id="rId302" Target="https://www.emerald.com/insight/content/doi/10.1108/JKM-03-2024-0262/full/html" TargetMode="External" /><Relationship Type="http://schemas.openxmlformats.org/officeDocument/2006/relationships/hyperlink" Id="rId279" Target="https://www.frontiersin.org/articles/10.3389/fdata.2024.1371680" TargetMode="External" /><Relationship Type="http://schemas.openxmlformats.org/officeDocument/2006/relationships/hyperlink" Id="rId300"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3"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2"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53"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51" Target="https://www.nature.com/articles/s41746-024-01390-4" TargetMode="External" /><Relationship Type="http://schemas.openxmlformats.org/officeDocument/2006/relationships/hyperlink" Id="rId223"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1"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1"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35"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63"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4"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5" Target="https://www.sciencedirect.com/science/article/pii/S1532046414001592" TargetMode="External" /><Relationship Type="http://schemas.openxmlformats.org/officeDocument/2006/relationships/hyperlink" Id="rId269" Target="https://www.sciencedirect.com/science/article/pii/S1532046424000650" TargetMode="External" /><Relationship Type="http://schemas.openxmlformats.org/officeDocument/2006/relationships/hyperlink" Id="rId241"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7"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9" Target="https://ai.nejm.org/doi/full/10.1056/AIdbp2500144" TargetMode="External" /><Relationship Type="http://schemas.openxmlformats.org/officeDocument/2006/relationships/hyperlink" Id="rId265"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5" Target="https://arxiv.org/abs/1908.01839" TargetMode="External" /><Relationship Type="http://schemas.openxmlformats.org/officeDocument/2006/relationships/hyperlink" Id="rId257"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9" Target="https://arxiv.org/abs/2411.05521" TargetMode="External" /><Relationship Type="http://schemas.openxmlformats.org/officeDocument/2006/relationships/hyperlink" Id="rId247" Target="https://arxiv.org/abs/2505.08775" TargetMode="External" /><Relationship Type="http://schemas.openxmlformats.org/officeDocument/2006/relationships/hyperlink" Id="rId245" Target="https://arxiv.org/abs/2508.08224" TargetMode="External" /><Relationship Type="http://schemas.openxmlformats.org/officeDocument/2006/relationships/hyperlink" Id="rId271" Target="https://arxiv.org/abs/2511.14718" TargetMode="External" /><Relationship Type="http://schemas.openxmlformats.org/officeDocument/2006/relationships/hyperlink" Id="rId261"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3"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363"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6" Target="https://doi.org/10.1145/3670653.3670660" TargetMode="External" /><Relationship Type="http://schemas.openxmlformats.org/officeDocument/2006/relationships/hyperlink" Id="rId357" Target="https://doi.org/10.1287/inte.17.3.25" TargetMode="External" /><Relationship Type="http://schemas.openxmlformats.org/officeDocument/2006/relationships/hyperlink" Id="rId288"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8" Target="https://gisrrj.com/paper/GISRRJ236426.pdf" TargetMode="External" /><Relationship Type="http://schemas.openxmlformats.org/officeDocument/2006/relationships/hyperlink" Id="rId225"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219" Target="https://jamanetwork.com/journals/jamanetworkopen/fullarticle/2784810"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215" Target="https://journals.lww.com/jonajournal/abstract/2005/01000/the_costs_of_nurse_turnover__part_2__application.14.aspx"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296"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7"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233"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7"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9"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144" Target="https://publishing.emanresearch.org/Journal/FullText/6104" TargetMode="External" /><Relationship Type="http://schemas.openxmlformats.org/officeDocument/2006/relationships/hyperlink" Id="rId227"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3"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1" Target="https://www.diva-portal.org/smash/record.jsf?pid=diva2:1684142" TargetMode="External" /><Relationship Type="http://schemas.openxmlformats.org/officeDocument/2006/relationships/hyperlink" Id="rId239" Target="https://www.emerald.com/insight/content/doi/10.1108/13673270610650067/full/html" TargetMode="External" /><Relationship Type="http://schemas.openxmlformats.org/officeDocument/2006/relationships/hyperlink" Id="rId302" Target="https://www.emerald.com/insight/content/doi/10.1108/JKM-03-2024-0262/full/html" TargetMode="External" /><Relationship Type="http://schemas.openxmlformats.org/officeDocument/2006/relationships/hyperlink" Id="rId279" Target="https://www.frontiersin.org/articles/10.3389/fdata.2024.1371680" TargetMode="External" /><Relationship Type="http://schemas.openxmlformats.org/officeDocument/2006/relationships/hyperlink" Id="rId300"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3"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2"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53"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51" Target="https://www.nature.com/articles/s41746-024-01390-4" TargetMode="External" /><Relationship Type="http://schemas.openxmlformats.org/officeDocument/2006/relationships/hyperlink" Id="rId223"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1"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1"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35"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63"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4"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5" Target="https://www.sciencedirect.com/science/article/pii/S1532046414001592" TargetMode="External" /><Relationship Type="http://schemas.openxmlformats.org/officeDocument/2006/relationships/hyperlink" Id="rId269" Target="https://www.sciencedirect.com/science/article/pii/S1532046424000650" TargetMode="External" /><Relationship Type="http://schemas.openxmlformats.org/officeDocument/2006/relationships/hyperlink" Id="rId241"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2026-01-12T22:12:31Z</dcterms:created>
  <dcterms:modified xsi:type="dcterms:W3CDTF">2026-01-12T22:12:31Z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