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convergence of challenges that affect their ability to leverage data for improved patient outcomes and operational efficiency. This research examines evidence across three interconnected domains: persistently low healthcare analytics maturity, significant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was measured at 34% (as of 2004) [A10]—the highest among IT sectors at that time—creating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This review identifies an analytical framework connecting these challenges. The three-pillar model presented herein offers healthcare organizations a structured approach for assessing their analytics capabilities, workforce knowledge vulnerabilities, and technical barriers to data access.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[A10]—the highest rate among all IT organization types studied at that time—creating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potentially in patient care quality. Organizations continue investing in analytics infrastructure while struggling to realize value from their data assets. Analytics maturity gaps may lead to suboptimal clinical decisions that affect patient outcomes. Workforce turnover causes loss of institutional knowledge relevant to care continuity. Technical barriers prevent clinical staff from answering care-focused questions with data. These three interconnected challenges represent operational inefficiencies with potential implications for healthcare delivery.</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p>
      <w:pPr>
        <w:pStyle w:val="BodyText"/>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PubMed/MEDLINE</w:t>
            </w:r>
          </w:p>
        </w:tc>
        <w:tc>
          <w:tcPr/>
          <w:p>
            <w:pPr>
              <w:pStyle w:val="Compact"/>
              <w:jc w:val="left"/>
            </w:pPr>
            <w:r>
              <w:t xml:space="preserve">(</w:t>
            </w:r>
            <w:r>
              <w:t xml:space="preserve">“</w:t>
            </w:r>
            <w:r>
              <w:t xml:space="preserve">natural language processing</w:t>
            </w:r>
            <w:r>
              <w:t xml:space="preserve">”</w:t>
            </w:r>
            <w:r>
              <w:t xml:space="preserve"> </w:t>
            </w:r>
            <w:r>
              <w:t xml:space="preserve">OR</w:t>
            </w:r>
            <w:r>
              <w:t xml:space="preserve"> </w:t>
            </w:r>
            <w:r>
              <w:t xml:space="preserve">“</w:t>
            </w:r>
            <w:r>
              <w:t xml:space="preserve">NLP</w:t>
            </w:r>
            <w:r>
              <w:t xml:space="preserve">”</w:t>
            </w:r>
            <w:r>
              <w:t xml:space="preserve">) AND (</w:t>
            </w:r>
            <w:r>
              <w:t xml:space="preserve">“</w:t>
            </w:r>
            <w:r>
              <w:t xml:space="preserve">healthcare</w:t>
            </w:r>
            <w:r>
              <w:t xml:space="preserve">”</w:t>
            </w:r>
            <w:r>
              <w:t xml:space="preserve"> </w:t>
            </w:r>
            <w:r>
              <w:t xml:space="preserve">OR</w:t>
            </w:r>
            <w:r>
              <w:t xml:space="preserve"> </w:t>
            </w:r>
            <w:r>
              <w:t xml:space="preserve">“</w:t>
            </w:r>
            <w:r>
              <w:t xml:space="preserve">clinical</w:t>
            </w:r>
            <w:r>
              <w:t xml:space="preserve">”</w:t>
            </w:r>
            <w:r>
              <w:t xml:space="preserve">) AND (</w:t>
            </w:r>
            <w:r>
              <w:t xml:space="preserve">“</w:t>
            </w:r>
            <w:r>
              <w:t xml:space="preserve">analytics</w:t>
            </w:r>
            <w:r>
              <w:t xml:space="preserve">”</w:t>
            </w:r>
            <w:r>
              <w:t xml:space="preserve"> </w:t>
            </w:r>
            <w:r>
              <w:t xml:space="preserve">OR</w:t>
            </w:r>
            <w:r>
              <w:t xml:space="preserve"> </w:t>
            </w:r>
            <w:r>
              <w:t xml:space="preserve">“</w:t>
            </w:r>
            <w:r>
              <w:t xml:space="preserve">SQL</w:t>
            </w:r>
            <w:r>
              <w:t xml:space="preserve">”</w:t>
            </w:r>
            <w:r>
              <w:t xml:space="preserve">)</w:t>
            </w:r>
          </w:p>
        </w:tc>
        <w:tc>
          <w:tcPr/>
          <w:p>
            <w:pPr>
              <w:pStyle w:val="Compact"/>
              <w:jc w:val="left"/>
            </w:pPr>
            <w:r>
              <w:t xml:space="preserve">2015-2024</w:t>
            </w:r>
          </w:p>
        </w:tc>
        <w:tc>
          <w:tcPr/>
          <w:p>
            <w:pPr>
              <w:pStyle w:val="Compact"/>
              <w:jc w:val="left"/>
            </w:pPr>
            <w:r>
              <w:t xml:space="preserve">~120</w:t>
            </w:r>
          </w:p>
        </w:tc>
        <w:tc>
          <w:tcPr/>
          <w:p>
            <w:pPr>
              <w:pStyle w:val="Compact"/>
              <w:jc w:val="left"/>
            </w:pPr>
            <w:r>
              <w:t xml:space="preserve">12</w:t>
            </w:r>
          </w:p>
        </w:tc>
      </w:tr>
      <w:tr>
        <w:tc>
          <w:tcPr/>
          <w:p>
            <w:pPr>
              <w:pStyle w:val="Compact"/>
              <w:jc w:val="left"/>
            </w:pPr>
            <w:r>
              <w:t xml:space="preserve">IEEE Xplore</w:t>
            </w:r>
          </w:p>
        </w:tc>
        <w:tc>
          <w:tcPr/>
          <w:p>
            <w:pPr>
              <w:pStyle w:val="Compact"/>
              <w:jc w:val="left"/>
            </w:pPr>
            <w:r>
              <w:t xml:space="preserve">“</w:t>
            </w:r>
            <w:r>
              <w:t xml:space="preserve">text-to-SQL</w:t>
            </w:r>
            <w:r>
              <w:t xml:space="preserve">”</w:t>
            </w:r>
            <w:r>
              <w:t xml:space="preserve"> </w:t>
            </w:r>
            <w:r>
              <w:t xml:space="preserve">AND (</w:t>
            </w:r>
            <w:r>
              <w:t xml:space="preserve">“</w:t>
            </w:r>
            <w:r>
              <w:t xml:space="preserve">healthcare</w:t>
            </w:r>
            <w:r>
              <w:t xml:space="preserve">”</w:t>
            </w:r>
            <w:r>
              <w:t xml:space="preserve"> </w:t>
            </w:r>
            <w:r>
              <w:t xml:space="preserve">OR</w:t>
            </w:r>
            <w:r>
              <w:t xml:space="preserve"> </w:t>
            </w:r>
            <w:r>
              <w:t xml:space="preserve">“</w:t>
            </w:r>
            <w:r>
              <w:t xml:space="preserve">medical</w:t>
            </w:r>
            <w:r>
              <w:t xml:space="preserve">”</w:t>
            </w:r>
            <w:r>
              <w:t xml:space="preserve"> </w:t>
            </w:r>
            <w:r>
              <w:t xml:space="preserve">OR</w:t>
            </w:r>
            <w:r>
              <w:t xml:space="preserve"> </w:t>
            </w:r>
            <w:r>
              <w:t xml:space="preserve">“</w:t>
            </w:r>
            <w:r>
              <w:t xml:space="preserve">clinical</w:t>
            </w:r>
            <w:r>
              <w:t xml:space="preserve">”</w:t>
            </w:r>
            <w:r>
              <w:t xml:space="preserve">)</w:t>
            </w:r>
          </w:p>
        </w:tc>
        <w:tc>
          <w:tcPr/>
          <w:p>
            <w:pPr>
              <w:pStyle w:val="Compact"/>
              <w:jc w:val="left"/>
            </w:pPr>
            <w:r>
              <w:t xml:space="preserve">2015-2024</w:t>
            </w:r>
          </w:p>
        </w:tc>
        <w:tc>
          <w:tcPr/>
          <w:p>
            <w:pPr>
              <w:pStyle w:val="Compact"/>
              <w:jc w:val="left"/>
            </w:pPr>
            <w:r>
              <w:t xml:space="preserve">~45</w:t>
            </w:r>
          </w:p>
        </w:tc>
        <w:tc>
          <w:tcPr/>
          <w:p>
            <w:pPr>
              <w:pStyle w:val="Compact"/>
              <w:jc w:val="left"/>
            </w:pPr>
            <w:r>
              <w:t xml:space="preserve">8</w:t>
            </w:r>
          </w:p>
        </w:tc>
      </w:tr>
      <w:tr>
        <w:tc>
          <w:tcPr/>
          <w:p>
            <w:pPr>
              <w:pStyle w:val="Compact"/>
              <w:jc w:val="left"/>
            </w:pPr>
            <w:r>
              <w:t xml:space="preserve">ACM Digital Library</w:t>
            </w:r>
          </w:p>
        </w:tc>
        <w:tc>
          <w:tcPr/>
          <w:p>
            <w:pPr>
              <w:pStyle w:val="Compact"/>
              <w:jc w:val="left"/>
            </w:pPr>
            <w:r>
              <w:t xml:space="preserve">“</w:t>
            </w:r>
            <w:r>
              <w:t xml:space="preserve">natural language</w:t>
            </w:r>
            <w:r>
              <w:t xml:space="preserve">”</w:t>
            </w:r>
            <w:r>
              <w:t xml:space="preserve"> </w:t>
            </w:r>
            <w:r>
              <w:t xml:space="preserve">AND</w:t>
            </w:r>
            <w:r>
              <w:t xml:space="preserve"> </w:t>
            </w:r>
            <w:r>
              <w:t xml:space="preserve">“</w:t>
            </w:r>
            <w:r>
              <w:t xml:space="preserve">SQL</w:t>
            </w:r>
            <w:r>
              <w:t xml:space="preserve">”</w:t>
            </w:r>
            <w:r>
              <w:t xml:space="preserve"> </w:t>
            </w:r>
            <w:r>
              <w:t xml:space="preserve">AND</w:t>
            </w:r>
            <w:r>
              <w:t xml:space="preserve"> </w:t>
            </w:r>
            <w:r>
              <w:t xml:space="preserve">“</w:t>
            </w:r>
            <w:r>
              <w:t xml:space="preserve">healthcare</w:t>
            </w:r>
            <w:r>
              <w:t xml:space="preserve">”</w:t>
            </w:r>
          </w:p>
        </w:tc>
        <w:tc>
          <w:tcPr/>
          <w:p>
            <w:pPr>
              <w:pStyle w:val="Compact"/>
              <w:jc w:val="left"/>
            </w:pPr>
            <w:r>
              <w:t xml:space="preserve">2015-2024</w:t>
            </w:r>
          </w:p>
        </w:tc>
        <w:tc>
          <w:tcPr/>
          <w:p>
            <w:pPr>
              <w:pStyle w:val="Compact"/>
              <w:jc w:val="left"/>
            </w:pPr>
            <w:r>
              <w:t xml:space="preserve">~30</w:t>
            </w:r>
          </w:p>
        </w:tc>
        <w:tc>
          <w:tcPr/>
          <w:p>
            <w:pPr>
              <w:pStyle w:val="Compact"/>
              <w:jc w:val="left"/>
            </w:pPr>
            <w:r>
              <w:t xml:space="preserve">5</w:t>
            </w:r>
          </w:p>
        </w:tc>
      </w:tr>
      <w:tr>
        <w:tc>
          <w:tcPr/>
          <w:p>
            <w:pPr>
              <w:pStyle w:val="Compact"/>
              <w:jc w:val="left"/>
            </w:pPr>
            <w:r>
              <w:t xml:space="preserve">arXiv (cs.CL, cs.DB)</w:t>
            </w:r>
          </w:p>
        </w:tc>
        <w:tc>
          <w:tcPr/>
          <w:p>
            <w:pPr>
              <w:pStyle w:val="Compact"/>
              <w:jc w:val="left"/>
            </w:pPr>
            <w:r>
              <w:t xml:space="preserve">“</w:t>
            </w:r>
            <w:r>
              <w:t xml:space="preserve">healthcare</w:t>
            </w:r>
            <w:r>
              <w:t xml:space="preserve">”</w:t>
            </w:r>
            <w:r>
              <w:t xml:space="preserve"> </w:t>
            </w:r>
            <w:r>
              <w:t xml:space="preserve">AND (</w:t>
            </w:r>
            <w:r>
              <w:t xml:space="preserve">“</w:t>
            </w:r>
            <w:r>
              <w:t xml:space="preserve">text-to-SQL</w:t>
            </w:r>
            <w:r>
              <w:t xml:space="preserve">”</w:t>
            </w:r>
            <w:r>
              <w:t xml:space="preserve"> </w:t>
            </w:r>
            <w:r>
              <w:t xml:space="preserve">OR</w:t>
            </w:r>
            <w:r>
              <w:t xml:space="preserve"> </w:t>
            </w:r>
            <w:r>
              <w:t xml:space="preserve">“</w:t>
            </w:r>
            <w:r>
              <w:t xml:space="preserve">NL2SQL</w:t>
            </w:r>
            <w:r>
              <w:t xml:space="preserve">”</w:t>
            </w:r>
            <w:r>
              <w:t xml:space="preserve">)</w:t>
            </w:r>
          </w:p>
        </w:tc>
        <w:tc>
          <w:tcPr/>
          <w:p>
            <w:pPr>
              <w:pStyle w:val="Compact"/>
              <w:jc w:val="left"/>
            </w:pPr>
            <w:r>
              <w:t xml:space="preserve">2020-2024</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Google Scholar</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p>
        </w:tc>
        <w:tc>
          <w:tcPr/>
          <w:p>
            <w:pPr>
              <w:pStyle w:val="Compact"/>
              <w:jc w:val="left"/>
            </w:pPr>
            <w:r>
              <w:t xml:space="preserve">2015-2024</w:t>
            </w:r>
          </w:p>
        </w:tc>
        <w:tc>
          <w:tcPr/>
          <w:p>
            <w:pPr>
              <w:pStyle w:val="Compact"/>
              <w:jc w:val="left"/>
            </w:pPr>
            <w:r>
              <w:t xml:space="preserve">~200</w:t>
            </w:r>
          </w:p>
        </w:tc>
        <w:tc>
          <w:tcPr/>
          <w:p>
            <w:pPr>
              <w:pStyle w:val="Compact"/>
              <w:jc w:val="left"/>
            </w:pPr>
            <w:r>
              <w:t xml:space="preserve">8</w:t>
            </w:r>
          </w:p>
        </w:tc>
      </w:tr>
      <w:tr>
        <w:tc>
          <w:tcPr/>
          <w:p>
            <w:pPr>
              <w:pStyle w:val="Compact"/>
              <w:jc w:val="left"/>
            </w:pPr>
            <w:r>
              <w:t xml:space="preserve">Google Scholar</w:t>
            </w:r>
          </w:p>
        </w:tc>
        <w:tc>
          <w:tcPr/>
          <w:p>
            <w:pPr>
              <w:pStyle w:val="Compact"/>
              <w:jc w:val="left"/>
            </w:pPr>
            <w:r>
              <w:t xml:space="preserve">“</w:t>
            </w:r>
            <w:r>
              <w:t xml:space="preserve">nursing turnover</w:t>
            </w:r>
            <w:r>
              <w:t xml:space="preserve">”</w:t>
            </w:r>
            <w:r>
              <w:t xml:space="preserve"> </w:t>
            </w:r>
            <w:r>
              <w:t xml:space="preserve">OR</w:t>
            </w:r>
            <w:r>
              <w:t xml:space="preserve"> </w:t>
            </w:r>
            <w:r>
              <w:t xml:space="preserve">“</w:t>
            </w:r>
            <w:r>
              <w:t xml:space="preserve">healthcare IT turnover</w:t>
            </w:r>
            <w:r>
              <w:t xml:space="preserve">”</w:t>
            </w:r>
          </w:p>
        </w:tc>
        <w:tc>
          <w:tcPr/>
          <w:p>
            <w:pPr>
              <w:pStyle w:val="Compact"/>
              <w:jc w:val="left"/>
            </w:pPr>
            <w:r>
              <w:t xml:space="preserve">2004-2024</w:t>
            </w:r>
          </w:p>
        </w:tc>
        <w:tc>
          <w:tcPr/>
          <w:p>
            <w:pPr>
              <w:pStyle w:val="Compact"/>
              <w:jc w:val="left"/>
            </w:pPr>
            <w:r>
              <w:t xml:space="preserve">~150</w:t>
            </w:r>
          </w:p>
        </w:tc>
        <w:tc>
          <w:tcPr/>
          <w:p>
            <w:pPr>
              <w:pStyle w:val="Compact"/>
              <w:jc w:val="left"/>
            </w:pPr>
            <w:r>
              <w:t xml:space="preserve">4</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41</w:t>
            </w:r>
          </w:p>
        </w:tc>
      </w:tr>
    </w:tbl>
    <w:p>
      <w:pPr>
        <w:pStyle w:val="BodyText"/>
      </w:pPr>
      <w:r>
        <w:rPr>
          <w:i/>
          <w:iCs/>
        </w:rPr>
        <w:t xml:space="preserve">Note: Counts are approximate; exact numbers varied due to iterative search refinement. Final corpus includes 30 academic and 11 industry sources.</w:t>
      </w:r>
    </w:p>
    <w:p>
      <w:pPr>
        <w:pStyle w:val="BodyText"/>
      </w:pPr>
      <w:r>
        <w:t xml:space="preserve">Figure 1 illustrates the literature selection process, showing progression from initial database search through screening and quality assessment to the final corpus of 41 sources.</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grey-literature-quality-assessment"/>
    <w:p>
      <w:pPr>
        <w:pStyle w:val="Heading2"/>
      </w:pPr>
      <w:r>
        <w:rPr>
          <w:rStyle w:val="SectionNumber"/>
        </w:rPr>
        <w:t xml:space="preserve">3.5</w:t>
      </w:r>
      <w:r>
        <w:tab/>
      </w:r>
      <w:r>
        <w:t xml:space="preserve">Grey Literature Quality Assessment</w:t>
      </w:r>
    </w:p>
    <w:p>
      <w:pPr>
        <w:pStyle w:val="FirstParagraph"/>
      </w:pPr>
      <w:r>
        <w:t xml:space="preserve">Grey literature sources were assessed using the AACODS checklist (Tyndall, 2010) [A30], which evaluates Authority, Accuracy, Coverage, Objectivity, Date, and Significance. Sources with vendor sponsorship were retained when no independent alternative existed but flagged in-text. Table 1 summarizes the assessment.</w:t>
      </w:r>
    </w:p>
    <w:p>
      <w:pPr>
        <w:pStyle w:val="BodyText"/>
      </w:pPr>
      <w:r>
        <w:rPr>
          <w:b/>
          <w:bCs/>
        </w:rPr>
        <w:t xml:space="preserve">Table 1: AACODS Assessment of Industry Sources</w:t>
      </w:r>
    </w:p>
    <w:tbl>
      <w:tblPr>
        <w:tblStyle w:val="Table"/>
        <w:tblW w:type="pct" w:w="5000"/>
        <w:jc w:val="left"/>
        <w:tblLayout w:type="fixed"/>
        <w:tblLook w:firstRow="1" w:lastRow="0" w:firstColumn="0" w:lastColumn="0" w:noHBand="0" w:noVBand="0" w:val="0020"/>
      </w:tblPr>
      <w:tblGrid>
        <w:gridCol w:w="782"/>
        <w:gridCol w:w="1075"/>
        <w:gridCol w:w="977"/>
        <w:gridCol w:w="977"/>
        <w:gridCol w:w="1271"/>
        <w:gridCol w:w="586"/>
        <w:gridCol w:w="1368"/>
        <w:gridCol w:w="880"/>
      </w:tblGrid>
      <w:tr>
        <w:trPr>
          <w:tblHeader w:val="on"/>
        </w:trPr>
        <w:tc>
          <w:tcPr/>
          <w:p>
            <w:pPr>
              <w:pStyle w:val="Compact"/>
              <w:jc w:val="left"/>
            </w:pPr>
            <w:r>
              <w:t xml:space="preserve">Source</w:t>
            </w:r>
          </w:p>
        </w:tc>
        <w:tc>
          <w:tcPr/>
          <w:p>
            <w:pPr>
              <w:pStyle w:val="Compact"/>
              <w:jc w:val="left"/>
            </w:pPr>
            <w:r>
              <w:t xml:space="preserve">Authority</w:t>
            </w:r>
          </w:p>
        </w:tc>
        <w:tc>
          <w:tcPr/>
          <w:p>
            <w:pPr>
              <w:pStyle w:val="Compact"/>
              <w:jc w:val="left"/>
            </w:pPr>
            <w:r>
              <w:t xml:space="preserve">Accuracy</w:t>
            </w:r>
          </w:p>
        </w:tc>
        <w:tc>
          <w:tcPr/>
          <w:p>
            <w:pPr>
              <w:pStyle w:val="Compact"/>
              <w:jc w:val="left"/>
            </w:pPr>
            <w:r>
              <w:t xml:space="preserve">Coverage</w:t>
            </w:r>
          </w:p>
        </w:tc>
        <w:tc>
          <w:tcPr/>
          <w:p>
            <w:pPr>
              <w:pStyle w:val="Compact"/>
              <w:jc w:val="left"/>
            </w:pPr>
            <w:r>
              <w:t xml:space="preserve">Objectivity</w:t>
            </w:r>
          </w:p>
        </w:tc>
        <w:tc>
          <w:tcPr/>
          <w:p>
            <w:pPr>
              <w:pStyle w:val="Compact"/>
              <w:jc w:val="left"/>
            </w:pPr>
            <w:r>
              <w:t xml:space="preserve">Date</w:t>
            </w:r>
          </w:p>
        </w:tc>
        <w:tc>
          <w:tcPr/>
          <w:p>
            <w:pPr>
              <w:pStyle w:val="Compact"/>
              <w:jc w:val="left"/>
            </w:pPr>
            <w:r>
              <w:t xml:space="preserve">Significance</w:t>
            </w:r>
          </w:p>
        </w:tc>
        <w:tc>
          <w:tcPr/>
          <w:p>
            <w:pPr>
              <w:pStyle w:val="Compact"/>
              <w:jc w:val="left"/>
            </w:pPr>
            <w:r>
              <w:t xml:space="preserve">Include</w:t>
            </w:r>
          </w:p>
        </w:tc>
      </w:tr>
      <w:tr>
        <w:tc>
          <w:tcPr/>
          <w:p>
            <w:pPr>
              <w:pStyle w:val="Compact"/>
              <w:jc w:val="left"/>
            </w:pPr>
            <w:r>
              <w:t xml:space="preserve">[I1] HIMSS AMAM</w:t>
            </w:r>
          </w:p>
        </w:tc>
        <w:tc>
          <w:tcPr/>
          <w:p>
            <w:pPr>
              <w:pStyle w:val="Compact"/>
              <w:jc w:val="left"/>
            </w:pPr>
            <w:r>
              <w:t xml:space="preserve">High (industry standards body)</w:t>
            </w:r>
          </w:p>
        </w:tc>
        <w:tc>
          <w:tcPr/>
          <w:p>
            <w:pPr>
              <w:pStyle w:val="Compact"/>
              <w:jc w:val="left"/>
            </w:pPr>
            <w:r>
              <w:t xml:space="preserve">Verifiable</w:t>
            </w:r>
          </w:p>
        </w:tc>
        <w:tc>
          <w:tcPr/>
          <w:p>
            <w:pPr>
              <w:pStyle w:val="Compact"/>
              <w:jc w:val="left"/>
            </w:pPr>
            <w:r>
              <w:t xml:space="preserve">Global</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[I2] Snowdon/HIMSS</w:t>
            </w:r>
          </w:p>
        </w:tc>
        <w:tc>
          <w:tcPr/>
          <w:p>
            <w:pPr>
              <w:pStyle w:val="Compact"/>
              <w:jc w:val="left"/>
            </w:pPr>
            <w:r>
              <w:t xml:space="preserve">High (HIMSS officer)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[I3] Health Catalyst</w:t>
            </w:r>
          </w:p>
        </w:tc>
        <w:tc>
          <w:tcPr/>
          <w:p>
            <w:pPr>
              <w:pStyle w:val="Compact"/>
              <w:jc w:val="left"/>
            </w:pPr>
            <w:r>
              <w:t xml:space="preserve">Medium (vendor)</w:t>
            </w:r>
          </w:p>
        </w:tc>
        <w:tc>
          <w:tcPr/>
          <w:p>
            <w:pPr>
              <w:pStyle w:val="Compact"/>
              <w:jc w:val="left"/>
            </w:pPr>
            <w:r>
              <w:t xml:space="preserve">Unverifiable</w:t>
            </w:r>
          </w:p>
        </w:tc>
        <w:tc>
          <w:tcPr/>
          <w:p>
            <w:pPr>
              <w:pStyle w:val="Compact"/>
              <w:jc w:val="left"/>
            </w:pPr>
            <w:r>
              <w:t xml:space="preserve">US</w:t>
            </w:r>
          </w:p>
        </w:tc>
        <w:tc>
          <w:tcPr/>
          <w:p>
            <w:pPr>
              <w:pStyle w:val="Compact"/>
              <w:jc w:val="left"/>
            </w:pPr>
            <w:r>
              <w:t xml:space="preserve">Low</w:t>
            </w:r>
          </w:p>
        </w:tc>
        <w:tc>
          <w:tcPr/>
          <w:p>
            <w:pPr>
              <w:pStyle w:val="Compact"/>
              <w:jc w:val="left"/>
            </w:pPr>
            <w:r>
              <w:t xml:space="preserve">2020</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[I4] Berkshire NHS</w:t>
            </w:r>
          </w:p>
        </w:tc>
        <w:tc>
          <w:tcPr/>
          <w:p>
            <w:pPr>
              <w:pStyle w:val="Compact"/>
              <w:jc w:val="left"/>
            </w:pPr>
            <w:r>
              <w:t xml:space="preserve">High (NHS trust)</w:t>
            </w:r>
          </w:p>
        </w:tc>
        <w:tc>
          <w:tcPr/>
          <w:p>
            <w:pPr>
              <w:pStyle w:val="Compact"/>
              <w:jc w:val="left"/>
            </w:pPr>
            <w:r>
              <w:t xml:space="preserve">Verifiable</w:t>
            </w:r>
          </w:p>
        </w:tc>
        <w:tc>
          <w:tcPr/>
          <w:p>
            <w:pPr>
              <w:pStyle w:val="Compact"/>
              <w:jc w:val="left"/>
            </w:pPr>
            <w:r>
              <w:t xml:space="preserve">Single site</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[I5] Forrester/Microsoft</w:t>
            </w:r>
          </w:p>
        </w:tc>
        <w:tc>
          <w:tcPr/>
          <w:p>
            <w:pPr>
              <w:pStyle w:val="Compact"/>
              <w:jc w:val="left"/>
            </w:pPr>
            <w:r>
              <w:t xml:space="preserve">Medium (analyst firm)</w:t>
            </w:r>
          </w:p>
        </w:tc>
        <w:tc>
          <w:tcPr/>
          <w:p>
            <w:pPr>
              <w:pStyle w:val="Compact"/>
              <w:jc w:val="left"/>
            </w:pPr>
            <w:r>
              <w:t xml:space="preserve">Unverifiable</w:t>
            </w:r>
          </w:p>
        </w:tc>
        <w:tc>
          <w:tcPr/>
          <w:p>
            <w:pPr>
              <w:pStyle w:val="Compact"/>
              <w:jc w:val="left"/>
            </w:pPr>
            <w:r>
              <w:t xml:space="preserve">Enterprise</w:t>
            </w:r>
          </w:p>
        </w:tc>
        <w:tc>
          <w:tcPr/>
          <w:p>
            <w:pPr>
              <w:pStyle w:val="Compact"/>
              <w:jc w:val="left"/>
            </w:pPr>
            <w:r>
              <w:t xml:space="preserve">Low (sponsor)</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[I6] Oracle</w:t>
            </w:r>
          </w:p>
        </w:tc>
        <w:tc>
          <w:tcPr/>
          <w:p>
            <w:pPr>
              <w:pStyle w:val="Compact"/>
              <w:jc w:val="left"/>
            </w:pPr>
            <w:r>
              <w:t xml:space="preserve">Low (vendor)</w:t>
            </w:r>
          </w:p>
        </w:tc>
        <w:tc>
          <w:tcPr/>
          <w:p>
            <w:pPr>
              <w:pStyle w:val="Compact"/>
              <w:jc w:val="left"/>
            </w:pPr>
            <w:r>
              <w:t xml:space="preserve">Unverifiable</w:t>
            </w:r>
          </w:p>
        </w:tc>
        <w:tc>
          <w:tcPr/>
          <w:p>
            <w:pPr>
              <w:pStyle w:val="Compact"/>
              <w:jc w:val="left"/>
            </w:pPr>
            <w:r>
              <w:t xml:space="preserve">N/A</w:t>
            </w:r>
          </w:p>
        </w:tc>
        <w:tc>
          <w:tcPr/>
          <w:p>
            <w:pPr>
              <w:pStyle w:val="Compact"/>
              <w:jc w:val="left"/>
            </w:pPr>
            <w:r>
              <w:t xml:space="preserve">Low</w:t>
            </w:r>
          </w:p>
        </w:tc>
        <w:tc>
          <w:tcPr/>
          <w:p>
            <w:pPr>
              <w:pStyle w:val="Compact"/>
              <w:jc w:val="left"/>
            </w:pPr>
            <w:r>
              <w:t xml:space="preserve">2024</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[I7] Precedence Research</w:t>
            </w:r>
          </w:p>
        </w:tc>
        <w:tc>
          <w:tcPr/>
          <w:p>
            <w:pPr>
              <w:pStyle w:val="Compact"/>
              <w:jc w:val="left"/>
            </w:pPr>
            <w:r>
              <w:t xml:space="preserve">Medium (market research)</w:t>
            </w:r>
          </w:p>
        </w:tc>
        <w:tc>
          <w:tcPr/>
          <w:p>
            <w:pPr>
              <w:pStyle w:val="Compact"/>
              <w:jc w:val="left"/>
            </w:pPr>
            <w:r>
              <w:t xml:space="preserve">Unverifiable</w:t>
            </w:r>
          </w:p>
        </w:tc>
        <w:tc>
          <w:tcPr/>
          <w:p>
            <w:pPr>
              <w:pStyle w:val="Compact"/>
              <w:jc w:val="left"/>
            </w:pPr>
            <w:r>
              <w:t xml:space="preserve">Global</w:t>
            </w:r>
          </w:p>
        </w:tc>
        <w:tc>
          <w:tcPr/>
          <w:p>
            <w:pPr>
              <w:pStyle w:val="Compact"/>
              <w:jc w:val="left"/>
            </w:pPr>
            <w:r>
              <w:t xml:space="preserve">Medium</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[I8] Anthropic</w:t>
            </w:r>
          </w:p>
        </w:tc>
        <w:tc>
          <w:tcPr/>
          <w:p>
            <w:pPr>
              <w:pStyle w:val="Compact"/>
              <w:jc w:val="left"/>
            </w:pPr>
            <w:r>
              <w:t xml:space="preserve">Medium (vendor)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Medium</w:t>
            </w:r>
          </w:p>
        </w:tc>
        <w:tc>
          <w:tcPr/>
          <w:p>
            <w:pPr>
              <w:pStyle w:val="Compact"/>
              <w:jc w:val="left"/>
            </w:pPr>
            <w:r>
              <w:t xml:space="preserve">2025</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[I9] IBM Newsroom</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2022</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[I10] CNBC/Haven</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2021</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[I11] AHIMA/NORC</w:t>
            </w:r>
          </w:p>
        </w:tc>
        <w:tc>
          <w:tcPr/>
          <w:p>
            <w:pPr>
              <w:pStyle w:val="Compact"/>
              <w:jc w:val="left"/>
            </w:pPr>
            <w:r>
              <w:t xml:space="preserve">High (professional assoc + academic)</w:t>
            </w:r>
          </w:p>
        </w:tc>
        <w:tc>
          <w:tcPr/>
          <w:p>
            <w:pPr>
              <w:pStyle w:val="Compact"/>
              <w:jc w:val="left"/>
            </w:pPr>
            <w:r>
              <w:t xml:space="preserve">Verifiable</w:t>
            </w:r>
          </w:p>
        </w:tc>
        <w:tc>
          <w:tcPr/>
          <w:p>
            <w:pPr>
              <w:pStyle w:val="Compact"/>
              <w:jc w:val="left"/>
            </w:pPr>
            <w:r>
              <w:t xml:space="preserve">US</w:t>
            </w:r>
          </w:p>
        </w:tc>
        <w:tc>
          <w:tcPr/>
          <w:p>
            <w:pPr>
              <w:pStyle w:val="Compact"/>
              <w:jc w:val="left"/>
            </w:pPr>
            <w:r>
              <w:t xml:space="preserve">High</w:t>
            </w:r>
          </w:p>
        </w:tc>
        <w:tc>
          <w:tcPr/>
          <w:p>
            <w:pPr>
              <w:pStyle w:val="Compact"/>
              <w:jc w:val="left"/>
            </w:pPr>
            <w:r>
              <w:t xml:space="preserve">2023</w:t>
            </w:r>
          </w:p>
        </w:tc>
        <w:tc>
          <w:tcPr/>
          <w:p>
            <w:pPr>
              <w:pStyle w:val="Compact"/>
              <w:jc w:val="left"/>
            </w:pPr>
            <w:r>
              <w:t xml:space="preserve">High</w:t>
            </w:r>
          </w:p>
        </w:tc>
        <w:tc>
          <w:tcPr/>
          <w:p>
            <w:pPr>
              <w:pStyle w:val="Compact"/>
              <w:jc w:val="left"/>
            </w:pPr>
            <w:r>
              <w:t xml:space="preserve">Yes</w:t>
            </w:r>
          </w:p>
        </w:tc>
      </w:tr>
    </w:tbl>
    <w:p>
      <w:pPr>
        <w:pStyle w:val="BodyText"/>
      </w:pPr>
      <w:r>
        <w:t xml:space="preserve">*Vendor sponsorship or low objectivity noted in manuscript text.</w:t>
      </w:r>
    </w:p>
    <w:bookmarkEnd w:id="37"/>
    <w:bookmarkStart w:id="38" w:name="methodological-limitations"/>
    <w:p>
      <w:pPr>
        <w:pStyle w:val="Heading2"/>
      </w:pPr>
      <w:r>
        <w:rPr>
          <w:rStyle w:val="SectionNumber"/>
        </w:rPr>
        <w:t xml:space="preserve">3.6</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0"/>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Compact"/>
        <w:numPr>
          <w:ilvl w:val="0"/>
          <w:numId w:val="1010"/>
        </w:numPr>
      </w:pPr>
      <w:r>
        <w:rPr>
          <w:b/>
          <w:bCs/>
        </w:rPr>
        <w:t xml:space="preserve">Dated workforce statistics</w:t>
      </w:r>
      <w:r>
        <w:t xml:space="preserve">: The primary healthcare IT turnover statistic (34% annually) derives from Ang and Slaughter’s 2004 study [A10]. While recent surveys [I11] confirm workforce challenges persist, the specific turnover rate may no longer accurately reflect current conditions. Updated empirical research measuring contemporary healthcare IT turnover rates would strengthen this analysis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4</w:t>
      </w:r>
      <w:r>
        <w:tab/>
      </w:r>
      <w:r>
        <w:t xml:space="preserve">Framework Development and Validation</w:t>
      </w:r>
    </w:p>
    <w:p>
      <w:pPr>
        <w:pStyle w:val="FirstParagraph"/>
      </w:pPr>
      <w:r>
        <w:t xml:space="preserve">This paper’s primary contribution is the three-pillar analytical framework for understanding healthcare analytics challenges. This section documents the framework’s development process and theoretical grounding.</w:t>
      </w:r>
    </w:p>
    <w:bookmarkStart w:id="40" w:name="framework-development-process"/>
    <w:p>
      <w:pPr>
        <w:pStyle w:val="Heading2"/>
      </w:pPr>
      <w:r>
        <w:rPr>
          <w:rStyle w:val="SectionNumber"/>
        </w:rPr>
        <w:t xml:space="preserve">4.1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nursing turnover meta-analyses,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1"/>
        </w:numPr>
      </w:pPr>
      <w:r>
        <w:rPr>
          <w:b/>
          <w:bCs/>
        </w:rPr>
        <w:t xml:space="preserve">Theme Extraction</w:t>
      </w:r>
      <w:r>
        <w:t xml:space="preserve">: Systematic coding of 41 sources identified recurring themes across technical, organizational, and workforce dimensions</w:t>
      </w:r>
    </w:p>
    <w:p>
      <w:pPr>
        <w:pStyle w:val="Compact"/>
        <w:numPr>
          <w:ilvl w:val="0"/>
          <w:numId w:val="1011"/>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1"/>
        </w:numPr>
      </w:pPr>
      <w:r>
        <w:rPr>
          <w:b/>
          <w:bCs/>
        </w:rPr>
        <w:t xml:space="preserve">Pillar Identification</w:t>
      </w:r>
      <w:r>
        <w:t xml:space="preserve">: Three orthogonal yet interconnected dimensions emerged as the organizing structure:</w:t>
      </w:r>
    </w:p>
    <w:p>
      <w:pPr>
        <w:pStyle w:val="Compact"/>
        <w:numPr>
          <w:ilvl w:val="1"/>
          <w:numId w:val="1012"/>
        </w:numPr>
      </w:pPr>
      <w:r>
        <w:rPr>
          <w:b/>
          <w:bCs/>
        </w:rPr>
        <w:t xml:space="preserve">Analytics Maturity</w:t>
      </w:r>
      <w:r>
        <w:t xml:space="preserve">: Organizational capability progression measured against HIMSS AMAM stages</w:t>
      </w:r>
    </w:p>
    <w:p>
      <w:pPr>
        <w:pStyle w:val="Compact"/>
        <w:numPr>
          <w:ilvl w:val="1"/>
          <w:numId w:val="1012"/>
        </w:numPr>
      </w:pPr>
      <w:r>
        <w:rPr>
          <w:b/>
          <w:bCs/>
        </w:rPr>
        <w:t xml:space="preserve">Workforce Dynamics</w:t>
      </w:r>
      <w:r>
        <w:t xml:space="preserve">: Human capital retention and tacit knowledge preservation</w:t>
      </w:r>
    </w:p>
    <w:p>
      <w:pPr>
        <w:pStyle w:val="Compact"/>
        <w:numPr>
          <w:ilvl w:val="1"/>
          <w:numId w:val="1012"/>
        </w:numPr>
      </w:pPr>
      <w:r>
        <w:rPr>
          <w:b/>
          <w:bCs/>
        </w:rPr>
        <w:t xml:space="preserve">Technical Barriers</w:t>
      </w:r>
      <w:r>
        <w:t xml:space="preserve">: NL2SQL capabilities and healthcare-specific implementation challenges</w:t>
      </w:r>
    </w:p>
    <w:p>
      <w:pPr>
        <w:pStyle w:val="Compact"/>
        <w:numPr>
          <w:ilvl w:val="0"/>
          <w:numId w:val="1011"/>
        </w:numPr>
      </w:pPr>
      <w:r>
        <w:rPr>
          <w:b/>
          <w:bCs/>
        </w:rPr>
        <w:t xml:space="preserve">Framework Validation</w:t>
      </w:r>
      <w:r>
        <w:t xml:space="preserve">: Pillar structure tested against all 41 sources to confirm comprehensive coverage without significant gaps</w:t>
      </w:r>
    </w:p>
    <w:bookmarkEnd w:id="40"/>
    <w:bookmarkStart w:id="41" w:name="theoretical-grounding"/>
    <w:p>
      <w:pPr>
        <w:pStyle w:val="Heading2"/>
      </w:pPr>
      <w:r>
        <w:rPr>
          <w:rStyle w:val="SectionNumber"/>
        </w:rPr>
        <w:t xml:space="preserve">4.2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rPr>
          <w:b/>
          <w:bCs/>
        </w:rPr>
        <w:t xml:space="preserve">Table 3: Framework Alignment with Established Models</w:t>
      </w:r>
    </w:p>
    <w:tbl>
      <w:tblPr>
        <w:tblStyle w:val="Table"/>
        <w:tblW w:type="pct" w:w="5000"/>
        <w:jc w:val="left"/>
        <w:tblLayout w:type="fixed"/>
        <w:tblLook w:firstRow="1" w:lastRow="0" w:firstColumn="0" w:lastColumn="0" w:noHBand="0" w:noVBand="0" w:val="0020"/>
      </w:tblPr>
      <w:tblGrid>
        <w:gridCol w:w="1584"/>
        <w:gridCol w:w="2323"/>
        <w:gridCol w:w="1689"/>
        <w:gridCol w:w="2323"/>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Dynamics</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Barriers</w:t>
            </w:r>
          </w:p>
        </w:tc>
        <w:tc>
          <w:tcPr/>
          <w:p>
            <w:pPr>
              <w:pStyle w:val="Compact"/>
              <w:jc w:val="left"/>
            </w:pPr>
            <w:r>
              <w:t xml:space="preserve">Stage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4.3</w:t>
      </w:r>
      <w:r>
        <w:tab/>
      </w:r>
      <w:r>
        <w:t xml:space="preserve">Framework Scope and Limitations</w:t>
      </w:r>
    </w:p>
    <w:p>
      <w:pPr>
        <w:pStyle w:val="FirstParagraph"/>
      </w:pPr>
      <w:r>
        <w:t xml:space="preserve">The framework is descriptive rather than prescriptive—it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68" w:name="X85f1c6778b7ce1289d057c0d7f7b4fecbd614f8"/>
    <w:p>
      <w:pPr>
        <w:pStyle w:val="Heading1"/>
      </w:pPr>
      <w:r>
        <w:rPr>
          <w:rStyle w:val="SectionNumber"/>
        </w:rPr>
        <w:t xml:space="preserve">5</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5.1</w:t>
      </w:r>
      <w:r>
        <w:tab/>
      </w:r>
      <w:r>
        <w:t xml:space="preserve">1. Current State of Natural Language to SQL Generation</w:t>
      </w:r>
    </w:p>
    <w:bookmarkStart w:id="44" w:name="evolution-and-technical-advances"/>
    <w:p>
      <w:pPr>
        <w:pStyle w:val="Heading3"/>
      </w:pPr>
      <w:r>
        <w:rPr>
          <w:rStyle w:val="SectionNumber"/>
        </w:rPr>
        <w:t xml:space="preserve">5.1.1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4"/>
    <w:bookmarkStart w:id="45" w:name="healthcare-specific-challenges"/>
    <w:p>
      <w:pPr>
        <w:pStyle w:val="Heading3"/>
      </w:pPr>
      <w:r>
        <w:rPr>
          <w:rStyle w:val="SectionNumber"/>
        </w:rPr>
        <w:t xml:space="preserve">5.1.2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5.1.3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6"/>
    <w:bookmarkEnd w:id="47"/>
    <w:bookmarkStart w:id="51" w:name="state-of-healthcare-analytics-maturity"/>
    <w:p>
      <w:pPr>
        <w:pStyle w:val="Heading2"/>
      </w:pPr>
      <w:r>
        <w:rPr>
          <w:rStyle w:val="SectionNumber"/>
        </w:rPr>
        <w:t xml:space="preserve">5.2</w:t>
      </w:r>
      <w:r>
        <w:tab/>
      </w:r>
      <w:r>
        <w:t xml:space="preserve">2. State of Healthcare Analytics Maturity</w:t>
      </w:r>
    </w:p>
    <w:bookmarkStart w:id="48" w:name="low-organizational-maturity"/>
    <w:p>
      <w:pPr>
        <w:pStyle w:val="Heading3"/>
      </w:pPr>
      <w:r>
        <w:rPr>
          <w:rStyle w:val="SectionNumber"/>
        </w:rPr>
        <w:t xml:space="preserve">5.2.1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8"/>
    <w:bookmarkStart w:id="49" w:name="barriers-to-analytics-adoption"/>
    <w:p>
      <w:pPr>
        <w:pStyle w:val="Heading3"/>
      </w:pPr>
      <w:r>
        <w:rPr>
          <w:rStyle w:val="SectionNumber"/>
        </w:rPr>
        <w:t xml:space="preserve">5.2.2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3"/>
        </w:numPr>
      </w:pPr>
      <w:r>
        <w:t xml:space="preserve">Fragmented data sources without integration</w:t>
      </w:r>
    </w:p>
    <w:p>
      <w:pPr>
        <w:pStyle w:val="Compact"/>
        <w:numPr>
          <w:ilvl w:val="0"/>
          <w:numId w:val="1013"/>
        </w:numPr>
      </w:pPr>
      <w:r>
        <w:t xml:space="preserve">Limited automated reporting capabilities</w:t>
      </w:r>
    </w:p>
    <w:p>
      <w:pPr>
        <w:pStyle w:val="Compact"/>
        <w:numPr>
          <w:ilvl w:val="0"/>
          <w:numId w:val="1013"/>
        </w:numPr>
      </w:pPr>
      <w:r>
        <w:t xml:space="preserve">Lack of standardized data governance</w:t>
      </w:r>
    </w:p>
    <w:p>
      <w:pPr>
        <w:pStyle w:val="Compact"/>
        <w:numPr>
          <w:ilvl w:val="0"/>
          <w:numId w:val="1013"/>
        </w:numPr>
      </w:pPr>
      <w:r>
        <w:t xml:space="preserve">Minimal predictive or prescriptive analytics</w:t>
      </w:r>
    </w:p>
    <w:p>
      <w:pPr>
        <w:pStyle w:val="Compact"/>
        <w:numPr>
          <w:ilvl w:val="0"/>
          <w:numId w:val="1013"/>
        </w:numPr>
      </w:pPr>
      <w:r>
        <w:t xml:space="preserve">Absence of real-time decision support</w:t>
      </w:r>
    </w:p>
    <w:bookmarkEnd w:id="49"/>
    <w:bookmarkStart w:id="50" w:name="the-analytics-skills-gap"/>
    <w:p>
      <w:pPr>
        <w:pStyle w:val="Heading3"/>
      </w:pPr>
      <w:r>
        <w:rPr>
          <w:rStyle w:val="SectionNumber"/>
        </w:rPr>
        <w:t xml:space="preserve">5.2.3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5.3</w:t>
      </w:r>
      <w:r>
        <w:tab/>
      </w:r>
      <w:r>
        <w:t xml:space="preserve">3. Healthcare Workforce Turnover and Knowledge Loss</w:t>
      </w:r>
    </w:p>
    <w:bookmarkStart w:id="52" w:name="turnover-rates-and-financial-impact"/>
    <w:p>
      <w:pPr>
        <w:pStyle w:val="Heading3"/>
      </w:pPr>
      <w:r>
        <w:rPr>
          <w:rStyle w:val="SectionNumber"/>
        </w:rPr>
        <w:t xml:space="preserve">5.3.1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institutions—where IT serves as a support function rather than core business—had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recent surveys confirm workforce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52"/>
    <w:bookmarkStart w:id="53" w:name="institutional-memory-loss"/>
    <w:p>
      <w:pPr>
        <w:pStyle w:val="Heading3"/>
      </w:pPr>
      <w:r>
        <w:rPr>
          <w:rStyle w:val="SectionNumber"/>
        </w:rPr>
        <w:t xml:space="preserve">5.3.2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53"/>
    <w:bookmarkStart w:id="54" w:name="traditional-approaches-inadequate"/>
    <w:p>
      <w:pPr>
        <w:pStyle w:val="Heading3"/>
      </w:pPr>
      <w:r>
        <w:rPr>
          <w:rStyle w:val="SectionNumber"/>
        </w:rPr>
        <w:t xml:space="preserve">5.3.3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4"/>
        </w:numPr>
      </w:pPr>
      <w:r>
        <w:t xml:space="preserve">Traditional knowledge transfer mechanisms show limited effectiveness</w:t>
      </w:r>
    </w:p>
    <w:p>
      <w:pPr>
        <w:pStyle w:val="Compact"/>
        <w:numPr>
          <w:ilvl w:val="0"/>
          <w:numId w:val="1014"/>
        </w:numPr>
      </w:pPr>
      <w:r>
        <w:t xml:space="preserve">Organizations struggle to capture and maintain analytical expertise</w:t>
      </w:r>
    </w:p>
    <w:p>
      <w:pPr>
        <w:pStyle w:val="Compact"/>
        <w:numPr>
          <w:ilvl w:val="0"/>
          <w:numId w:val="1014"/>
        </w:numPr>
      </w:pPr>
      <w:r>
        <w:t xml:space="preserve">Security concerns and employee resistance to change slow the pace of information system acceptance [A18]</w:t>
      </w:r>
    </w:p>
    <w:p>
      <w:pPr>
        <w:pStyle w:val="Compact"/>
        <w:numPr>
          <w:ilvl w:val="0"/>
          <w:numId w:val="1014"/>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5.4</w:t>
      </w:r>
      <w:r>
        <w:tab/>
      </w:r>
      <w:r>
        <w:t xml:space="preserve">4. Integration of Evidence: The Case for Conversational AI</w:t>
      </w:r>
    </w:p>
    <w:bookmarkStart w:id="56" w:name="bridging-technical-and-domain-expertise"/>
    <w:p>
      <w:pPr>
        <w:pStyle w:val="Heading3"/>
      </w:pPr>
      <w:r>
        <w:rPr>
          <w:rStyle w:val="SectionNumber"/>
        </w:rPr>
        <w:t xml:space="preserve">5.4.1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6"/>
    <w:bookmarkStart w:id="57" w:name="knowledge-preservation-mechanisms"/>
    <w:p>
      <w:pPr>
        <w:pStyle w:val="Heading3"/>
      </w:pPr>
      <w:r>
        <w:rPr>
          <w:rStyle w:val="SectionNumber"/>
        </w:rPr>
        <w:t xml:space="preserve">5.4.2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5"/>
        </w:numPr>
      </w:pPr>
      <w:r>
        <w:t xml:space="preserve">Capturing decision-making patterns through usage</w:t>
      </w:r>
    </w:p>
    <w:p>
      <w:pPr>
        <w:pStyle w:val="Compact"/>
        <w:numPr>
          <w:ilvl w:val="0"/>
          <w:numId w:val="1015"/>
        </w:numPr>
      </w:pPr>
      <w:r>
        <w:t xml:space="preserve">Encoding best practices in accessible formats</w:t>
      </w:r>
    </w:p>
    <w:p>
      <w:pPr>
        <w:pStyle w:val="Compact"/>
        <w:numPr>
          <w:ilvl w:val="0"/>
          <w:numId w:val="1015"/>
        </w:numPr>
      </w:pPr>
      <w:r>
        <w:t xml:space="preserve">Providing context-aware guidance to new users</w:t>
      </w:r>
    </w:p>
    <w:p>
      <w:pPr>
        <w:pStyle w:val="Compact"/>
        <w:numPr>
          <w:ilvl w:val="0"/>
          <w:numId w:val="101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6d083e238594fa23b80808bd7cfd83ad906b4ff"/>
    <w:p>
      <w:pPr>
        <w:pStyle w:val="Heading3"/>
      </w:pPr>
      <w:r>
        <w:rPr>
          <w:rStyle w:val="SectionNumber"/>
        </w:rPr>
        <w:t xml:space="preserve">5.4.3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8"/>
    <w:bookmarkEnd w:id="59"/>
    <w:bookmarkStart w:id="63" w:name="Xe532debb859e62ad2038db373f15ff8608a8c3a"/>
    <w:p>
      <w:pPr>
        <w:pStyle w:val="Heading2"/>
      </w:pPr>
      <w:r>
        <w:rPr>
          <w:rStyle w:val="SectionNumber"/>
        </w:rPr>
        <w:t xml:space="preserve">5.5</w:t>
      </w:r>
      <w:r>
        <w:tab/>
      </w:r>
      <w:r>
        <w:t xml:space="preserve">5. Implications for Healthcare Organizations</w:t>
      </w:r>
    </w:p>
    <w:bookmarkStart w:id="60" w:name="strategic-alignment-with-industry-trends"/>
    <w:p>
      <w:pPr>
        <w:pStyle w:val="Heading3"/>
      </w:pPr>
      <w:r>
        <w:rPr>
          <w:rStyle w:val="SectionNumber"/>
        </w:rPr>
        <w:t xml:space="preserve">5.5.1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5.5.2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61"/>
    <w:bookmarkStart w:id="62" w:name="Xe6fa002d43c62898b44d68560b42a19c9fcb56d"/>
    <w:p>
      <w:pPr>
        <w:pStyle w:val="Heading3"/>
      </w:pPr>
      <w:r>
        <w:rPr>
          <w:rStyle w:val="SectionNumber"/>
        </w:rPr>
        <w:t xml:space="preserve">5.5.3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5.6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6"/>
        </w:numPr>
      </w:pPr>
      <w:r>
        <w:rPr>
          <w:b/>
          <w:bCs/>
        </w:rPr>
        <w:t xml:space="preserve">Long-term outcomes</w:t>
      </w:r>
      <w:r>
        <w:t xml:space="preserve">: Most studies examine 6-24 month implementations; multi-year impacts remain understudied</w:t>
      </w:r>
    </w:p>
    <w:p>
      <w:pPr>
        <w:pStyle w:val="Compact"/>
        <w:numPr>
          <w:ilvl w:val="0"/>
          <w:numId w:val="101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6"/>
        </w:numPr>
      </w:pPr>
      <w:r>
        <w:rPr>
          <w:b/>
          <w:bCs/>
        </w:rPr>
        <w:t xml:space="preserve">Governance frameworks</w:t>
      </w:r>
      <w:r>
        <w:t xml:space="preserve">: Limited research on optimal governance models for democratized analytics</w:t>
      </w:r>
    </w:p>
    <w:p>
      <w:pPr>
        <w:pStyle w:val="Compact"/>
        <w:numPr>
          <w:ilvl w:val="0"/>
          <w:numId w:val="1016"/>
        </w:numPr>
      </w:pPr>
      <w:r>
        <w:rPr>
          <w:b/>
          <w:bCs/>
        </w:rPr>
        <w:t xml:space="preserve">Training methodologies</w:t>
      </w:r>
      <w:r>
        <w:t xml:space="preserve">: Best practices for transitioning from traditional to conversational analytics lack empirical validation</w:t>
      </w:r>
    </w:p>
    <w:p>
      <w:pPr>
        <w:pStyle w:val="Compact"/>
        <w:numPr>
          <w:ilvl w:val="0"/>
          <w:numId w:val="1016"/>
        </w:numPr>
      </w:pPr>
      <w:r>
        <w:rPr>
          <w:b/>
          <w:bCs/>
        </w:rPr>
        <w:t xml:space="preserve">Integration patterns</w:t>
      </w:r>
      <w:r>
        <w:t xml:space="preserve">: Architectural guidance for incorporating conversational AI into existing healthcare IT ecosystems remains sparse</w:t>
      </w:r>
    </w:p>
    <w:bookmarkEnd w:id="64"/>
    <w:bookmarkStart w:id="67" w:name="why-the-problem-persists"/>
    <w:p>
      <w:pPr>
        <w:pStyle w:val="Heading2"/>
      </w:pPr>
      <w:r>
        <w:rPr>
          <w:rStyle w:val="SectionNumber"/>
        </w:rPr>
        <w:t xml:space="preserve">5.7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5.7.1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venture—backed by Amazon, Berkshire Hathaway, and JPMorgan Chase—disbanded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5.7.2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89" w:name="discussion"/>
    <w:p>
      <w:pPr>
        <w:pStyle w:val="Heading1"/>
      </w:pPr>
      <w:r>
        <w:rPr>
          <w:rStyle w:val="SectionNumber"/>
        </w:rPr>
        <w:t xml:space="preserve">6</w:t>
      </w:r>
      <w:r>
        <w:tab/>
      </w:r>
      <w:r>
        <w:t xml:space="preserve">Discussion</w:t>
      </w:r>
    </w:p>
    <w:bookmarkStart w:id="74"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6.2.6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17"/>
        </w:numPr>
      </w:pPr>
      <w:r>
        <w:rPr>
          <w:b/>
          <w:bCs/>
        </w:rPr>
        <w:t xml:space="preserve">Specialty Domain Validation</w:t>
      </w:r>
      <w:r>
        <w:t xml:space="preserve">: Empirical studies in specialized clinical areas to validate generalizability</w:t>
      </w:r>
    </w:p>
    <w:p>
      <w:pPr>
        <w:pStyle w:val="Compact"/>
        <w:numPr>
          <w:ilvl w:val="0"/>
          <w:numId w:val="1017"/>
        </w:numPr>
      </w:pPr>
      <w:r>
        <w:rPr>
          <w:b/>
          <w:bCs/>
        </w:rPr>
        <w:t xml:space="preserve">Governance Framework Development</w:t>
      </w:r>
      <w:r>
        <w:t xml:space="preserve">: Research on optimal governance models for democratized analytics</w:t>
      </w:r>
    </w:p>
    <w:p>
      <w:pPr>
        <w:pStyle w:val="Compact"/>
        <w:numPr>
          <w:ilvl w:val="0"/>
          <w:numId w:val="1017"/>
        </w:numPr>
      </w:pPr>
      <w:r>
        <w:rPr>
          <w:b/>
          <w:bCs/>
        </w:rPr>
        <w:t xml:space="preserve">Integration Pattern Analysis</w:t>
      </w:r>
      <w:r>
        <w:t xml:space="preserve">: Technical research on architectural patterns for healthcare IT ecosystem integration</w:t>
      </w:r>
    </w:p>
    <w:bookmarkEnd w:id="82"/>
    <w:bookmarkStart w:id="8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18"/>
        </w:numPr>
      </w:pPr>
      <w:r>
        <w:rPr>
          <w:b/>
          <w:bCs/>
        </w:rPr>
        <w:t xml:space="preserve">Longitudinal Outcome Studies</w:t>
      </w:r>
      <w:r>
        <w:t xml:space="preserve">: Multi-year implementations to assess sustained benefits and organizational evolution</w:t>
      </w:r>
    </w:p>
    <w:p>
      <w:pPr>
        <w:pStyle w:val="Compact"/>
        <w:numPr>
          <w:ilvl w:val="0"/>
          <w:numId w:val="1018"/>
        </w:numPr>
      </w:pPr>
      <w:r>
        <w:rPr>
          <w:b/>
          <w:bCs/>
        </w:rPr>
        <w:t xml:space="preserve">Comparative Effectiveness Research</w:t>
      </w:r>
      <w:r>
        <w:t xml:space="preserve">: Head-to-head comparisons of different conversational AI approaches</w:t>
      </w:r>
    </w:p>
    <w:p>
      <w:pPr>
        <w:pStyle w:val="Compact"/>
        <w:numPr>
          <w:ilvl w:val="0"/>
          <w:numId w:val="1018"/>
        </w:numPr>
      </w:pPr>
      <w:r>
        <w:rPr>
          <w:b/>
          <w:bCs/>
        </w:rPr>
        <w:t xml:space="preserve">Training Methodology Optimization</w:t>
      </w:r>
      <w:r>
        <w:t xml:space="preserve">: Evidence-based approaches for transitioning from traditional to conversational analytics</w:t>
      </w:r>
    </w:p>
    <w:bookmarkEnd w:id="83"/>
    <w:bookmarkStart w:id="84"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19"/>
        </w:numPr>
      </w:pPr>
      <w:r>
        <w:rPr>
          <w:b/>
          <w:bCs/>
        </w:rPr>
        <w:t xml:space="preserve">Organizational Transformation Studies</w:t>
      </w:r>
      <w:r>
        <w:t xml:space="preserve">: Research on how conversational AI platforms reshape healthcare organizational capabilities</w:t>
      </w:r>
    </w:p>
    <w:p>
      <w:pPr>
        <w:pStyle w:val="Compact"/>
        <w:numPr>
          <w:ilvl w:val="0"/>
          <w:numId w:val="1019"/>
        </w:numPr>
      </w:pPr>
      <w:r>
        <w:rPr>
          <w:b/>
          <w:bCs/>
        </w:rPr>
        <w:t xml:space="preserve">Clinical Outcome Impact Assessment</w:t>
      </w:r>
      <w:r>
        <w:t xml:space="preserve">: Studies linking improved analytics access to patient care outcomes</w:t>
      </w:r>
    </w:p>
    <w:p>
      <w:pPr>
        <w:pStyle w:val="Compact"/>
        <w:numPr>
          <w:ilvl w:val="0"/>
          <w:numId w:val="1019"/>
        </w:numPr>
      </w:pPr>
      <w:r>
        <w:rPr>
          <w:b/>
          <w:bCs/>
        </w:rPr>
        <w:t xml:space="preserve">Predictive Analytics Integration</w:t>
      </w:r>
      <w:r>
        <w:t xml:space="preserve">: Research on combining conversational interfaces with advanced predictive modeling</w:t>
      </w:r>
    </w:p>
    <w:bookmarkEnd w:id="84"/>
    <w:bookmarkEnd w:id="85"/>
    <w:bookmarkStart w:id="88"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6.4.1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0"/>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0"/>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0"/>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implementation-considerations"/>
    <w:p>
      <w:pPr>
        <w:pStyle w:val="Heading3"/>
      </w:pPr>
      <w:r>
        <w:rPr>
          <w:rStyle w:val="SectionNumber"/>
        </w:rPr>
        <w:t xml:space="preserve">6.4.2</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1"/>
        </w:numPr>
      </w:pPr>
      <w:r>
        <w:rPr>
          <w:b/>
          <w:bCs/>
        </w:rPr>
        <w:t xml:space="preserve">Governance Framework Development</w:t>
      </w:r>
      <w:r>
        <w:t xml:space="preserve">: New policies and procedures for democratized analytics</w:t>
      </w:r>
    </w:p>
    <w:p>
      <w:pPr>
        <w:pStyle w:val="Compact"/>
        <w:numPr>
          <w:ilvl w:val="0"/>
          <w:numId w:val="1021"/>
        </w:numPr>
      </w:pPr>
      <w:r>
        <w:rPr>
          <w:b/>
          <w:bCs/>
        </w:rPr>
        <w:t xml:space="preserve">Change Management</w:t>
      </w:r>
      <w:r>
        <w:t xml:space="preserve">: Training and support programs to ensure user adoption</w:t>
      </w:r>
    </w:p>
    <w:p>
      <w:pPr>
        <w:pStyle w:val="Compact"/>
        <w:numPr>
          <w:ilvl w:val="0"/>
          <w:numId w:val="1021"/>
        </w:numPr>
      </w:pPr>
      <w:r>
        <w:rPr>
          <w:b/>
          <w:bCs/>
        </w:rPr>
        <w:t xml:space="preserve">Phased Deployment</w:t>
      </w:r>
      <w:r>
        <w:t xml:space="preserve">: Gradual rollout beginning with analytics-savvy early adopters</w:t>
      </w:r>
    </w:p>
    <w:p>
      <w:pPr>
        <w:pStyle w:val="Compact"/>
        <w:numPr>
          <w:ilvl w:val="0"/>
          <w:numId w:val="1021"/>
        </w:numPr>
      </w:pPr>
      <w:r>
        <w:rPr>
          <w:b/>
          <w:bCs/>
        </w:rPr>
        <w:t xml:space="preserve">Human Oversight</w:t>
      </w:r>
      <w:r>
        <w:t xml:space="preserve">: Current NL2SQL limitations require maintaining human review of AI-generated outputs [A6]</w:t>
      </w:r>
    </w:p>
    <w:bookmarkEnd w:id="87"/>
    <w:bookmarkEnd w:id="88"/>
    <w:bookmarkEnd w:id="89"/>
    <w:bookmarkStart w:id="96" w:name="conclusion"/>
    <w:p>
      <w:pPr>
        <w:pStyle w:val="Heading1"/>
      </w:pPr>
      <w:r>
        <w:rPr>
          <w:rStyle w:val="SectionNumber"/>
        </w:rPr>
        <w:t xml:space="preserve">7</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0" w:name="the-dual-dimensions-of-harm"/>
    <w:p>
      <w:pPr>
        <w:pStyle w:val="Heading2"/>
      </w:pPr>
      <w:r>
        <w:rPr>
          <w:rStyle w:val="SectionNumber"/>
        </w:rPr>
        <w:t xml:space="preserve">7.1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2"/>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2"/>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2"/>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0"/>
    <w:bookmarkStart w:id="91" w:name="summary-of-contributions"/>
    <w:p>
      <w:pPr>
        <w:pStyle w:val="Heading2"/>
      </w:pPr>
      <w:r>
        <w:rPr>
          <w:rStyle w:val="SectionNumber"/>
        </w:rPr>
        <w:t xml:space="preserve">7.2</w:t>
      </w:r>
      <w:r>
        <w:tab/>
      </w:r>
      <w:r>
        <w:t xml:space="preserve">Summary of Contributions</w:t>
      </w:r>
    </w:p>
    <w:p>
      <w:pPr>
        <w:pStyle w:val="FirstParagraph"/>
      </w:pPr>
      <w:r>
        <w:t xml:space="preserve">This narrative review contributes to healthcare informatics scholarship through:</w:t>
      </w:r>
    </w:p>
    <w:p>
      <w:pPr>
        <w:numPr>
          <w:ilvl w:val="0"/>
          <w:numId w:val="1023"/>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23"/>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3"/>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1"/>
    <w:bookmarkStart w:id="92" w:name="key-findings"/>
    <w:p>
      <w:pPr>
        <w:pStyle w:val="Heading2"/>
      </w:pPr>
      <w:r>
        <w:rPr>
          <w:rStyle w:val="SectionNumber"/>
        </w:rPr>
        <w:t xml:space="preserve">7.3</w:t>
      </w:r>
      <w:r>
        <w:tab/>
      </w:r>
      <w:r>
        <w:t xml:space="preserve">Key Findings</w:t>
      </w:r>
    </w:p>
    <w:p>
      <w:pPr>
        <w:pStyle w:val="FirstParagraph"/>
      </w:pPr>
      <w:r>
        <w:t xml:space="preserve">This review of academic and industry sources establishes several critical findings:</w:t>
      </w:r>
    </w:p>
    <w:p>
      <w:pPr>
        <w:numPr>
          <w:ilvl w:val="0"/>
          <w:numId w:val="1024"/>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4"/>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4"/>
        </w:numPr>
      </w:pPr>
      <w:r>
        <w:rPr>
          <w:b/>
          <w:bCs/>
        </w:rPr>
        <w:t xml:space="preserve">Workforce Impact</w:t>
      </w:r>
      <w:r>
        <w:t xml:space="preserve">: Healthcare IT staff turnover was measured at 34% in 2004 [A10]—the highest among IT sectors at that time—and workforce challenges persist today [I11]. Knowledge loss costs can reach three times annual salary budgets [A24], creating need for knowledge preservation approaches.</w:t>
      </w:r>
    </w:p>
    <w:p>
      <w:pPr>
        <w:numPr>
          <w:ilvl w:val="0"/>
          <w:numId w:val="1024"/>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2"/>
    <w:bookmarkStart w:id="93" w:name="X763cadd1601e4aaf67a245ab2df69f095516d3d"/>
    <w:p>
      <w:pPr>
        <w:pStyle w:val="Heading2"/>
      </w:pPr>
      <w:r>
        <w:rPr>
          <w:rStyle w:val="SectionNumber"/>
        </w:rPr>
        <w:t xml:space="preserve">7.4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5"/>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5"/>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5"/>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3"/>
    <w:bookmarkStart w:id="94" w:name="future-research-directions-1"/>
    <w:p>
      <w:pPr>
        <w:pStyle w:val="Heading2"/>
      </w:pPr>
      <w:r>
        <w:rPr>
          <w:rStyle w:val="SectionNumber"/>
        </w:rPr>
        <w:t xml:space="preserve">7.5</w:t>
      </w:r>
      <w:r>
        <w:tab/>
      </w:r>
      <w:r>
        <w:t xml:space="preserve">Future Research Directions</w:t>
      </w:r>
    </w:p>
    <w:p>
      <w:pPr>
        <w:pStyle w:val="FirstParagraph"/>
      </w:pPr>
      <w:r>
        <w:t xml:space="preserve">Several research gaps limit the ability to provide definitive organizational guidance:</w:t>
      </w:r>
    </w:p>
    <w:p>
      <w:pPr>
        <w:numPr>
          <w:ilvl w:val="0"/>
          <w:numId w:val="1026"/>
        </w:numPr>
      </w:pPr>
      <w:r>
        <w:rPr>
          <w:b/>
          <w:bCs/>
        </w:rPr>
        <w:t xml:space="preserve">Longitudinal outcomes</w:t>
      </w:r>
      <w:r>
        <w:t xml:space="preserve">: Most implementation studies span 6-24 months; multi-year institutional knowledge preservation effects remain understudied</w:t>
      </w:r>
    </w:p>
    <w:p>
      <w:pPr>
        <w:numPr>
          <w:ilvl w:val="0"/>
          <w:numId w:val="1026"/>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26"/>
        </w:numPr>
      </w:pPr>
      <w:r>
        <w:rPr>
          <w:b/>
          <w:bCs/>
        </w:rPr>
        <w:t xml:space="preserve">Governance frameworks</w:t>
      </w:r>
      <w:r>
        <w:t xml:space="preserve">: Optimal approaches for balancing analytics democratization with data quality and clinical safety standards need development</w:t>
      </w:r>
    </w:p>
    <w:p>
      <w:pPr>
        <w:numPr>
          <w:ilvl w:val="0"/>
          <w:numId w:val="1026"/>
        </w:numPr>
      </w:pPr>
      <w:r>
        <w:rPr>
          <w:b/>
          <w:bCs/>
        </w:rPr>
        <w:t xml:space="preserve">Comparative effectiveness</w:t>
      </w:r>
      <w:r>
        <w:t xml:space="preserve">: Head-to-head comparisons of different technological approaches to addressing the three-pillar challenges remain sparse</w:t>
      </w:r>
    </w:p>
    <w:bookmarkEnd w:id="94"/>
    <w:bookmarkStart w:id="95" w:name="closing-reflection"/>
    <w:p>
      <w:pPr>
        <w:pStyle w:val="Heading2"/>
      </w:pPr>
      <w:r>
        <w:rPr>
          <w:rStyle w:val="SectionNumber"/>
        </w:rPr>
        <w:t xml:space="preserve">7.6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5"/>
    <w:bookmarkEnd w:id="96"/>
    <w:bookmarkStart w:id="97" w:name="acknowledgments"/>
    <w:p>
      <w:pPr>
        <w:pStyle w:val="Heading1"/>
      </w:pPr>
      <w:r>
        <w:rPr>
          <w:rStyle w:val="SectionNumber"/>
        </w:rPr>
        <w:t xml:space="preserve">8</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97"/>
    <w:bookmarkStart w:id="98"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98"/>
    <w:bookmarkStart w:id="99" w:name="competing-interests"/>
    <w:p>
      <w:pPr>
        <w:pStyle w:val="Heading1"/>
      </w:pPr>
      <w:r>
        <w:rPr>
          <w:rStyle w:val="SectionNumber"/>
        </w:rPr>
        <w:t xml:space="preserve">10</w:t>
      </w:r>
      <w:r>
        <w:tab/>
      </w:r>
      <w:r>
        <w:t xml:space="preserve">Competing Interests</w:t>
      </w:r>
    </w:p>
    <w:p>
      <w:pPr>
        <w:pStyle w:val="FirstParagraph"/>
      </w:pPr>
      <w:r>
        <w:t xml:space="preserve">The author declares the following competing interests: Samuel T Harrold is a contract product advisor at Yuimedi Corp.,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Corp. This research was conducted independently without funding from any affiliated organization.</w:t>
      </w:r>
    </w:p>
    <w:bookmarkEnd w:id="99"/>
    <w:bookmarkStart w:id="100" w:name="data-availability"/>
    <w:p>
      <w:pPr>
        <w:pStyle w:val="Heading1"/>
      </w:pPr>
      <w:r>
        <w:rPr>
          <w:rStyle w:val="SectionNumber"/>
        </w:rPr>
        <w:t xml:space="preserve">11</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0"/>
    <w:bookmarkStart w:id="101" w:name="code-availability"/>
    <w:p>
      <w:pPr>
        <w:pStyle w:val="Heading1"/>
      </w:pPr>
      <w:r>
        <w:rPr>
          <w:rStyle w:val="SectionNumber"/>
        </w:rPr>
        <w:t xml:space="preserve">12</w:t>
      </w:r>
      <w:r>
        <w:tab/>
      </w:r>
      <w:r>
        <w:t xml:space="preserve">Code Availability</w:t>
      </w:r>
    </w:p>
    <w:p>
      <w:pPr>
        <w:pStyle w:val="FirstParagraph"/>
      </w:pPr>
      <w:r>
        <w:t xml:space="preserve">Not applicable. No custom code was developed for this research.</w:t>
      </w:r>
    </w:p>
    <w:bookmarkEnd w:id="101"/>
    <w:bookmarkStart w:id="102" w:name="funding"/>
    <w:p>
      <w:pPr>
        <w:pStyle w:val="Heading1"/>
      </w:pPr>
      <w:r>
        <w:rPr>
          <w:rStyle w:val="SectionNumber"/>
        </w:rPr>
        <w:t xml:space="preserve">13</w:t>
      </w:r>
      <w:r>
        <w:tab/>
      </w:r>
      <w:r>
        <w:t xml:space="preserve">Funding</w:t>
      </w:r>
    </w:p>
    <w:p>
      <w:pPr>
        <w:pStyle w:val="FirstParagraph"/>
      </w:pPr>
      <w:r>
        <w:t xml:space="preserve">Yuimedi provided funding for the author’s time writing and researching this manuscript.</w:t>
      </w:r>
    </w:p>
    <w:bookmarkEnd w:id="102"/>
    <w:bookmarkStart w:id="105" w:name="references"/>
    <w:p>
      <w:pPr>
        <w:pStyle w:val="Heading1"/>
      </w:pPr>
      <w:r>
        <w:rPr>
          <w:rStyle w:val="SectionNumber"/>
        </w:rPr>
        <w:t xml:space="preserve">14</w:t>
      </w:r>
      <w:r>
        <w:tab/>
      </w:r>
      <w:r>
        <w:t xml:space="preserve">References</w:t>
      </w:r>
    </w:p>
    <w:bookmarkStart w:id="103" w:name="academic-sources"/>
    <w:p>
      <w:pPr>
        <w:pStyle w:val="Heading2"/>
      </w:pPr>
      <w:r>
        <w:rPr>
          <w:rStyle w:val="SectionNumber"/>
        </w:rPr>
        <w:t xml:space="preserve">14.1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bookmarkEnd w:id="103"/>
    <w:bookmarkStart w:id="104" w:name="industry-sources"/>
    <w:p>
      <w:pPr>
        <w:pStyle w:val="Heading2"/>
      </w:pPr>
      <w:r>
        <w:rPr>
          <w:rStyle w:val="SectionNumber"/>
        </w:rPr>
        <w:t xml:space="preserve">14.2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4"/>
    <w:bookmarkEnd w:id="105"/>
    <w:bookmarkStart w:id="112" w:name="appendices"/>
    <w:p>
      <w:pPr>
        <w:pStyle w:val="Heading1"/>
      </w:pPr>
      <w:r>
        <w:rPr>
          <w:rStyle w:val="SectionNumber"/>
        </w:rPr>
        <w:t xml:space="preserve">15</w:t>
      </w:r>
      <w:r>
        <w:tab/>
      </w:r>
      <w:r>
        <w:t xml:space="preserve">Appendices</w:t>
      </w:r>
    </w:p>
    <w:bookmarkStart w:id="10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6"/>
    <w:bookmarkStart w:id="10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7"/>
    <w:bookmarkStart w:id="111" w:name="Xbfd30549e6247e2f3e5132a039875af0e2849bb"/>
    <w:p>
      <w:pPr>
        <w:pStyle w:val="Heading2"/>
      </w:pPr>
      <w:r>
        <w:rPr>
          <w:rStyle w:val="SectionNumber"/>
        </w:rPr>
        <w:t xml:space="preserve">15.3</w:t>
      </w:r>
      <w:r>
        <w:tab/>
      </w:r>
      <w:r>
        <w:t xml:space="preserve">Appendix C: Healthcare NL2SQL Query Examples</w:t>
      </w:r>
    </w:p>
    <w:bookmarkStart w:id="10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8"/>
    <w:bookmarkStart w:id="109" w:name="operational-metrics"/>
    <w:p>
      <w:pPr>
        <w:pStyle w:val="Heading3"/>
      </w:pPr>
      <w:r>
        <w:rPr>
          <w:rStyle w:val="SectionNumber"/>
        </w:rPr>
        <w:t xml:space="preserve">15.3.2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09"/>
    <w:bookmarkStart w:id="11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2025-12-17T07:17:04Z</dcterms:created>
  <dcterms:modified xsi:type="dcterms:W3CDTF">2025-12-17T07:17:04Z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2004)—the highest among IT sectors at that time—creates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