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r>
        <w:t xml:space="preserve"> </w:t>
      </w:r>
      <w:r>
        <w:t xml:space="preserve">Inc.</w:t>
      </w:r>
    </w:p>
    <w:p>
      <w:pPr>
        <w:pStyle w:val="Date"/>
      </w:pPr>
      <w:r>
        <w:t xml:space="preserve">July</w:t>
      </w:r>
      <w:r>
        <w:t xml:space="preserve"> </w:t>
      </w:r>
      <w:r>
        <w:t xml:space="preserve">2026</w:t>
      </w:r>
    </w:p>
    <w:p>
      <w:pPr>
        <w:pStyle w:val="AbstractTitle"/>
      </w:pPr>
      <w:r>
        <w:t xml:space="preserve">Abstract</w:t>
      </w:r>
    </w:p>
    <w:p>
      <w:pPr>
        <w:pStyle w:val="Abstract"/>
      </w:pPr>
      <w:r>
        <w:t xml:space="preserve">Healthcare</w:t>
      </w:r>
      <w:r>
        <w:t xml:space="preserve"> </w:t>
      </w:r>
      <w:r>
        <w:t xml:space="preserve">organizations</w:t>
      </w:r>
      <w:r>
        <w:t xml:space="preserve"> </w:t>
      </w:r>
      <w:r>
        <w:t xml:space="preserve">face</w:t>
      </w:r>
      <w:r>
        <w:t xml:space="preserve"> </w:t>
      </w:r>
      <w:r>
        <w:t xml:space="preserve">a</w:t>
      </w:r>
      <w:r>
        <w:t xml:space="preserve"> </w:t>
      </w:r>
      <w:r>
        <w:t xml:space="preserve">“</w:t>
      </w:r>
      <w:r>
        <w:t xml:space="preserve">Triple</w:t>
      </w:r>
      <w:r>
        <w:t xml:space="preserve"> </w:t>
      </w:r>
      <w:r>
        <w:t xml:space="preserve">Threat</w:t>
      </w:r>
      <w:r>
        <w:t xml:space="preserve">”</w:t>
      </w:r>
      <w:r>
        <w:t xml:space="preserve"> </w:t>
      </w:r>
      <w:r>
        <w:t xml:space="preserve">of</w:t>
      </w:r>
      <w:r>
        <w:t xml:space="preserve"> </w:t>
      </w:r>
      <w:r>
        <w:t xml:space="preserve">low</w:t>
      </w:r>
      <w:r>
        <w:t xml:space="preserve"> </w:t>
      </w:r>
      <w:r>
        <w:t xml:space="preserve">analytics</w:t>
      </w:r>
      <w:r>
        <w:t xml:space="preserve"> </w:t>
      </w:r>
      <w:r>
        <w:t xml:space="preserve">maturity,</w:t>
      </w:r>
      <w:r>
        <w:t xml:space="preserve"> </w:t>
      </w:r>
      <w:r>
        <w:t xml:space="preserve">high</w:t>
      </w:r>
      <w:r>
        <w:t xml:space="preserve"> </w:t>
      </w:r>
      <w:r>
        <w:t xml:space="preserve">workforce</w:t>
      </w:r>
      <w:r>
        <w:t xml:space="preserve"> </w:t>
      </w:r>
      <w:r>
        <w:t xml:space="preserve">instability,</w:t>
      </w:r>
      <w:r>
        <w:t xml:space="preserve"> </w:t>
      </w:r>
      <w:r>
        <w:t xml:space="preserve">and</w:t>
      </w:r>
      <w:r>
        <w:t xml:space="preserve"> </w:t>
      </w:r>
      <w:r>
        <w:t xml:space="preserve">semantic</w:t>
      </w:r>
      <w:r>
        <w:t xml:space="preserve"> </w:t>
      </w:r>
      <w:r>
        <w:t xml:space="preserve">technical</w:t>
      </w:r>
      <w:r>
        <w:t xml:space="preserve"> </w:t>
      </w:r>
      <w:r>
        <w:t xml:space="preserve">barriers</w:t>
      </w:r>
      <w:r>
        <w:t xml:space="preserve"> </w:t>
      </w:r>
      <w:r>
        <w:t xml:space="preserve">that</w:t>
      </w:r>
      <w:r>
        <w:t xml:space="preserve"> </w:t>
      </w:r>
      <w:r>
        <w:t xml:space="preserve">together</w:t>
      </w:r>
      <w:r>
        <w:t xml:space="preserve"> </w:t>
      </w:r>
      <w:r>
        <w:t xml:space="preserve">produce</w:t>
      </w:r>
      <w:r>
        <w:t xml:space="preserve"> </w:t>
      </w:r>
      <w:r>
        <w:t xml:space="preserve">a</w:t>
      </w:r>
      <w:r>
        <w:t xml:space="preserve"> </w:t>
      </w:r>
      <w:r>
        <w:t xml:space="preserve">crisis</w:t>
      </w:r>
      <w:r>
        <w:t xml:space="preserve"> </w:t>
      </w:r>
      <w:r>
        <w:t xml:space="preserve">of</w:t>
      </w:r>
      <w:r>
        <w:t xml:space="preserve"> </w:t>
      </w:r>
      <w:r>
        <w:t xml:space="preserve">“</w:t>
      </w:r>
      <w:r>
        <w:t xml:space="preserve">Institutional</w:t>
      </w:r>
      <w:r>
        <w:t xml:space="preserve"> </w:t>
      </w:r>
      <w:r>
        <w:t xml:space="preserve">Amnesia.</w:t>
      </w:r>
      <w:r>
        <w:t xml:space="preserve">”</w:t>
      </w:r>
      <w:r>
        <w:t xml:space="preserve"> </w:t>
      </w:r>
      <w:r>
        <w:t xml:space="preserve">Leadership</w:t>
      </w:r>
      <w:r>
        <w:t xml:space="preserve"> </w:t>
      </w:r>
      <w:r>
        <w:t xml:space="preserve">turnover,</w:t>
      </w:r>
      <w:r>
        <w:t xml:space="preserve"> </w:t>
      </w:r>
      <w:r>
        <w:t xml:space="preserve">workforce</w:t>
      </w:r>
      <w:r>
        <w:t xml:space="preserve"> </w:t>
      </w:r>
      <w:r>
        <w:t xml:space="preserve">shortages,</w:t>
      </w:r>
      <w:r>
        <w:t xml:space="preserve"> </w:t>
      </w:r>
      <w:r>
        <w:t xml:space="preserve">and</w:t>
      </w:r>
      <w:r>
        <w:t xml:space="preserve"> </w:t>
      </w:r>
      <w:r>
        <w:t xml:space="preserve">widespread</w:t>
      </w:r>
      <w:r>
        <w:t xml:space="preserve"> </w:t>
      </w:r>
      <w:r>
        <w:t xml:space="preserve">intent</w:t>
      </w:r>
      <w:r>
        <w:t xml:space="preserve"> </w:t>
      </w:r>
      <w:r>
        <w:t xml:space="preserve">to</w:t>
      </w:r>
      <w:r>
        <w:t xml:space="preserve"> </w:t>
      </w:r>
      <w:r>
        <w:t xml:space="preserve">leave</w:t>
      </w:r>
      <w:r>
        <w:t xml:space="preserve"> </w:t>
      </w:r>
      <w:r>
        <w:t xml:space="preserve">among</w:t>
      </w:r>
      <w:r>
        <w:t xml:space="preserve"> </w:t>
      </w:r>
      <w:r>
        <w:t xml:space="preserve">informatics</w:t>
      </w:r>
      <w:r>
        <w:t xml:space="preserve"> </w:t>
      </w:r>
      <w:r>
        <w:t xml:space="preserve">specialists</w:t>
      </w:r>
      <w:r>
        <w:t xml:space="preserve"> </w:t>
      </w:r>
      <w:r>
        <w:t xml:space="preserve">systematically</w:t>
      </w:r>
      <w:r>
        <w:t xml:space="preserve"> </w:t>
      </w:r>
      <w:r>
        <w:t xml:space="preserve">erase</w:t>
      </w:r>
      <w:r>
        <w:t xml:space="preserve"> </w:t>
      </w:r>
      <w:r>
        <w:t xml:space="preserve">the</w:t>
      </w:r>
      <w:r>
        <w:t xml:space="preserve"> </w:t>
      </w:r>
      <w:r>
        <w:t xml:space="preserve">tacit</w:t>
      </w:r>
      <w:r>
        <w:t xml:space="preserve"> </w:t>
      </w:r>
      <w:r>
        <w:t xml:space="preserve">knowledge</w:t>
      </w:r>
      <w:r>
        <w:t xml:space="preserve"> </w:t>
      </w:r>
      <w:r>
        <w:t xml:space="preserve">required</w:t>
      </w:r>
      <w:r>
        <w:t xml:space="preserve"> </w:t>
      </w:r>
      <w:r>
        <w:t xml:space="preserve">to</w:t>
      </w:r>
      <w:r>
        <w:t xml:space="preserve"> </w:t>
      </w:r>
      <w:r>
        <w:t xml:space="preserve">navigate</w:t>
      </w:r>
      <w:r>
        <w:t xml:space="preserve"> </w:t>
      </w:r>
      <w:r>
        <w:t xml:space="preserve">complex</w:t>
      </w:r>
      <w:r>
        <w:t xml:space="preserve"> </w:t>
      </w:r>
      <w:r>
        <w:t xml:space="preserve">clinical</w:t>
      </w:r>
      <w:r>
        <w:t xml:space="preserve"> </w:t>
      </w:r>
      <w:r>
        <w:t xml:space="preserve">data</w:t>
      </w:r>
      <w:r>
        <w:t xml:space="preserve"> </w:t>
      </w:r>
      <w:r>
        <w:t xml:space="preserve">schemas,</w:t>
      </w:r>
      <w:r>
        <w:t xml:space="preserve"> </w:t>
      </w:r>
      <w:r>
        <w:t xml:space="preserve">trapping</w:t>
      </w:r>
      <w:r>
        <w:t xml:space="preserve"> </w:t>
      </w:r>
      <w:r>
        <w:t xml:space="preserve">organizations</w:t>
      </w:r>
      <w:r>
        <w:t xml:space="preserve"> </w:t>
      </w:r>
      <w:r>
        <w:t xml:space="preserve">in</w:t>
      </w:r>
      <w:r>
        <w:t xml:space="preserve"> </w:t>
      </w:r>
      <w:r>
        <w:t xml:space="preserve">a</w:t>
      </w:r>
      <w:r>
        <w:t xml:space="preserve"> </w:t>
      </w:r>
      <w:r>
        <w:t xml:space="preserve">cycle</w:t>
      </w:r>
      <w:r>
        <w:t xml:space="preserve"> </w:t>
      </w:r>
      <w:r>
        <w:t xml:space="preserve">where</w:t>
      </w:r>
      <w:r>
        <w:t xml:space="preserve"> </w:t>
      </w:r>
      <w:r>
        <w:t xml:space="preserve">knowledge</w:t>
      </w:r>
      <w:r>
        <w:t xml:space="preserve"> </w:t>
      </w:r>
      <w:r>
        <w:t xml:space="preserve">loss</w:t>
      </w:r>
      <w:r>
        <w:t xml:space="preserve"> </w:t>
      </w:r>
      <w:r>
        <w:t xml:space="preserve">outpaces</w:t>
      </w:r>
      <w:r>
        <w:t xml:space="preserve"> </w:t>
      </w:r>
      <w:r>
        <w:t xml:space="preserve">knowledge</w:t>
      </w:r>
      <w:r>
        <w:t xml:space="preserve"> </w:t>
      </w:r>
      <w:r>
        <w:t xml:space="preserve">capture.</w:t>
      </w:r>
    </w:p>
    <w:p>
      <w:pPr>
        <w:pStyle w:val="Abstract"/>
      </w:pPr>
      <w:r>
        <w:t xml:space="preserve">Viewed</w:t>
      </w:r>
      <w:r>
        <w:t xml:space="preserve"> </w:t>
      </w:r>
      <w:r>
        <w:t xml:space="preserve">through</w:t>
      </w:r>
      <w:r>
        <w:t xml:space="preserve"> </w:t>
      </w:r>
      <w:r>
        <w:t xml:space="preserve">Nonaka’s</w:t>
      </w:r>
      <w:r>
        <w:t xml:space="preserve"> </w:t>
      </w:r>
      <w:r>
        <w:t xml:space="preserve">SECI</w:t>
      </w:r>
      <w:r>
        <w:t xml:space="preserve"> </w:t>
      </w:r>
      <w:r>
        <w:t xml:space="preserve">(Socialization,</w:t>
      </w:r>
      <w:r>
        <w:t xml:space="preserve"> </w:t>
      </w:r>
      <w:r>
        <w:t xml:space="preserve">Externalization,</w:t>
      </w:r>
      <w:r>
        <w:t xml:space="preserve"> </w:t>
      </w:r>
      <w:r>
        <w:t xml:space="preserve">Combination,</w:t>
      </w:r>
      <w:r>
        <w:t xml:space="preserve"> </w:t>
      </w:r>
      <w:r>
        <w:t xml:space="preserve">Internalization)</w:t>
      </w:r>
      <w:r>
        <w:t xml:space="preserve"> </w:t>
      </w:r>
      <w:r>
        <w:t xml:space="preserve">model</w:t>
      </w:r>
      <w:r>
        <w:t xml:space="preserve"> </w:t>
      </w:r>
      <w:r>
        <w:t xml:space="preserve">of</w:t>
      </w:r>
      <w:r>
        <w:t xml:space="preserve"> </w:t>
      </w:r>
      <w:r>
        <w:t xml:space="preserve">knowledge</w:t>
      </w:r>
      <w:r>
        <w:t xml:space="preserve"> </w:t>
      </w:r>
      <w:r>
        <w:t xml:space="preserve">creation,</w:t>
      </w:r>
      <w:r>
        <w:t xml:space="preserve"> </w:t>
      </w:r>
      <w:r>
        <w:t xml:space="preserve">the</w:t>
      </w:r>
      <w:r>
        <w:t xml:space="preserve"> </w:t>
      </w:r>
      <w:r>
        <w:t xml:space="preserve">root</w:t>
      </w:r>
      <w:r>
        <w:t xml:space="preserve"> </w:t>
      </w:r>
      <w:r>
        <w:t xml:space="preserve">cause</w:t>
      </w:r>
      <w:r>
        <w:t xml:space="preserve"> </w:t>
      </w:r>
      <w:r>
        <w:t xml:space="preserve">is</w:t>
      </w:r>
      <w:r>
        <w:t xml:space="preserve"> </w:t>
      </w:r>
      <w:r>
        <w:t xml:space="preserve">a</w:t>
      </w:r>
      <w:r>
        <w:t xml:space="preserve"> </w:t>
      </w:r>
      <w:r>
        <w:t xml:space="preserve">“</w:t>
      </w:r>
      <w:r>
        <w:t xml:space="preserve">Socialization</w:t>
      </w:r>
      <w:r>
        <w:t xml:space="preserve"> </w:t>
      </w:r>
      <w:r>
        <w:t xml:space="preserve">Failure</w:t>
      </w:r>
      <w:r>
        <w:t xml:space="preserve">”</w:t>
      </w:r>
      <w:r>
        <w:t xml:space="preserve">:</w:t>
      </w:r>
      <w:r>
        <w:t xml:space="preserve"> </w:t>
      </w:r>
      <w:r>
        <w:t xml:space="preserve">high</w:t>
      </w:r>
      <w:r>
        <w:t xml:space="preserve"> </w:t>
      </w:r>
      <w:r>
        <w:t xml:space="preserve">turnover</w:t>
      </w:r>
      <w:r>
        <w:t xml:space="preserve"> </w:t>
      </w:r>
      <w:r>
        <w:t xml:space="preserve">fractures</w:t>
      </w:r>
      <w:r>
        <w:t xml:space="preserve"> </w:t>
      </w:r>
      <w:r>
        <w:t xml:space="preserve">the</w:t>
      </w:r>
      <w:r>
        <w:t xml:space="preserve"> </w:t>
      </w:r>
      <w:r>
        <w:t xml:space="preserve">social</w:t>
      </w:r>
      <w:r>
        <w:t xml:space="preserve"> </w:t>
      </w:r>
      <w:r>
        <w:t xml:space="preserve">networks</w:t>
      </w:r>
      <w:r>
        <w:t xml:space="preserve"> </w:t>
      </w:r>
      <w:r>
        <w:t xml:space="preserve">required</w:t>
      </w:r>
      <w:r>
        <w:t xml:space="preserve"> </w:t>
      </w:r>
      <w:r>
        <w:t xml:space="preserve">for</w:t>
      </w:r>
      <w:r>
        <w:t xml:space="preserve"> </w:t>
      </w:r>
      <w:r>
        <w:t xml:space="preserve">mentorship,</w:t>
      </w:r>
      <w:r>
        <w:t xml:space="preserve"> </w:t>
      </w:r>
      <w:r>
        <w:t xml:space="preserve">rendering</w:t>
      </w:r>
      <w:r>
        <w:t xml:space="preserve"> </w:t>
      </w:r>
      <w:r>
        <w:t xml:space="preserve">the</w:t>
      </w:r>
      <w:r>
        <w:t xml:space="preserve"> </w:t>
      </w:r>
      <w:r>
        <w:t xml:space="preserve">traditional</w:t>
      </w:r>
      <w:r>
        <w:t xml:space="preserve"> </w:t>
      </w:r>
      <w:r>
        <w:t xml:space="preserve">apprenticeship</w:t>
      </w:r>
      <w:r>
        <w:t xml:space="preserve"> </w:t>
      </w:r>
      <w:r>
        <w:t xml:space="preserve">model</w:t>
      </w:r>
      <w:r>
        <w:t xml:space="preserve"> </w:t>
      </w:r>
      <w:r>
        <w:t xml:space="preserve">of</w:t>
      </w:r>
      <w:r>
        <w:t xml:space="preserve"> </w:t>
      </w:r>
      <w:r>
        <w:t xml:space="preserve">informatics</w:t>
      </w:r>
      <w:r>
        <w:t xml:space="preserve"> </w:t>
      </w:r>
      <w:r>
        <w:t xml:space="preserve">unsustainable.</w:t>
      </w:r>
      <w:r>
        <w:t xml:space="preserve"> </w:t>
      </w:r>
      <w:r>
        <w:t xml:space="preserve">To</w:t>
      </w:r>
      <w:r>
        <w:t xml:space="preserve"> </w:t>
      </w:r>
      <w:r>
        <w:t xml:space="preserve">address</w:t>
      </w:r>
      <w:r>
        <w:t xml:space="preserve"> </w:t>
      </w:r>
      <w:r>
        <w:t xml:space="preserve">this</w:t>
      </w:r>
      <w:r>
        <w:t xml:space="preserve"> </w:t>
      </w:r>
      <w:r>
        <w:t xml:space="preserve">failure,</w:t>
      </w:r>
      <w:r>
        <w:t xml:space="preserve"> </w:t>
      </w:r>
      <w:r>
        <w:t xml:space="preserve">we</w:t>
      </w:r>
      <w:r>
        <w:t xml:space="preserve"> </w:t>
      </w:r>
      <w:r>
        <w:t xml:space="preserve">employ</w:t>
      </w:r>
      <w:r>
        <w:t xml:space="preserve"> </w:t>
      </w:r>
      <w:r>
        <w:t xml:space="preserve">a</w:t>
      </w:r>
      <w:r>
        <w:t xml:space="preserve"> </w:t>
      </w:r>
      <w:r>
        <w:t xml:space="preserve">Design</w:t>
      </w:r>
      <w:r>
        <w:t xml:space="preserve"> </w:t>
      </w:r>
      <w:r>
        <w:t xml:space="preserve">Science</w:t>
      </w:r>
      <w:r>
        <w:t xml:space="preserve"> </w:t>
      </w:r>
      <w:r>
        <w:t xml:space="preserve">Research</w:t>
      </w:r>
      <w:r>
        <w:t xml:space="preserve"> </w:t>
      </w:r>
      <w:r>
        <w:t xml:space="preserve">(DSR)</w:t>
      </w:r>
      <w:r>
        <w:t xml:space="preserve"> </w:t>
      </w:r>
      <w:r>
        <w:t xml:space="preserve">approach,</w:t>
      </w:r>
      <w:r>
        <w:t xml:space="preserve"> </w:t>
      </w:r>
      <w:r>
        <w:t xml:space="preserve">synthesizing</w:t>
      </w:r>
      <w:r>
        <w:t xml:space="preserve"> </w:t>
      </w:r>
      <w:r>
        <w:t xml:space="preserve">evidence</w:t>
      </w:r>
      <w:r>
        <w:t xml:space="preserve"> </w:t>
      </w:r>
      <w:r>
        <w:t xml:space="preserve">from</w:t>
      </w:r>
      <w:r>
        <w:t xml:space="preserve"> </w:t>
      </w:r>
      <w:r>
        <w:t xml:space="preserve">healthcare</w:t>
      </w:r>
      <w:r>
        <w:t xml:space="preserve"> </w:t>
      </w:r>
      <w:r>
        <w:t xml:space="preserve">informatics,</w:t>
      </w:r>
      <w:r>
        <w:t xml:space="preserve"> </w:t>
      </w:r>
      <w:r>
        <w:t xml:space="preserve">knowledge</w:t>
      </w:r>
      <w:r>
        <w:t xml:space="preserve"> </w:t>
      </w:r>
      <w:r>
        <w:t xml:space="preserve">management,</w:t>
      </w:r>
      <w:r>
        <w:t xml:space="preserve"> </w:t>
      </w:r>
      <w:r>
        <w:t xml:space="preserve">and</w:t>
      </w:r>
      <w:r>
        <w:t xml:space="preserve"> </w:t>
      </w:r>
      <w:r>
        <w:t xml:space="preserve">natural</w:t>
      </w:r>
      <w:r>
        <w:t xml:space="preserve"> </w:t>
      </w:r>
      <w:r>
        <w:t xml:space="preserve">language</w:t>
      </w:r>
      <w:r>
        <w:t xml:space="preserve"> </w:t>
      </w:r>
      <w:r>
        <w:t xml:space="preserve">processing</w:t>
      </w:r>
      <w:r>
        <w:t xml:space="preserve"> </w:t>
      </w:r>
      <w:r>
        <w:t xml:space="preserve">to</w:t>
      </w:r>
      <w:r>
        <w:t xml:space="preserve"> </w:t>
      </w:r>
      <w:r>
        <w:t xml:space="preserve">develop</w:t>
      </w:r>
      <w:r>
        <w:t xml:space="preserve"> </w:t>
      </w:r>
      <w:r>
        <w:t xml:space="preserve">a</w:t>
      </w:r>
      <w:r>
        <w:t xml:space="preserve"> </w:t>
      </w:r>
      <w:r>
        <w:t xml:space="preserve">socio-technical</w:t>
      </w:r>
      <w:r>
        <w:t xml:space="preserve"> </w:t>
      </w:r>
      <w:r>
        <w:t xml:space="preserve">framework:</w:t>
      </w:r>
      <w:r>
        <w:t xml:space="preserve"> </w:t>
      </w:r>
      <w:r>
        <w:t xml:space="preserve">Human-in-the-Loop</w:t>
      </w:r>
      <w:r>
        <w:t xml:space="preserve"> </w:t>
      </w:r>
      <w:r>
        <w:t xml:space="preserve">Knowledge</w:t>
      </w:r>
      <w:r>
        <w:t xml:space="preserve"> </w:t>
      </w:r>
      <w:r>
        <w:t xml:space="preserve">Governance</w:t>
      </w:r>
      <w:r>
        <w:t xml:space="preserve"> </w:t>
      </w:r>
      <w:r>
        <w:t xml:space="preserve">(HITL-KG).</w:t>
      </w:r>
    </w:p>
    <w:p>
      <w:pPr>
        <w:pStyle w:val="Abstract"/>
      </w:pPr>
      <w:r>
        <w:t xml:space="preserve">HITL-KG</w:t>
      </w:r>
      <w:r>
        <w:t xml:space="preserve"> </w:t>
      </w:r>
      <w:r>
        <w:t xml:space="preserve">is</w:t>
      </w:r>
      <w:r>
        <w:t xml:space="preserve"> </w:t>
      </w:r>
      <w:r>
        <w:t xml:space="preserve">designed</w:t>
      </w:r>
      <w:r>
        <w:t xml:space="preserve"> </w:t>
      </w:r>
      <w:r>
        <w:t xml:space="preserve">to</w:t>
      </w:r>
      <w:r>
        <w:t xml:space="preserve"> </w:t>
      </w:r>
      <w:r>
        <w:t xml:space="preserve">shift</w:t>
      </w:r>
      <w:r>
        <w:t xml:space="preserve"> </w:t>
      </w:r>
      <w:r>
        <w:t xml:space="preserve">the</w:t>
      </w:r>
      <w:r>
        <w:t xml:space="preserve"> </w:t>
      </w:r>
      <w:r>
        <w:t xml:space="preserve">locus</w:t>
      </w:r>
      <w:r>
        <w:t xml:space="preserve"> </w:t>
      </w:r>
      <w:r>
        <w:t xml:space="preserve">of</w:t>
      </w:r>
      <w:r>
        <w:t xml:space="preserve"> </w:t>
      </w:r>
      <w:r>
        <w:t xml:space="preserve">organizational</w:t>
      </w:r>
      <w:r>
        <w:t xml:space="preserve"> </w:t>
      </w:r>
      <w:r>
        <w:t xml:space="preserve">knowledge</w:t>
      </w:r>
      <w:r>
        <w:t xml:space="preserve"> </w:t>
      </w:r>
      <w:r>
        <w:t xml:space="preserve">from</w:t>
      </w:r>
      <w:r>
        <w:t xml:space="preserve"> </w:t>
      </w:r>
      <w:r>
        <w:t xml:space="preserve">volatile</w:t>
      </w:r>
      <w:r>
        <w:t xml:space="preserve"> </w:t>
      </w:r>
      <w:r>
        <w:t xml:space="preserve">human</w:t>
      </w:r>
      <w:r>
        <w:t xml:space="preserve"> </w:t>
      </w:r>
      <w:r>
        <w:t xml:space="preserve">memory</w:t>
      </w:r>
      <w:r>
        <w:t xml:space="preserve"> </w:t>
      </w:r>
      <w:r>
        <w:t xml:space="preserve">to</w:t>
      </w:r>
      <w:r>
        <w:t xml:space="preserve"> </w:t>
      </w:r>
      <w:r>
        <w:t xml:space="preserve">durable</w:t>
      </w:r>
      <w:r>
        <w:t xml:space="preserve"> </w:t>
      </w:r>
      <w:r>
        <w:t xml:space="preserve">semantic</w:t>
      </w:r>
      <w:r>
        <w:t xml:space="preserve"> </w:t>
      </w:r>
      <w:r>
        <w:t xml:space="preserve">artifacts</w:t>
      </w:r>
      <w:r>
        <w:t xml:space="preserve"> </w:t>
      </w:r>
      <w:r>
        <w:t xml:space="preserve">called</w:t>
      </w:r>
      <w:r>
        <w:t xml:space="preserve"> </w:t>
      </w:r>
      <w:r>
        <w:t xml:space="preserve">“</w:t>
      </w:r>
      <w:r>
        <w:t xml:space="preserve">Validated</w:t>
      </w:r>
      <w:r>
        <w:t xml:space="preserve"> </w:t>
      </w:r>
      <w:r>
        <w:t xml:space="preserve">Query</w:t>
      </w:r>
      <w:r>
        <w:t xml:space="preserve"> </w:t>
      </w:r>
      <w:r>
        <w:t xml:space="preserve">Triples,</w:t>
      </w:r>
      <w:r>
        <w:t xml:space="preserve">”</w:t>
      </w:r>
      <w:r>
        <w:t xml:space="preserve"> </w:t>
      </w:r>
      <w:r>
        <w:t xml:space="preserve">each</w:t>
      </w:r>
      <w:r>
        <w:t xml:space="preserve"> </w:t>
      </w:r>
      <w:r>
        <w:t xml:space="preserve">comprising</w:t>
      </w:r>
      <w:r>
        <w:t xml:space="preserve"> </w:t>
      </w:r>
      <w:r>
        <w:t xml:space="preserve">a</w:t>
      </w:r>
      <w:r>
        <w:t xml:space="preserve"> </w:t>
      </w:r>
      <w:r>
        <w:t xml:space="preserve">natural</w:t>
      </w:r>
      <w:r>
        <w:t xml:space="preserve"> </w:t>
      </w:r>
      <w:r>
        <w:t xml:space="preserve">language</w:t>
      </w:r>
      <w:r>
        <w:t xml:space="preserve"> </w:t>
      </w:r>
      <w:r>
        <w:t xml:space="preserve">intent,</w:t>
      </w:r>
      <w:r>
        <w:t xml:space="preserve"> </w:t>
      </w:r>
      <w:r>
        <w:t xml:space="preserve">executable</w:t>
      </w:r>
      <w:r>
        <w:t xml:space="preserve"> </w:t>
      </w:r>
      <w:r>
        <w:t xml:space="preserve">SQL,</w:t>
      </w:r>
      <w:r>
        <w:t xml:space="preserve"> </w:t>
      </w:r>
      <w:r>
        <w:t xml:space="preserve">and</w:t>
      </w:r>
      <w:r>
        <w:t xml:space="preserve"> </w:t>
      </w:r>
      <w:r>
        <w:t xml:space="preserve">rationale</w:t>
      </w:r>
      <w:r>
        <w:t xml:space="preserve"> </w:t>
      </w:r>
      <w:r>
        <w:t xml:space="preserve">metadata.</w:t>
      </w:r>
      <w:r>
        <w:t xml:space="preserve"> </w:t>
      </w:r>
      <w:r>
        <w:t xml:space="preserve">By</w:t>
      </w:r>
      <w:r>
        <w:t xml:space="preserve"> </w:t>
      </w:r>
      <w:r>
        <w:t xml:space="preserve">embedding</w:t>
      </w:r>
      <w:r>
        <w:t xml:space="preserve"> </w:t>
      </w:r>
      <w:r>
        <w:t xml:space="preserve">knowledge</w:t>
      </w:r>
      <w:r>
        <w:t xml:space="preserve"> </w:t>
      </w:r>
      <w:r>
        <w:t xml:space="preserve">capture</w:t>
      </w:r>
      <w:r>
        <w:t xml:space="preserve"> </w:t>
      </w:r>
      <w:r>
        <w:t xml:space="preserve">into</w:t>
      </w:r>
      <w:r>
        <w:t xml:space="preserve"> </w:t>
      </w:r>
      <w:r>
        <w:t xml:space="preserve">the</w:t>
      </w:r>
      <w:r>
        <w:t xml:space="preserve"> </w:t>
      </w:r>
      <w:r>
        <w:t xml:space="preserve">daily</w:t>
      </w:r>
      <w:r>
        <w:t xml:space="preserve"> </w:t>
      </w:r>
      <w:r>
        <w:t xml:space="preserve">query</w:t>
      </w:r>
      <w:r>
        <w:t xml:space="preserve"> </w:t>
      </w:r>
      <w:r>
        <w:t xml:space="preserve">workflow,</w:t>
      </w:r>
      <w:r>
        <w:t xml:space="preserve"> </w:t>
      </w:r>
      <w:r>
        <w:t xml:space="preserve">the</w:t>
      </w:r>
      <w:r>
        <w:t xml:space="preserve"> </w:t>
      </w:r>
      <w:r>
        <w:t xml:space="preserve">framework</w:t>
      </w:r>
      <w:r>
        <w:t xml:space="preserve"> </w:t>
      </w:r>
      <w:r>
        <w:t xml:space="preserve">aims</w:t>
      </w:r>
      <w:r>
        <w:t xml:space="preserve"> </w:t>
      </w:r>
      <w:r>
        <w:t xml:space="preserve">to</w:t>
      </w:r>
      <w:r>
        <w:t xml:space="preserve"> </w:t>
      </w:r>
      <w:r>
        <w:t xml:space="preserve">convert</w:t>
      </w:r>
      <w:r>
        <w:t xml:space="preserve"> </w:t>
      </w:r>
      <w:r>
        <w:t xml:space="preserve">ephemeral</w:t>
      </w:r>
      <w:r>
        <w:t xml:space="preserve"> </w:t>
      </w:r>
      <w:r>
        <w:t xml:space="preserve">analytics</w:t>
      </w:r>
      <w:r>
        <w:t xml:space="preserve"> </w:t>
      </w:r>
      <w:r>
        <w:t xml:space="preserve">into</w:t>
      </w:r>
      <w:r>
        <w:t xml:space="preserve"> </w:t>
      </w:r>
      <w:r>
        <w:t xml:space="preserve">permanent</w:t>
      </w:r>
      <w:r>
        <w:t xml:space="preserve"> </w:t>
      </w:r>
      <w:r>
        <w:t xml:space="preserve">institutional</w:t>
      </w:r>
      <w:r>
        <w:t xml:space="preserve"> </w:t>
      </w:r>
      <w:r>
        <w:t xml:space="preserve">assets.</w:t>
      </w:r>
      <w:r>
        <w:t xml:space="preserve"> </w:t>
      </w:r>
      <w:r>
        <w:t xml:space="preserve">The</w:t>
      </w:r>
      <w:r>
        <w:t xml:space="preserve"> </w:t>
      </w:r>
      <w:r>
        <w:t xml:space="preserve">accompanying</w:t>
      </w:r>
      <w:r>
        <w:t xml:space="preserve"> </w:t>
      </w:r>
      <w:r>
        <w:t xml:space="preserve">Three-Pillar</w:t>
      </w:r>
      <w:r>
        <w:t xml:space="preserve"> </w:t>
      </w:r>
      <w:r>
        <w:t xml:space="preserve">Assessment</w:t>
      </w:r>
      <w:r>
        <w:t xml:space="preserve"> </w:t>
      </w:r>
      <w:r>
        <w:t xml:space="preserve">Rubric</w:t>
      </w:r>
      <w:r>
        <w:t xml:space="preserve"> </w:t>
      </w:r>
      <w:r>
        <w:t xml:space="preserve">enables</w:t>
      </w:r>
      <w:r>
        <w:t xml:space="preserve"> </w:t>
      </w:r>
      <w:r>
        <w:t xml:space="preserve">organizations</w:t>
      </w:r>
      <w:r>
        <w:t xml:space="preserve"> </w:t>
      </w:r>
      <w:r>
        <w:t xml:space="preserve">to</w:t>
      </w:r>
      <w:r>
        <w:t xml:space="preserve"> </w:t>
      </w:r>
      <w:r>
        <w:t xml:space="preserve">identify</w:t>
      </w:r>
      <w:r>
        <w:t xml:space="preserve"> </w:t>
      </w:r>
      <w:r>
        <w:t xml:space="preserve">compounding</w:t>
      </w:r>
      <w:r>
        <w:t xml:space="preserve"> </w:t>
      </w:r>
      <w:r>
        <w:t xml:space="preserve">vulnerabilities</w:t>
      </w:r>
      <w:r>
        <w:t xml:space="preserve"> </w:t>
      </w:r>
      <w:r>
        <w:t xml:space="preserve">across</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bstract"/>
      </w:pPr>
      <w:r>
        <w:t xml:space="preserve">The</w:t>
      </w:r>
      <w:r>
        <w:t xml:space="preserve"> </w:t>
      </w:r>
      <w:r>
        <w:t xml:space="preserve">“</w:t>
      </w:r>
      <w:r>
        <w:t xml:space="preserve">Validator</w:t>
      </w:r>
      <w:r>
        <w:t xml:space="preserve"> </w:t>
      </w:r>
      <w:r>
        <w:t xml:space="preserve">Paradox</w:t>
      </w:r>
      <w:r>
        <w:t xml:space="preserve">”</w:t>
      </w:r>
      <w:r>
        <w:t xml:space="preserve"> </w:t>
      </w:r>
      <w:r>
        <w:t xml:space="preserve">(who</w:t>
      </w:r>
      <w:r>
        <w:t xml:space="preserve"> </w:t>
      </w:r>
      <w:r>
        <w:t xml:space="preserve">validates</w:t>
      </w:r>
      <w:r>
        <w:t xml:space="preserve"> </w:t>
      </w:r>
      <w:r>
        <w:t xml:space="preserve">the</w:t>
      </w:r>
      <w:r>
        <w:t xml:space="preserve"> </w:t>
      </w:r>
      <w:r>
        <w:t xml:space="preserve">AI</w:t>
      </w:r>
      <w:r>
        <w:t xml:space="preserve"> </w:t>
      </w:r>
      <w:r>
        <w:t xml:space="preserve">when</w:t>
      </w:r>
      <w:r>
        <w:t xml:space="preserve"> </w:t>
      </w:r>
      <w:r>
        <w:t xml:space="preserve">experts</w:t>
      </w:r>
      <w:r>
        <w:t xml:space="preserve"> </w:t>
      </w:r>
      <w:r>
        <w:t xml:space="preserve">leave?)</w:t>
      </w:r>
      <w:r>
        <w:t xml:space="preserve"> </w:t>
      </w:r>
      <w:r>
        <w:t xml:space="preserve">is</w:t>
      </w:r>
      <w:r>
        <w:t xml:space="preserve"> </w:t>
      </w:r>
      <w:r>
        <w:t xml:space="preserve">addressed</w:t>
      </w:r>
      <w:r>
        <w:t xml:space="preserve"> </w:t>
      </w:r>
      <w:r>
        <w:t xml:space="preserve">by</w:t>
      </w:r>
      <w:r>
        <w:t xml:space="preserve"> </w:t>
      </w:r>
      <w:r>
        <w:t xml:space="preserve">reframing</w:t>
      </w:r>
      <w:r>
        <w:t xml:space="preserve"> </w:t>
      </w:r>
      <w:r>
        <w:t xml:space="preserve">validation</w:t>
      </w:r>
      <w:r>
        <w:t xml:space="preserve"> </w:t>
      </w:r>
      <w:r>
        <w:t xml:space="preserve">through</w:t>
      </w:r>
      <w:r>
        <w:t xml:space="preserve"> </w:t>
      </w:r>
      <w:r>
        <w:t xml:space="preserve">Lean</w:t>
      </w:r>
      <w:r>
        <w:t xml:space="preserve"> </w:t>
      </w:r>
      <w:r>
        <w:t xml:space="preserve">“</w:t>
      </w:r>
      <w:r>
        <w:t xml:space="preserve">Standard</w:t>
      </w:r>
      <w:r>
        <w:t xml:space="preserve"> </w:t>
      </w:r>
      <w:r>
        <w:t xml:space="preserve">Work</w:t>
      </w:r>
      <w:r>
        <w:t xml:space="preserve">”</w:t>
      </w:r>
      <w:r>
        <w:t xml:space="preserve">:</w:t>
      </w:r>
      <w:r>
        <w:t xml:space="preserve"> </w:t>
      </w:r>
      <w:r>
        <w:t xml:space="preserve">each</w:t>
      </w:r>
      <w:r>
        <w:t xml:space="preserve"> </w:t>
      </w:r>
      <w:r>
        <w:t xml:space="preserve">validated</w:t>
      </w:r>
      <w:r>
        <w:t xml:space="preserve"> </w:t>
      </w:r>
      <w:r>
        <w:t xml:space="preserve">query</w:t>
      </w:r>
      <w:r>
        <w:t xml:space="preserve"> </w:t>
      </w:r>
      <w:r>
        <w:t xml:space="preserve">establishes</w:t>
      </w:r>
      <w:r>
        <w:t xml:space="preserve"> </w:t>
      </w:r>
      <w:r>
        <w:t xml:space="preserve">the</w:t>
      </w:r>
      <w:r>
        <w:t xml:space="preserve"> </w:t>
      </w:r>
      <w:r>
        <w:t xml:space="preserve">current</w:t>
      </w:r>
      <w:r>
        <w:t xml:space="preserve"> </w:t>
      </w:r>
      <w:r>
        <w:t xml:space="preserve">known</w:t>
      </w:r>
      <w:r>
        <w:t xml:space="preserve"> </w:t>
      </w:r>
      <w:r>
        <w:t xml:space="preserve">standard</w:t>
      </w:r>
      <w:r>
        <w:t xml:space="preserve"> </w:t>
      </w:r>
      <w:r>
        <w:t xml:space="preserve">rather</w:t>
      </w:r>
      <w:r>
        <w:t xml:space="preserve"> </w:t>
      </w:r>
      <w:r>
        <w:t xml:space="preserve">than</w:t>
      </w:r>
      <w:r>
        <w:t xml:space="preserve"> </w:t>
      </w:r>
      <w:r>
        <w:t xml:space="preserve">eternal</w:t>
      </w:r>
      <w:r>
        <w:t xml:space="preserve"> </w:t>
      </w:r>
      <w:r>
        <w:t xml:space="preserve">truth,</w:t>
      </w:r>
      <w:r>
        <w:t xml:space="preserve"> </w:t>
      </w:r>
      <w:r>
        <w:t xml:space="preserve">functioning</w:t>
      </w:r>
      <w:r>
        <w:t xml:space="preserve"> </w:t>
      </w:r>
      <w:r>
        <w:t xml:space="preserve">as</w:t>
      </w:r>
      <w:r>
        <w:t xml:space="preserve"> </w:t>
      </w:r>
      <w:r>
        <w:t xml:space="preserve">a</w:t>
      </w:r>
      <w:r>
        <w:t xml:space="preserve"> </w:t>
      </w:r>
      <w:r>
        <w:t xml:space="preserve">“</w:t>
      </w:r>
      <w:r>
        <w:t xml:space="preserve">knowledge</w:t>
      </w:r>
      <w:r>
        <w:t xml:space="preserve"> </w:t>
      </w:r>
      <w:r>
        <w:t xml:space="preserve">ratchet</w:t>
      </w:r>
      <w:r>
        <w:t xml:space="preserve">”</w:t>
      </w:r>
      <w:r>
        <w:t xml:space="preserve"> </w:t>
      </w:r>
      <w:r>
        <w:t xml:space="preserve">that</w:t>
      </w:r>
      <w:r>
        <w:t xml:space="preserve"> </w:t>
      </w:r>
      <w:r>
        <w:t xml:space="preserve">prevents</w:t>
      </w:r>
      <w:r>
        <w:t xml:space="preserve"> </w:t>
      </w:r>
      <w:r>
        <w:t xml:space="preserve">regression.</w:t>
      </w:r>
      <w:r>
        <w:t xml:space="preserve"> </w:t>
      </w:r>
      <w:r>
        <w:t xml:space="preserve">Decoupling</w:t>
      </w:r>
      <w:r>
        <w:t xml:space="preserve"> </w:t>
      </w:r>
      <w:r>
        <w:t xml:space="preserve">analytical</w:t>
      </w:r>
      <w:r>
        <w:t xml:space="preserve"> </w:t>
      </w:r>
      <w:r>
        <w:t xml:space="preserve">capability</w:t>
      </w:r>
      <w:r>
        <w:t xml:space="preserve"> </w:t>
      </w:r>
      <w:r>
        <w:t xml:space="preserve">from</w:t>
      </w:r>
      <w:r>
        <w:t xml:space="preserve"> </w:t>
      </w:r>
      <w:r>
        <w:t xml:space="preserve">individual</w:t>
      </w:r>
      <w:r>
        <w:t xml:space="preserve"> </w:t>
      </w:r>
      <w:r>
        <w:t xml:space="preserve">tenure</w:t>
      </w:r>
      <w:r>
        <w:t xml:space="preserve"> </w:t>
      </w:r>
      <w:r>
        <w:t xml:space="preserve">lets</w:t>
      </w:r>
      <w:r>
        <w:t xml:space="preserve"> </w:t>
      </w:r>
      <w:r>
        <w:t xml:space="preserve">analytics</w:t>
      </w:r>
      <w:r>
        <w:t xml:space="preserve"> </w:t>
      </w:r>
      <w:r>
        <w:t xml:space="preserve">maturity</w:t>
      </w:r>
      <w:r>
        <w:t xml:space="preserve"> </w:t>
      </w:r>
      <w:r>
        <w:t xml:space="preserve">advance</w:t>
      </w:r>
      <w:r>
        <w:t xml:space="preserve"> </w:t>
      </w:r>
      <w:r>
        <w:t xml:space="preserve">even</w:t>
      </w:r>
      <w:r>
        <w:t xml:space="preserve"> </w:t>
      </w:r>
      <w:r>
        <w:t xml:space="preserve">as</w:t>
      </w:r>
      <w:r>
        <w:t xml:space="preserve"> </w:t>
      </w:r>
      <w:r>
        <w:t xml:space="preserve">the</w:t>
      </w:r>
      <w:r>
        <w:t xml:space="preserve"> </w:t>
      </w:r>
      <w:r>
        <w:t xml:space="preserve">workforce</w:t>
      </w:r>
      <w:r>
        <w:t xml:space="preserve"> </w:t>
      </w:r>
      <w:r>
        <w:t xml:space="preserve">evolves.</w:t>
      </w:r>
      <w:r>
        <w:t xml:space="preserve"> </w:t>
      </w:r>
      <w:r>
        <w:t xml:space="preserve">This</w:t>
      </w:r>
      <w:r>
        <w:t xml:space="preserve"> </w:t>
      </w:r>
      <w:r>
        <w:t xml:space="preserve">paper</w:t>
      </w:r>
      <w:r>
        <w:t xml:space="preserve"> </w:t>
      </w:r>
      <w:r>
        <w:t xml:space="preserve">proposes</w:t>
      </w:r>
      <w:r>
        <w:t xml:space="preserve"> </w:t>
      </w:r>
      <w:r>
        <w:t xml:space="preserve">and</w:t>
      </w:r>
      <w:r>
        <w:t xml:space="preserve"> </w:t>
      </w:r>
      <w:r>
        <w:t xml:space="preserve">theoretically</w:t>
      </w:r>
      <w:r>
        <w:t xml:space="preserve"> </w:t>
      </w:r>
      <w:r>
        <w:t xml:space="preserve">motivates</w:t>
      </w:r>
      <w:r>
        <w:t xml:space="preserve"> </w:t>
      </w:r>
      <w:r>
        <w:t xml:space="preserve">the</w:t>
      </w:r>
      <w:r>
        <w:t xml:space="preserve"> </w:t>
      </w:r>
      <w:r>
        <w:t xml:space="preserve">framework;</w:t>
      </w:r>
      <w:r>
        <w:t xml:space="preserve"> </w:t>
      </w:r>
      <w:r>
        <w:t xml:space="preserve">empirical</w:t>
      </w:r>
      <w:r>
        <w:t xml:space="preserve"> </w:t>
      </w:r>
      <w:r>
        <w:t xml:space="preserve">validation</w:t>
      </w:r>
      <w:r>
        <w:t xml:space="preserve"> </w:t>
      </w:r>
      <w:r>
        <w:t xml:space="preserve">is</w:t>
      </w:r>
      <w:r>
        <w:t xml:space="preserve"> </w:t>
      </w:r>
      <w:r>
        <w:t xml:space="preserve">deferred</w:t>
      </w:r>
      <w:r>
        <w:t xml:space="preserve"> </w:t>
      </w:r>
      <w:r>
        <w:t xml:space="preserve">to</w:t>
      </w:r>
      <w:r>
        <w:t xml:space="preserve"> </w:t>
      </w:r>
      <w:r>
        <w:t xml:space="preserve">a</w:t>
      </w:r>
      <w:r>
        <w:t xml:space="preserve"> </w:t>
      </w:r>
      <w:r>
        <w:t xml:space="preserve">companion</w:t>
      </w:r>
      <w:r>
        <w:t xml:space="preserve"> </w:t>
      </w:r>
      <w:r>
        <w:t xml:space="preserve">study.</w:t>
      </w:r>
    </w:p>
    <w:bookmarkStart w:id="20" w:name="Xa772df4b8f827734714eb2cb65812cb56df5f7d"/>
    <w:p>
      <w:pPr>
        <w:pStyle w:val="Heading1"/>
      </w:pPr>
      <w:r>
        <w:t xml:space="preserve">The Triple Threat: Institutional Amnesia in Healthcare Analytics</w:t>
      </w:r>
    </w:p>
    <w:p>
      <w:pPr>
        <w:pStyle w:val="FirstParagraph"/>
      </w:pPr>
      <w:r>
        <w:t xml:space="preserve">The healthcare analytics landscape is currently paralyzed by a</w:t>
      </w:r>
      <w:r>
        <w:t xml:space="preserve"> </w:t>
      </w:r>
      <w:r>
        <w:t xml:space="preserve">“</w:t>
      </w:r>
      <w:r>
        <w:t xml:space="preserve">Triple Threat</w:t>
      </w:r>
      <w:r>
        <w:t xml:space="preserve">”</w:t>
      </w:r>
      <w:r>
        <w:t xml:space="preserve"> </w:t>
      </w:r>
      <w:r>
        <w:t xml:space="preserve">of compounding failures: (1) persistently</w:t>
      </w:r>
      <w:r>
        <w:t xml:space="preserve"> </w:t>
      </w:r>
      <w:r>
        <w:rPr>
          <w:i/>
          <w:iCs/>
        </w:rPr>
        <w:t xml:space="preserve">Low Analytics Maturity</w:t>
      </w:r>
      <w:r>
        <w:t xml:space="preserve">, where despite decades of investment, as of late 2024 only 39 organizations globally had reached the top tiers of the Healthcare Information and Management Systems Society (HIMSS) Adoption Model for Analytics Maturity (AMAM)</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(2) a</w:t>
      </w:r>
      <w:r>
        <w:t xml:space="preserve"> </w:t>
      </w:r>
      <w:r>
        <w:rPr>
          <w:i/>
          <w:iCs/>
        </w:rPr>
        <w:t xml:space="preserve">Semantic Gap</w:t>
      </w:r>
      <w:r>
        <w:t xml:space="preserve"> </w:t>
      </w:r>
      <w:r>
        <w:t xml:space="preserve">between clinical intent and technical schema implementation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and (3) a profound crisis of</w:t>
      </w:r>
      <w:r>
        <w:t xml:space="preserve"> </w:t>
      </w:r>
      <w:r>
        <w:rPr>
          <w:i/>
          <w:iCs/>
        </w:rPr>
        <w:t xml:space="preserve">Workforce Instability</w:t>
      </w:r>
      <w:r>
        <w:t xml:space="preserve"> </w:t>
      </w:r>
      <w:r>
        <w:t xml:space="preserve">that creates</w:t>
      </w:r>
      <w:r>
        <w:t xml:space="preserve"> </w:t>
      </w:r>
      <w:r>
        <w:t xml:space="preserve">“</w:t>
      </w:r>
      <w:r>
        <w:t xml:space="preserve">Institutional Amnesia</w:t>
      </w:r>
      <w:r>
        <w:t xml:space="preserve">”</w:t>
      </w:r>
      <w:r>
        <w:t xml:space="preserve"> </w:t>
      </w:r>
      <w:r>
        <w:t xml:space="preserve">[</w:t>
      </w:r>
      <w:hyperlink w:anchor="ref-hong2025">
        <w:r>
          <w:rPr>
            <w:rStyle w:val="Hyperlink"/>
          </w:rPr>
          <w:t xml:space="preserve">5</w:t>
        </w:r>
      </w:hyperlink>
      <w:r>
        <w:t xml:space="preserve">]</w:t>
      </w:r>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chief information officers (CIOs) have held their roles for less than three years</w:t>
      </w:r>
      <w:r>
        <w:t xml:space="preserve"> </w:t>
      </w:r>
      <w:r>
        <w:t xml:space="preserve">[</w:t>
      </w:r>
      <w:hyperlink w:anchor="ref-wittkieffer2024">
        <w:r>
          <w:rPr>
            <w:rStyle w:val="Hyperlink"/>
          </w:rPr>
          <w:t xml:space="preserve">6</w:t>
        </w:r>
      </w:hyperlink>
      <w:r>
        <w:t xml:space="preserve">]</w:t>
      </w:r>
      <w:r>
        <w:t xml:space="preserve">, creating a strategic vacuum at the top. At the operational level, global nurse turnover runs at 16% to 18% annually</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and a 2025 study found that 55% of public health informatics specialists intend to leave their positions</w:t>
      </w:r>
      <w:r>
        <w:t xml:space="preserve"> </w:t>
      </w:r>
      <w:r>
        <w:t xml:space="preserve">[</w:t>
      </w:r>
      <w:hyperlink w:anchor="ref-rajamani2025">
        <w:r>
          <w:rPr>
            <w:rStyle w:val="Hyperlink"/>
          </w:rPr>
          <w:t xml:space="preserve">9</w:t>
        </w:r>
      </w:hyperlink>
      <w:r>
        <w:t xml:space="preserve">]</w:t>
      </w:r>
      <w:r>
        <w:t xml:space="preserve">.</w:t>
      </w:r>
    </w:p>
    <w:p>
      <w:pPr>
        <w:pStyle w:val="BodyText"/>
      </w:pPr>
      <w:r>
        <w:t xml:space="preserve">This turnover creates what public administration scholars term</w:t>
      </w:r>
      <w:r>
        <w:t xml:space="preserve"> </w:t>
      </w:r>
      <w:r>
        <w:rPr>
          <w:i/>
          <w:iCs/>
        </w:rPr>
        <w:t xml:space="preserve">institutional amnesia</w:t>
      </w:r>
      <w:r>
        <w:t xml:space="preserve"> </w:t>
      </w:r>
      <w:r>
        <w:t xml:space="preserve">[</w:t>
      </w:r>
      <w:hyperlink w:anchor="ref-pollitt2000">
        <w:r>
          <w:rPr>
            <w:rStyle w:val="Hyperlink"/>
          </w:rPr>
          <w:t xml:space="preserve">10</w:t>
        </w:r>
      </w:hyperlink>
      <w:r>
        <w:t xml:space="preserve">,</w:t>
      </w:r>
      <w:hyperlink w:anchor="ref-stark2019">
        <w:r>
          <w:rPr>
            <w:rStyle w:val="Hyperlink"/>
          </w:rPr>
          <w:t xml:space="preserve">11</w:t>
        </w:r>
      </w:hyperlink>
      <w:r>
        <w:t xml:space="preserve">]</w:t>
      </w:r>
      <w:r>
        <w:t xml:space="preserve"> </w:t>
      </w:r>
      <w:r>
        <w:t xml:space="preserve">and organization science studies as</w:t>
      </w:r>
      <w:r>
        <w:t xml:space="preserve"> </w:t>
      </w:r>
      <w:r>
        <w:rPr>
          <w:i/>
          <w:iCs/>
        </w:rPr>
        <w:t xml:space="preserve">organizational forgetting</w:t>
      </w:r>
      <w:r>
        <w:t xml:space="preserve"> </w:t>
      </w:r>
      <w:r>
        <w:t xml:space="preserve">[</w:t>
      </w:r>
      <w:hyperlink w:anchor="ref-deholan2004">
        <w:r>
          <w:rPr>
            <w:rStyle w:val="Hyperlink"/>
          </w:rPr>
          <w:t xml:space="preserve">12</w:t>
        </w:r>
      </w:hyperlink>
      <w:r>
        <w:t xml:space="preserve">,</w:t>
      </w:r>
      <w:hyperlink w:anchor="ref-rao2006">
        <w:r>
          <w:rPr>
            <w:rStyle w:val="Hyperlink"/>
          </w:rPr>
          <w:t xml:space="preserve">13</w:t>
        </w:r>
      </w:hyperlink>
      <w:r>
        <w:t xml:space="preserve">]</w:t>
      </w:r>
      <w:r>
        <w:t xml:space="preserve">: in healthcare analytics, the systematic erasure of the tacit knowledge required to interpret complex health data. In healthcare,</w:t>
      </w:r>
      <w:r>
        <w:t xml:space="preserve"> </w:t>
      </w:r>
      <w:r>
        <w:t xml:space="preserve">“</w:t>
      </w:r>
      <w:r>
        <w:t xml:space="preserve">data</w:t>
      </w:r>
      <w:r>
        <w:t xml:space="preserve">”</w:t>
      </w:r>
      <w:r>
        <w:t xml:space="preserve"> </w:t>
      </w:r>
      <w:r>
        <w:t xml:space="preserve">is never raw; it is wrapped in layers of institutional context (billing rules, workflow workarounds, and unwritten exclusions)</w:t>
      </w:r>
      <w:r>
        <w:t xml:space="preserve"> </w:t>
      </w:r>
      <w:r>
        <w:t xml:space="preserve">[</w:t>
      </w:r>
      <w:hyperlink w:anchor="ref-gitelman2013">
        <w:r>
          <w:rPr>
            <w:rStyle w:val="Hyperlink"/>
          </w:rPr>
          <w:t xml:space="preserve">14</w:t>
        </w:r>
      </w:hyperlink>
      <w:r>
        <w:t xml:space="preserve">]</w:t>
      </w:r>
      <w:r>
        <w:t xml:space="preserve">. When the analyst who knows that</w:t>
      </w:r>
      <w:r>
        <w:t xml:space="preserve"> </w:t>
      </w:r>
      <w:r>
        <w:t xml:space="preserve">“</w:t>
      </w:r>
      <w:r>
        <w:t xml:space="preserve">exclusion code 99</w:t>
      </w:r>
      <w:r>
        <w:t xml:space="preserve">”</w:t>
      </w:r>
      <w:r>
        <w:t xml:space="preserve"> </w:t>
      </w:r>
      <w:r>
        <w:t xml:space="preserve">actually means</w:t>
      </w:r>
      <w:r>
        <w:t xml:space="preserve"> </w:t>
      </w:r>
      <w:r>
        <w:t xml:space="preserve">“</w:t>
      </w:r>
      <w:r>
        <w:t xml:space="preserve">hospice transfer</w:t>
      </w:r>
      <w:r>
        <w:t xml:space="preserve">”</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r>
        <w:t xml:space="preserve"> </w:t>
      </w:r>
      <w:r>
        <w:t xml:space="preserve">[</w:t>
      </w:r>
      <w:hyperlink w:anchor="ref-himss2024">
        <w:r>
          <w:rPr>
            <w:rStyle w:val="Hyperlink"/>
          </w:rPr>
          <w:t xml:space="preserve">1</w:t>
        </w:r>
      </w:hyperlink>
      <w:r>
        <w:t xml:space="preserve">]</w:t>
      </w:r>
      <w:r>
        <w:t xml:space="preserve">. Technical solutions (e.g., natural language to SQL, or NL2SQL) assume a stable schema and clear intent</w:t>
      </w:r>
      <w:r>
        <w:t xml:space="preserve"> </w:t>
      </w:r>
      <w:r>
        <w:t xml:space="preserve">[</w:t>
      </w:r>
      <w:hyperlink w:anchor="ref-wang2020">
        <w:r>
          <w:rPr>
            <w:rStyle w:val="Hyperlink"/>
          </w:rPr>
          <w:t xml:space="preserve">15</w:t>
        </w:r>
      </w:hyperlink>
      <w:r>
        <w:t xml:space="preserve">]</w:t>
      </w:r>
      <w:r>
        <w:t xml:space="preserve">. Neither accounts for the reality of the</w:t>
      </w:r>
      <w:r>
        <w:t xml:space="preserve"> </w:t>
      </w:r>
      <w:r>
        <w:t xml:space="preserve">“</w:t>
      </w:r>
      <w:r>
        <w:t xml:space="preserve">Great Resignation,</w:t>
      </w:r>
      <w:r>
        <w:t xml:space="preserve">”</w:t>
      </w:r>
      <w:r>
        <w:t xml:space="preserve"> </w:t>
      </w:r>
      <w:r>
        <w:t xml:space="preserve">where the rate of knowledge loss often exceeds the rate of knowledge capture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r>
        <w:t xml:space="preserve"> </w:t>
      </w:r>
      <w:r>
        <w:t xml:space="preserve">[</w:t>
      </w:r>
      <w:hyperlink w:anchor="ref-mayo2016">
        <w:r>
          <w:rPr>
            <w:rStyle w:val="Hyperlink"/>
          </w:rPr>
          <w:t xml:space="preserve">16</w:t>
        </w:r>
      </w:hyperlink>
      <w:r>
        <w:t xml:space="preserve">]</w:t>
      </w:r>
      <w:r>
        <w:t xml:space="preserve">. They require overworked staff to stop working and write down what they know. In a high-burnout environment, this documentation is the first casualty. As a result, healthcare systems are trapped in a Sisyphus-like cycle: hiring new analysts who spend their limited tenure relearning the same institutional secrets, only to leave just as they become productive</w:t>
      </w:r>
      <w:r>
        <w:t xml:space="preserve"> </w:t>
      </w:r>
      <w:r>
        <w:t xml:space="preserve">[</w:t>
      </w:r>
      <w:hyperlink w:anchor="ref-ledikwe2013">
        <w:r>
          <w:rPr>
            <w:rStyle w:val="Hyperlink"/>
          </w:rPr>
          <w:t xml:space="preserve">17</w:t>
        </w:r>
      </w:hyperlink>
      <w:r>
        <w:t xml:space="preserve">,</w:t>
      </w:r>
      <w:hyperlink w:anchor="ref-mantas2010">
        <w:r>
          <w:rPr>
            <w:rStyle w:val="Hyperlink"/>
          </w:rPr>
          <w:t xml:space="preserve">18</w:t>
        </w:r>
      </w:hyperlink>
      <w:r>
        <w:t xml:space="preserve">]</w:t>
      </w:r>
      <w:r>
        <w:t xml:space="preserve">. A foundational 2004 study established that technical IT staff in organizations where IT is a support function, as in healthcare delivery, had the lowest expected tenure of any organizational category at just 2.9 years</w:t>
      </w:r>
      <w:r>
        <w:t xml:space="preserve"> </w:t>
      </w:r>
      <w:r>
        <w:t xml:space="preserve">[</w:t>
      </w:r>
      <w:hyperlink w:anchor="ref-ang2004">
        <w:r>
          <w:rPr>
            <w:rStyle w:val="Hyperlink"/>
          </w:rPr>
          <w:t xml:space="preserve">19</w:t>
        </w:r>
      </w:hyperlink>
      <w:r>
        <w:t xml:space="preserve">]</w:t>
      </w:r>
      <w:r>
        <w:t xml:space="preserve">. That this two-decade-old study remains a key benchmark is itself evidence of the crisis: the industry lacks the stability to track its own attrition. Contemporary signals, detailed below, suggest the situation has worsened.</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i/>
          <w:iCs/>
        </w:rPr>
        <w:t xml:space="preserve">Human-in-the-Loop Knowledge Governance (HITL-KG)</w:t>
      </w:r>
      <w:r>
        <w:t xml:space="preserve">.</w:t>
      </w:r>
    </w:p>
    <w:bookmarkEnd w:id="20"/>
    <w:bookmarkStart w:id="23" w:name="Xd1e5d85c386cb0a54481a328e393ff51b6e18a9"/>
    <w:p>
      <w:pPr>
        <w:pStyle w:val="Heading1"/>
      </w:pPr>
      <w:r>
        <w:t xml:space="preserve">Theoretical Grounding: SECI and the Unstable Workforce</w:t>
      </w:r>
    </w:p>
    <w:p>
      <w:pPr>
        <w:pStyle w:val="FirstParagraph"/>
      </w:pPr>
      <w:r>
        <w:t xml:space="preserve">We ground our analysis in Nonaka’s SECI (Socialization, Externalization, Combination, Internalization) model of knowledge creation</w:t>
      </w:r>
      <w:r>
        <w:t xml:space="preserve"> </w:t>
      </w:r>
      <w:r>
        <w:t xml:space="preserve">[</w:t>
      </w:r>
      <w:hyperlink w:anchor="ref-farnese2019">
        <w:r>
          <w:rPr>
            <w:rStyle w:val="Hyperlink"/>
          </w:rPr>
          <w:t xml:space="preserve">20</w:t>
        </w:r>
      </w:hyperlink>
      <w:r>
        <w:t xml:space="preserve">]</w:t>
      </w:r>
      <w:r>
        <w:t xml:space="preserve">, informed by a narrative literature review across healthcare analytics maturity, workforce turnover, and natural language processing, with grey literature assessed using the AACODS (Authority, Accuracy, Coverage, Objectivity, Date, Significance) checklist</w:t>
      </w:r>
      <w:r>
        <w:t xml:space="preserve"> </w:t>
      </w:r>
      <w:r>
        <w:t xml:space="preserve">[</w:t>
      </w:r>
      <w:hyperlink w:anchor="ref-tyndall2010">
        <w:r>
          <w:rPr>
            <w:rStyle w:val="Hyperlink"/>
          </w:rPr>
          <w:t xml:space="preserve">21</w:t>
        </w:r>
      </w:hyperlink>
      <w:r>
        <w:t xml:space="preserve">]</w:t>
      </w:r>
      <w:r>
        <w:t xml:space="preserve">. Grey literature was retained only when no peer-reviewed equivalent existed or when it provided unique industry data. The model describes organizational knowledge as emerging through a continuous cycle of four conversion modes:</w:t>
      </w:r>
    </w:p>
    <w:p>
      <w:pPr>
        <w:pStyle w:val="Compact"/>
        <w:numPr>
          <w:ilvl w:val="0"/>
          <w:numId w:val="1001"/>
        </w:numPr>
      </w:pPr>
      <w:r>
        <w:rPr>
          <w:i/>
          <w:i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i/>
          <w:i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i/>
          <w:i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i/>
          <w:i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r>
        <w:t xml:space="preserve"> </w:t>
      </w:r>
      <w:r>
        <w:t xml:space="preserve">[</w:t>
      </w:r>
      <w:hyperlink w:anchor="ref-farnese2019">
        <w:r>
          <w:rPr>
            <w:rStyle w:val="Hyperlink"/>
          </w:rPr>
          <w:t xml:space="preserve">20</w:t>
        </w:r>
      </w:hyperlink>
      <w:r>
        <w:t xml:space="preserve">]</w:t>
      </w:r>
      <w:r>
        <w:t xml:space="preserve">. When any mode breaks down, the spiral stalls. In healthcare analytics, the breakdown is at the very first stage.</w:t>
      </w:r>
    </w:p>
    <w:p>
      <w:pPr>
        <w:pStyle w:val="BodyText"/>
      </w:pPr>
      <w:r>
        <w:t xml:space="preserve">The three-pillar structure aligns with established models across healthcare informatics and knowledge management (Table 1):</w:t>
      </w:r>
    </w:p>
    <w:p>
      <w:pPr>
        <w:pStyle w:val="TableCaption"/>
      </w:pPr>
      <w:r>
        <w:t xml:space="preserve">Table 1. Framework alignment with established models.</w:t>
      </w:r>
      <w:r>
        <w:t xml:space="preserve"> </w:t>
      </w:r>
    </w:p>
    <w:tbl>
      <w:tblPr>
        <w:tblStyle w:val="Table"/>
        <w:tblW w:type="pct" w:w="5000"/>
        <w:jc w:val="left"/>
        <w:tblLayout w:type="fixed"/>
        <w:tblLook w:firstRow="1" w:lastRow="0" w:firstColumn="0" w:lastColumn="0" w:noHBand="0" w:noVBand="0" w:val="0020"/>
        <w:tblCaption w:val="Table 1. 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Data, Information, Knowledge, Wisdom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r>
        <w:t xml:space="preserve"> </w:t>
      </w:r>
      <w:r>
        <w:t xml:space="preserve">[</w:t>
      </w:r>
      <w:hyperlink w:anchor="ref-rao2006">
        <w:r>
          <w:rPr>
            <w:rStyle w:val="Hyperlink"/>
          </w:rPr>
          <w:t xml:space="preserve">13</w:t>
        </w:r>
      </w:hyperlink>
      <w:r>
        <w:t xml:space="preserve">,</w:t>
      </w:r>
      <w:hyperlink w:anchor="ref-farnese2019">
        <w:r>
          <w:rPr>
            <w:rStyle w:val="Hyperlink"/>
          </w:rPr>
          <w:t xml:space="preserve">20</w:t>
        </w:r>
      </w:hyperlink>
      <w:r>
        <w:t xml:space="preserve">]</w:t>
      </w:r>
      <w:r>
        <w:t xml:space="preserve">.</w:t>
      </w:r>
    </w:p>
    <w:bookmarkStart w:id="21" w:name="the-broken-cycle-socialization-failure"/>
    <w:p>
      <w:pPr>
        <w:pStyle w:val="Heading2"/>
      </w:pPr>
      <w:r>
        <w:t xml:space="preserve">The Broken Cycle: Socialization Failure</w:t>
      </w:r>
    </w:p>
    <w:p>
      <w:pPr>
        <w:pStyle w:val="FirstParagraph"/>
      </w:pPr>
      <w:r>
        <w:t xml:space="preserve">In Nonaka’s model,</w:t>
      </w:r>
      <w:r>
        <w:t xml:space="preserve"> </w:t>
      </w:r>
      <w:r>
        <w:rPr>
          <w:i/>
          <w:iCs/>
        </w:rPr>
        <w:t xml:space="preserve">Socialization</w:t>
      </w:r>
      <w:r>
        <w:t xml:space="preserve"> </w:t>
      </w:r>
      <w:r>
        <w:t xml:space="preserve">is the foundational conversion mode: the primary channel through which newcomers absorb tacit context that formal training cannot convey</w:t>
      </w:r>
      <w:r>
        <w:t xml:space="preserve"> </w:t>
      </w:r>
      <w:r>
        <w:t xml:space="preserve">[</w:t>
      </w:r>
      <w:hyperlink w:anchor="ref-farnese2019">
        <w:r>
          <w:rPr>
            <w:rStyle w:val="Hyperlink"/>
          </w:rPr>
          <w:t xml:space="preserve">20</w:t>
        </w:r>
      </w:hyperlink>
      <w:r>
        <w:t xml:space="preserve">]</w:t>
      </w:r>
      <w:r>
        <w:t xml:space="preserve">. Socialization depends on two preconditions: sustained interaction and sufficient temporal overlap between knowledge holders and receivers</w:t>
      </w:r>
      <w:r>
        <w:t xml:space="preserve"> </w:t>
      </w:r>
      <w:r>
        <w:t xml:space="preserve">[</w:t>
      </w:r>
      <w:hyperlink w:anchor="ref-foos2006">
        <w:r>
          <w:rPr>
            <w:rStyle w:val="Hyperlink"/>
          </w:rPr>
          <w:t xml:space="preserve">22</w:t>
        </w:r>
      </w:hyperlink>
      <w:r>
        <w:t xml:space="preserve">]</w:t>
      </w:r>
      <w:r>
        <w:t xml:space="preserve">. It is, in effect, an apprenticeship model requiring years of shared practice.</w:t>
      </w:r>
    </w:p>
    <w:p>
      <w:pPr>
        <w:pStyle w:val="BodyText"/>
      </w:pPr>
      <w:r>
        <w:t xml:space="preserve">In the current healthcare environment, this mechanism has collapsed. The leadership and operational turnover documented above reveals an</w:t>
      </w:r>
      <w:r>
        <w:t xml:space="preserve"> </w:t>
      </w:r>
      <w:r>
        <w:t xml:space="preserve">“</w:t>
      </w:r>
      <w:r>
        <w:t xml:space="preserve">apprenticeship window</w:t>
      </w:r>
      <w:r>
        <w:t xml:space="preserve">”</w:t>
      </w:r>
      <w:r>
        <w:t xml:space="preserve"> </w:t>
      </w:r>
      <w:r>
        <w:t xml:space="preserve">shorter than the knowledge transfer cycle it must support: 30% of new employees depart within their first year</w:t>
      </w:r>
      <w:r>
        <w:t xml:space="preserve"> </w:t>
      </w:r>
      <w:r>
        <w:t xml:space="preserve">[</w:t>
      </w:r>
      <w:hyperlink w:anchor="ref-nsi2025">
        <w:r>
          <w:rPr>
            <w:rStyle w:val="Hyperlink"/>
          </w:rPr>
          <w:t xml:space="preserve">23</w:t>
        </w:r>
      </w:hyperlink>
      <w:r>
        <w:t xml:space="preserve">]</w:t>
      </w:r>
      <w:r>
        <w:t xml:space="preserve">, while specialized informatics roles require 18 to 24 months to reach fluency</w:t>
      </w:r>
      <w:r>
        <w:t xml:space="preserve"> </w:t>
      </w:r>
      <w:r>
        <w:t xml:space="preserve">[</w:t>
      </w:r>
      <w:hyperlink w:anchor="ref-ledikwe2013">
        <w:r>
          <w:rPr>
            <w:rStyle w:val="Hyperlink"/>
          </w:rPr>
          <w:t xml:space="preserve">17</w:t>
        </w:r>
      </w:hyperlink>
      <w:r>
        <w:t xml:space="preserve">]</w:t>
      </w:r>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The resulting knowledge loss is compounding: each departure removes a node from the organization’s informal knowledge network, making subsequent Socialization attempts less effective because fewer experienced practitioners remain to serve as mentors</w:t>
      </w:r>
      <w:r>
        <w:t xml:space="preserve"> </w:t>
      </w:r>
      <w:r>
        <w:t xml:space="preserve">[</w:t>
      </w:r>
      <w:hyperlink w:anchor="ref-massingham2018">
        <w:r>
          <w:rPr>
            <w:rStyle w:val="Hyperlink"/>
          </w:rPr>
          <w:t xml:space="preserve">24</w:t>
        </w:r>
      </w:hyperlink>
      <w:r>
        <w:t xml:space="preserve">]</w:t>
      </w:r>
      <w:r>
        <w:t xml:space="preserve">. Socialization is no longer a viable strategy for resilience.</w:t>
      </w:r>
    </w:p>
    <w:bookmarkEnd w:id="21"/>
    <w:bookmarkStart w:id="22" w:name="Xf458f350ef8764fcb7ec571ecbc945d28921a42"/>
    <w:p>
      <w:pPr>
        <w:pStyle w:val="Heading2"/>
      </w:pPr>
      <w:r>
        <w:t xml:space="preserve">The Solution: Externalization via Socio-Technical Artifacts</w:t>
      </w:r>
    </w:p>
    <w:p>
      <w:pPr>
        <w:pStyle w:val="FirstParagraph"/>
      </w:pPr>
      <w:r>
        <w:t xml:space="preserve">To survive, organizations must shift reliance from Socialization to</w:t>
      </w:r>
      <w:r>
        <w:t xml:space="preserve"> </w:t>
      </w:r>
      <w:r>
        <w:rPr>
          <w:i/>
          <w:iCs/>
        </w:rPr>
        <w:t xml:space="preserve">Externalization</w:t>
      </w:r>
      <w:r>
        <w:t xml:space="preserve">: converting tacit knowledge into explicit, durable artifacts</w:t>
      </w:r>
      <w:r>
        <w:t xml:space="preserve"> </w:t>
      </w:r>
      <w:r>
        <w:t xml:space="preserve">[</w:t>
      </w:r>
      <w:hyperlink w:anchor="ref-zhang2025">
        <w:r>
          <w:rPr>
            <w:rStyle w:val="Hyperlink"/>
          </w:rPr>
          <w:t xml:space="preserve">25</w:t>
        </w:r>
      </w:hyperlink>
      <w:r>
        <w:t xml:space="preserve">]</w:t>
      </w:r>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r>
        <w:t xml:space="preserve"> </w:t>
      </w:r>
      <w:r>
        <w:t xml:space="preserve">[</w:t>
      </w:r>
      <w:hyperlink w:anchor="ref-goffin2011">
        <w:r>
          <w:rPr>
            <w:rStyle w:val="Hyperlink"/>
          </w:rPr>
          <w:t xml:space="preserve">26</w:t>
        </w:r>
      </w:hyperlink>
      <w:r>
        <w:t xml:space="preserve">]</w:t>
      </w:r>
      <w:r>
        <w:t xml:space="preserve">. In a high-burnout environment where organizations face persistent attrition and talent shortages</w:t>
      </w:r>
      <w:r>
        <w:t xml:space="preserve"> </w:t>
      </w:r>
      <w:r>
        <w:t xml:space="preserve">[</w:t>
      </w:r>
      <w:hyperlink w:anchor="ref-himssworkforce2024">
        <w:r>
          <w:rPr>
            <w:rStyle w:val="Hyperlink"/>
          </w:rPr>
          <w:t xml:space="preserve">27</w:t>
        </w:r>
      </w:hyperlink>
      <w:r>
        <w:t xml:space="preserve">]</w:t>
      </w:r>
      <w:r>
        <w:t xml:space="preserve">, this discretionary documentation is the first casualty. Second, it is low-fidelity: the act of writing down tacit knowledge inevitably loses nuance, context, and the conditional logic that makes institutional knowledge valuable</w:t>
      </w:r>
      <w:r>
        <w:t xml:space="preserve"> </w:t>
      </w:r>
      <w:r>
        <w:t xml:space="preserve">[</w:t>
      </w:r>
      <w:hyperlink w:anchor="ref-foos2006">
        <w:r>
          <w:rPr>
            <w:rStyle w:val="Hyperlink"/>
          </w:rPr>
          <w:t xml:space="preserve">22</w:t>
        </w:r>
      </w:hyperlink>
      <w:r>
        <w:t xml:space="preserve">]</w:t>
      </w:r>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analytics workflow rather than a separate documentation burden. The mechanism is a new socio-technical artifact: the</w:t>
      </w:r>
      <w:r>
        <w:t xml:space="preserve"> </w:t>
      </w:r>
      <w:r>
        <w:rPr>
          <w:i/>
          <w:i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i/>
          <w:iCs/>
        </w:rPr>
        <w:t xml:space="preserve">Natural Language Intent</w:t>
      </w:r>
      <w:r>
        <w:t xml:space="preserve">: The clinical business question (e.g.,</w:t>
      </w:r>
      <w:r>
        <w:t xml:space="preserve"> </w:t>
      </w:r>
      <w:r>
        <w:t xml:space="preserve">“</w:t>
      </w:r>
      <w:r>
        <w:t xml:space="preserve">Hypertension readmissions excluding planned transfers</w:t>
      </w:r>
      <w:r>
        <w:t xml:space="preserve">”</w:t>
      </w:r>
      <w:r>
        <w:t xml:space="preserve">).</w:t>
      </w:r>
      <w:r>
        <w:t xml:space="preserve"> </w:t>
      </w:r>
      <w:r>
        <w:t xml:space="preserve">2.</w:t>
      </w:r>
      <w:r>
        <w:t xml:space="preserve"> </w:t>
      </w:r>
      <w:r>
        <w:rPr>
          <w:i/>
          <w:iCs/>
        </w:rPr>
        <w:t xml:space="preserve">Executable SQL</w:t>
      </w:r>
      <w:r>
        <w:t xml:space="preserve">: The technical implementation.</w:t>
      </w:r>
      <w:r>
        <w:t xml:space="preserve"> </w:t>
      </w:r>
      <w:r>
        <w:t xml:space="preserve">3.</w:t>
      </w:r>
      <w:r>
        <w:t xml:space="preserve"> </w:t>
      </w:r>
      <w:r>
        <w:rPr>
          <w:i/>
          <w:iCs/>
        </w:rPr>
        <w:t xml:space="preserve">Rationale Metadata</w:t>
      </w:r>
      <w:r>
        <w:t xml:space="preserve">: The</w:t>
      </w:r>
      <w:r>
        <w:t xml:space="preserve"> </w:t>
      </w:r>
      <w:r>
        <w:t xml:space="preserve">“</w:t>
      </w:r>
      <w:r>
        <w:t xml:space="preserve">why</w:t>
      </w:r>
      <w:r>
        <w:t xml:space="preserve">”</w:t>
      </w:r>
      <w:r>
        <w:t xml:space="preserve"> </w:t>
      </w:r>
      <w:r>
        <w:t xml:space="preserve">behind the logic (e.g.,</w:t>
      </w:r>
      <w:r>
        <w:t xml:space="preserve"> </w:t>
      </w:r>
      <w:r>
        <w:t xml:space="preserve">“</w:t>
      </w:r>
      <w:r>
        <w:t xml:space="preserve">Excluding status 02 per Centers for Medicare and Medicaid Services (CMS) 2025 rule</w:t>
      </w:r>
      <w:r>
        <w:t xml:space="preserv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r>
        <w:t xml:space="preserve"> </w:t>
      </w:r>
      <w:r>
        <w:t xml:space="preserve">[</w:t>
      </w:r>
      <w:hyperlink w:anchor="ref-moore2018">
        <w:r>
          <w:rPr>
            <w:rStyle w:val="Hyperlink"/>
          </w:rPr>
          <w:t xml:space="preserve">28</w:t>
        </w:r>
      </w:hyperlink>
      <w:r>
        <w:t xml:space="preserve">]</w:t>
      </w:r>
      <w:r>
        <w:t xml:space="preserve">.</w:t>
      </w:r>
    </w:p>
    <w:bookmarkEnd w:id="22"/>
    <w:bookmarkEnd w:id="23"/>
    <w:bookmarkStart w:id="33" w:name="human-in-the-loop-knowledge-governance"/>
    <w:p>
      <w:pPr>
        <w:pStyle w:val="Heading1"/>
      </w:pPr>
      <w:r>
        <w:t xml:space="preserve">Human-in-the-Loop Knowledge Governance</w:t>
      </w:r>
    </w:p>
    <w:p>
      <w:pPr>
        <w:pStyle w:val="FirstParagraph"/>
      </w:pPr>
      <w:r>
        <w:t xml:space="preserve">We propose</w:t>
      </w:r>
      <w:r>
        <w:t xml:space="preserve"> </w:t>
      </w:r>
      <w:r>
        <w:rPr>
          <w:i/>
          <w:iCs/>
        </w:rPr>
        <w:t xml:space="preserve">Human-in-the-Loop Knowledge Governance (HITL-KG)</w:t>
      </w:r>
      <w:r>
        <w:t xml:space="preserve"> </w:t>
      </w:r>
      <w:r>
        <w:t xml:space="preserve">as the overarching governance framework, extending the knowledge governance approach</w:t>
      </w:r>
      <w:r>
        <w:t xml:space="preserve"> </w:t>
      </w:r>
      <w:r>
        <w:t xml:space="preserve">[</w:t>
      </w:r>
      <w:hyperlink w:anchor="ref-foss2007">
        <w:r>
          <w:rPr>
            <w:rStyle w:val="Hyperlink"/>
          </w:rPr>
          <w:t xml:space="preserve">29</w:t>
        </w:r>
      </w:hyperlink>
      <w:r>
        <w:t xml:space="preserve">]</w:t>
      </w:r>
      <w:r>
        <w:t xml:space="preserve"> </w:t>
      </w:r>
      <w:r>
        <w:t xml:space="preserve">with the Validated Query Cycle as its core operational process. This framing reflects that the system serves as a governance mechanism, not just a productivity tool.</w:t>
      </w:r>
    </w:p>
    <w:bookmarkStart w:id="30" w:name="the-hitl-kg-architecture"/>
    <w:p>
      <w:pPr>
        <w:pStyle w:val="Heading2"/>
      </w:pPr>
      <w:r>
        <w:t xml:space="preserve">The HITL-KG Architecture</w:t>
      </w:r>
    </w:p>
    <w:p>
      <w:pPr>
        <w:pStyle w:val="FirstParagraph"/>
      </w:pPr>
      <w:r>
        <w:t xml:space="preserve">The HITL-KG architecture (Figure 1) functions as a</w:t>
      </w:r>
      <w:r>
        <w:t xml:space="preserve"> </w:t>
      </w:r>
      <w:r>
        <w:rPr>
          <w:i/>
          <w:iCs/>
        </w:rPr>
        <w:t xml:space="preserve">Governance Forcing Function</w:t>
      </w:r>
      <w:r>
        <w:t xml:space="preserve">. It inserts a mandatory validation step into the analytics workflow, preventing laundered hallucinations while capturing expert knowledge.</w:t>
      </w:r>
    </w:p>
    <w:p>
      <w:pPr>
        <w:pStyle w:val="CaptionedFigure"/>
      </w:pPr>
      <w:r>
        <w:drawing>
          <wp:inline>
            <wp:extent cx="4613700" cy="5263754"/>
            <wp:effectExtent b="0" l="0" r="0" t="0"/>
            <wp:docPr descr="Figure 1. Human-in-the-Loop Knowledge Governance (HITL-KG) architecture." title="" id="25" name="Picture"/>
            <a:graphic>
              <a:graphicData uri="http://schemas.openxmlformats.org/drawingml/2006/picture">
                <pic:pic>
                  <pic:nvPicPr>
                    <pic:cNvPr descr="figures/architecture.mmd.png" id="26" name="Picture"/>
                    <pic:cNvPicPr>
                      <a:picLocks noChangeArrowheads="1" noChangeAspect="1"/>
                    </pic:cNvPicPr>
                  </pic:nvPicPr>
                  <pic:blipFill>
                    <a:blip r:embed="rId24"/>
                    <a:stretch>
                      <a:fillRect/>
                    </a:stretch>
                  </pic:blipFill>
                  <pic:spPr bwMode="auto">
                    <a:xfrm>
                      <a:off x="0" y="0"/>
                      <a:ext cx="4613700" cy="5263754"/>
                    </a:xfrm>
                    <a:prstGeom prst="rect">
                      <a:avLst/>
                    </a:prstGeom>
                    <a:noFill/>
                    <a:ln w="9525">
                      <a:noFill/>
                      <a:headEnd/>
                      <a:tailEnd/>
                    </a:ln>
                  </pic:spPr>
                </pic:pic>
              </a:graphicData>
            </a:graphic>
          </wp:inline>
        </w:drawing>
      </w:r>
    </w:p>
    <w:p>
      <w:pPr>
        <w:pStyle w:val="ImageCaption"/>
      </w:pPr>
      <w:r>
        <w:t xml:space="preserve">Figure 1. Human-in-the-Loop Knowledge Governance (HITL-KG) architecture.</w:t>
      </w:r>
    </w:p>
    <w:p>
      <w:pPr>
        <w:pStyle w:val="BodyText"/>
      </w:pPr>
      <w:r>
        <w:t xml:space="preserve">A clinical user’s natural language query (step 1) is translated to SQL and run against the data warehouse (steps 2-3); an expert validation gate (step 4) either returns confirmed insights (steps 5-6) or loops back for correction. Confirmed query triples enter organizational memory (step 7, dashed line), which informs future queries and curates the knowledge base (step 8), closing a continuous-learning loop in which best practices evolve rather than remain static.</w:t>
      </w:r>
    </w:p>
    <w:p>
      <w:pPr>
        <w:pStyle w:val="BodyText"/>
      </w:pPr>
      <w:r>
        <w:t xml:space="preserve">Figure 2 summarizes the corresponding six-step Validated Query Cycle, tracing queries from clinical intent through expert validation into durable organizational memory.</w:t>
      </w:r>
    </w:p>
    <w:p>
      <w:pPr>
        <w:pStyle w:val="CaptionedFigure"/>
      </w:pPr>
      <w:r>
        <w:drawing>
          <wp:inline>
            <wp:extent cx="3381271" cy="6099048"/>
            <wp:effectExtent b="0" l="0" r="0" t="0"/>
            <wp:docPr descr="Figure 2. The six-step Validated Query Cycle and its mapping to the three pillars." title="" id="28" name="Picture"/>
            <a:graphic>
              <a:graphicData uri="http://schemas.openxmlformats.org/drawingml/2006/picture">
                <pic:pic>
                  <pic:nvPicPr>
                    <pic:cNvPr descr="figures/knowledge-cycle.mmd.png" id="29" name="Picture"/>
                    <pic:cNvPicPr>
                      <a:picLocks noChangeArrowheads="1" noChangeAspect="1"/>
                    </pic:cNvPicPr>
                  </pic:nvPicPr>
                  <pic:blipFill>
                    <a:blip r:embed="rId27"/>
                    <a:stretch>
                      <a:fillRect/>
                    </a:stretch>
                  </pic:blipFill>
                  <pic:spPr bwMode="auto">
                    <a:xfrm>
                      <a:off x="0" y="0"/>
                      <a:ext cx="3381271" cy="6099048"/>
                    </a:xfrm>
                    <a:prstGeom prst="rect">
                      <a:avLst/>
                    </a:prstGeom>
                    <a:noFill/>
                    <a:ln w="9525">
                      <a:noFill/>
                      <a:headEnd/>
                      <a:tailEnd/>
                    </a:ln>
                  </pic:spPr>
                </pic:pic>
              </a:graphicData>
            </a:graphic>
          </wp:inline>
        </w:drawing>
      </w:r>
    </w:p>
    <w:p>
      <w:pPr>
        <w:pStyle w:val="ImageCaption"/>
      </w:pPr>
      <w:r>
        <w:t xml:space="preserve">Figure 2. The six-step Validated Query Cycle and its mapping to the three pillars.</w:t>
      </w:r>
    </w:p>
    <w:p>
      <w:pPr>
        <w:pStyle w:val="BodyText"/>
      </w:pPr>
      <w:r>
        <w:t xml:space="preserve">A natural language question (step 1) yields candidate SQL (step 2) that the analyst validates against the system’s explained logic (step 3), looping back if incorrect. Validated triples are stored in organizational memory (step 4), matched by future queries (step 5), and persist across staff turnover (step 6). Dashed arrows mark the pillar outcomes: storage advances analytics maturity, persistence stabilizes workforce agility, and retrieval increases technical enablement.</w:t>
      </w:r>
    </w:p>
    <w:bookmarkEnd w:id="30"/>
    <w:bookmarkStart w:id="31" w:name="the-process-of-externalization"/>
    <w:p>
      <w:pPr>
        <w:pStyle w:val="Heading2"/>
      </w:pPr>
      <w:r>
        <w:t xml:space="preserve">The Process of Externalization</w:t>
      </w:r>
    </w:p>
    <w:p>
      <w:pPr>
        <w:pStyle w:val="FirstParagraph"/>
      </w:pPr>
      <w:r>
        <w:t xml:space="preserve">The cycle proceeds from AI query generation</w:t>
      </w:r>
      <w:r>
        <w:t xml:space="preserve"> </w:t>
      </w:r>
      <w:r>
        <w:t xml:space="preserve">[</w:t>
      </w:r>
      <w:hyperlink w:anchor="ref-lee2023">
        <w:r>
          <w:rPr>
            <w:rStyle w:val="Hyperlink"/>
          </w:rPr>
          <w:t xml:space="preserve">30</w:t>
        </w:r>
      </w:hyperlink>
      <w:r>
        <w:t xml:space="preserve">]</w:t>
      </w:r>
      <w:r>
        <w:t xml:space="preserve"> </w:t>
      </w:r>
      <w:r>
        <w:t xml:space="preserve">through semantic translation to</w:t>
      </w:r>
      <w:r>
        <w:t xml:space="preserve"> </w:t>
      </w:r>
      <w:r>
        <w:rPr>
          <w:i/>
          <w:iCs/>
        </w:rPr>
        <w:t xml:space="preserve">Expert Validation</w:t>
      </w:r>
      <w:r>
        <w:t xml:space="preserve">, the critical moment of Externalization, where the domain expert confirms or corrects the AI’s interpretation and thereby captures tacit knowledge</w:t>
      </w:r>
      <w:r>
        <w:t xml:space="preserve"> </w:t>
      </w:r>
      <w:r>
        <w:t xml:space="preserve">[</w:t>
      </w:r>
      <w:hyperlink w:anchor="ref-bravorocca2023">
        <w:r>
          <w:rPr>
            <w:rStyle w:val="Hyperlink"/>
          </w:rPr>
          <w:t xml:space="preserve">31</w:t>
        </w:r>
      </w:hyperlink>
      <w:r>
        <w:t xml:space="preserve">,</w:t>
      </w:r>
      <w:hyperlink w:anchor="ref-mosqueirarey2023">
        <w:r>
          <w:rPr>
            <w:rStyle w:val="Hyperlink"/>
          </w:rPr>
          <w:t xml:space="preserve">32</w:t>
        </w:r>
      </w:hyperlink>
      <w:r>
        <w:t xml:space="preserve">]</w:t>
      </w:r>
      <w:r>
        <w:t xml:space="preserve">. The validated triple is hashed and stored in organizational memory</w:t>
      </w:r>
      <w:r>
        <w:t xml:space="preserve"> </w:t>
      </w:r>
      <w:r>
        <w:t xml:space="preserve">[</w:t>
      </w:r>
      <w:hyperlink w:anchor="ref-benbya2004">
        <w:r>
          <w:rPr>
            <w:rStyle w:val="Hyperlink"/>
          </w:rPr>
          <w:t xml:space="preserve">33</w:t>
        </w:r>
      </w:hyperlink>
      <w:r>
        <w:t xml:space="preserve">]</w:t>
      </w:r>
      <w:r>
        <w:t xml:space="preserve">, then retrieved ahead of future probabilistic generation</w:t>
      </w:r>
      <w:r>
        <w:t xml:space="preserve"> </w:t>
      </w:r>
      <w:r>
        <w:t xml:space="preserve">[</w:t>
      </w:r>
      <w:hyperlink w:anchor="ref-whittaker2008">
        <w:r>
          <w:rPr>
            <w:rStyle w:val="Hyperlink"/>
          </w:rPr>
          <w:t xml:space="preserve">34</w:t>
        </w:r>
      </w:hyperlink>
      <w:r>
        <w:t xml:space="preserve">]</w:t>
      </w:r>
      <w:r>
        <w:t xml:space="preserve">. Multimedia Appendix 1 details each step alongside worked examples.</w:t>
      </w:r>
    </w:p>
    <w:bookmarkEnd w:id="31"/>
    <w:bookmarkStart w:id="32" w:name="comparison-with-existing-approaches"/>
    <w:p>
      <w:pPr>
        <w:pStyle w:val="Heading2"/>
      </w:pPr>
      <w:r>
        <w:t xml:space="preserve">Comparison with Existing Approaches</w:t>
      </w:r>
    </w:p>
    <w:p>
      <w:pPr>
        <w:pStyle w:val="FirstParagraph"/>
      </w:pPr>
      <w:r>
        <w:t xml:space="preserve">Organizations have addressed institutional memory loss through several strategies, each with limitations HITL-KG overcomes.</w:t>
      </w:r>
    </w:p>
    <w:p>
      <w:pPr>
        <w:pStyle w:val="BodyText"/>
      </w:pPr>
      <w:r>
        <w:rPr>
          <w:i/>
          <w:iCs/>
        </w:rPr>
        <w:t xml:space="preserve">Code-based semantic layers</w:t>
      </w:r>
      <w:r>
        <w:t xml:space="preserve"> </w:t>
      </w:r>
      <w:r>
        <w:t xml:space="preserve">(e.g., dbt, LookML) encode business logic in version-controlled repositories, but suffer</w:t>
      </w:r>
      <w:r>
        <w:t xml:space="preserve"> </w:t>
      </w:r>
      <w:r>
        <w:t xml:space="preserve">“</w:t>
      </w:r>
      <w:r>
        <w:t xml:space="preserve">schema rot</w:t>
      </w:r>
      <w:r>
        <w:t xml:space="preserve">”</w:t>
      </w:r>
      <w:r>
        <w:t xml:space="preserve"> </w:t>
      </w:r>
      <w:r>
        <w:t xml:space="preserve">where electronic medical record (EMR) data models change frequently and maintenance exceeds high-turnover teams’ capacity, misaligning the layer from the underlying data</w:t>
      </w:r>
      <w:r>
        <w:t xml:space="preserve"> </w:t>
      </w:r>
      <w:r>
        <w:t xml:space="preserve">[</w:t>
      </w:r>
      <w:hyperlink w:anchor="ref-battula2025">
        <w:r>
          <w:rPr>
            <w:rStyle w:val="Hyperlink"/>
          </w:rPr>
          <w:t xml:space="preserve">35</w:t>
        </w:r>
      </w:hyperlink>
      <w:r>
        <w:t xml:space="preserve">]</w:t>
      </w:r>
      <w:r>
        <w:t xml:space="preserve">. HITL-KG’s validated query triples share the version-control principle but add the rationale metadata semantic layers lack: not just</w:t>
      </w:r>
      <w:r>
        <w:t xml:space="preserve"> </w:t>
      </w:r>
      <w:r>
        <w:rPr>
          <w:i/>
          <w:iCs/>
        </w:rPr>
        <w:t xml:space="preserve">what</w:t>
      </w:r>
      <w:r>
        <w:t xml:space="preserve"> </w:t>
      </w:r>
      <w:r>
        <w:t xml:space="preserve">a query does, but</w:t>
      </w:r>
      <w:r>
        <w:t xml:space="preserve"> </w:t>
      </w:r>
      <w:r>
        <w:rPr>
          <w:i/>
          <w:iCs/>
        </w:rPr>
        <w:t xml:space="preserve">why</w:t>
      </w:r>
      <w:r>
        <w:t xml:space="preserve">.</w:t>
      </w:r>
    </w:p>
    <w:p>
      <w:pPr>
        <w:pStyle w:val="BodyText"/>
      </w:pPr>
      <w:r>
        <w:rPr>
          <w:i/>
          <w:iCs/>
        </w:rPr>
        <w:t xml:space="preserve">Traditional knowledge management</w:t>
      </w:r>
      <w:r>
        <w:t xml:space="preserve"> </w:t>
      </w:r>
      <w:r>
        <w:t xml:space="preserve">(wikis, data dictionaries, runbooks) relies on passive capture where users must stop working to document, which reduces participation and produces inaccurate records under cognitive load</w:t>
      </w:r>
      <w:r>
        <w:t xml:space="preserve"> </w:t>
      </w:r>
      <w:r>
        <w:t xml:space="preserve">[</w:t>
      </w:r>
      <w:hyperlink w:anchor="ref-mayo2016">
        <w:r>
          <w:rPr>
            <w:rStyle w:val="Hyperlink"/>
          </w:rPr>
          <w:t xml:space="preserve">16</w:t>
        </w:r>
      </w:hyperlink>
      <w:r>
        <w:t xml:space="preserve">,</w:t>
      </w:r>
      <w:hyperlink w:anchor="ref-goffin2011">
        <w:r>
          <w:rPr>
            <w:rStyle w:val="Hyperlink"/>
          </w:rPr>
          <w:t xml:space="preserve">26</w:t>
        </w:r>
      </w:hyperlink>
      <w:r>
        <w:t xml:space="preserve">]</w:t>
      </w:r>
      <w:r>
        <w:t xml:space="preserve">. Such documentation might suffice for a small, stable query set, but real workloads are neither: more than half of analytical queries recur in large production workloads</w:t>
      </w:r>
      <w:r>
        <w:t xml:space="preserve"> </w:t>
      </w:r>
      <w:r>
        <w:t xml:space="preserve">[</w:t>
      </w:r>
      <w:hyperlink w:anchor="ref-jindal2019">
        <w:r>
          <w:rPr>
            <w:rStyle w:val="Hyperlink"/>
          </w:rPr>
          <w:t xml:space="preserve">36</w:t>
        </w:r>
      </w:hyperlink>
      <w:r>
        <w:t xml:space="preserve">]</w:t>
      </w:r>
      <w:r>
        <w:t xml:space="preserve">, yet even small databases log hundreds to thousands of distinct query strings</w:t>
      </w:r>
      <w:r>
        <w:t xml:space="preserve"> </w:t>
      </w:r>
      <w:r>
        <w:t xml:space="preserve">[</w:t>
      </w:r>
      <w:hyperlink w:anchor="ref-kul2018">
        <w:r>
          <w:rPr>
            <w:rStyle w:val="Hyperlink"/>
          </w:rPr>
          <w:t xml:space="preserve">37</w:t>
        </w:r>
      </w:hyperlink>
      <w:r>
        <w:t xml:space="preserve">]</w:t>
      </w:r>
      <w:r>
        <w:t xml:space="preserve">, so a fixed set of documented queries captures neither the large recurring core nor the evolving ad-hoc tail. HITL-KG instead implements active capture across both regimes: the query itself is the documentation, validated at the point of use</w:t>
      </w:r>
      <w:r>
        <w:t xml:space="preserve"> </w:t>
      </w:r>
      <w:r>
        <w:t xml:space="preserve">[</w:t>
      </w:r>
      <w:hyperlink w:anchor="ref-moore2018">
        <w:r>
          <w:rPr>
            <w:rStyle w:val="Hyperlink"/>
          </w:rPr>
          <w:t xml:space="preserve">28</w:t>
        </w:r>
      </w:hyperlink>
      <w:r>
        <w:t xml:space="preserve">]</w:t>
      </w:r>
      <w:r>
        <w:t xml:space="preserve">.</w:t>
      </w:r>
    </w:p>
    <w:p>
      <w:pPr>
        <w:pStyle w:val="BodyText"/>
      </w:pPr>
      <w:r>
        <w:rPr>
          <w:i/>
          <w:iCs/>
        </w:rPr>
        <w:t xml:space="preserve">Unsupervised AI querying</w:t>
      </w:r>
      <w:r>
        <w:t xml:space="preserve"> </w:t>
      </w:r>
      <w:r>
        <w:t xml:space="preserve">removes human oversight entirely; current NL2SQL accuracy makes this unsafe for clinical analytics</w:t>
      </w:r>
      <w:r>
        <w:t xml:space="preserve"> </w:t>
      </w:r>
      <w:r>
        <w:t xml:space="preserve">[</w:t>
      </w:r>
      <w:hyperlink w:anchor="ref-ziletti2024">
        <w:r>
          <w:rPr>
            <w:rStyle w:val="Hyperlink"/>
          </w:rPr>
          <w:t xml:space="preserve">38</w:t>
        </w:r>
      </w:hyperlink>
      <w:r>
        <w:t xml:space="preserve">]</w:t>
      </w:r>
      <w:r>
        <w:t xml:space="preserve">. HITL-KG occupies the middle ground: AI generates, humans validate.</w:t>
      </w:r>
    </w:p>
    <w:bookmarkEnd w:id="32"/>
    <w:bookmarkEnd w:id="33"/>
    <w:bookmarkStart w:id="37" w:name="the-evidence-base-three-pillars"/>
    <w:p>
      <w:pPr>
        <w:pStyle w:val="Heading1"/>
      </w:pPr>
      <w:r>
        <w:t xml:space="preserve">The Evidence Base: Three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three pillars of empirical evidence synthesized from the literature cited throughout this article.</w:t>
      </w:r>
    </w:p>
    <w:bookmarkStart w:id="34" w:name="pillar-1-analytics-maturity-evidence"/>
    <w:p>
      <w:pPr>
        <w:pStyle w:val="Heading2"/>
      </w:pPr>
      <w:r>
        <w:t xml:space="preserve">Pillar 1: Analytics Maturity Evidence</w:t>
      </w:r>
    </w:p>
    <w:p>
      <w:pPr>
        <w:pStyle w:val="FirstParagraph"/>
      </w:pPr>
      <w:r>
        <w:rPr>
          <w:i/>
          <w:iCs/>
        </w:rPr>
        <w:t xml:space="preserve">Analytics maturity</w:t>
      </w:r>
      <w:r>
        <w:t xml:space="preserve"> </w:t>
      </w:r>
      <w:r>
        <w:t xml:space="preserve">describes an organization’s progression in using data and quantitative models for fact-based decisions</w:t>
      </w:r>
      <w:r>
        <w:t xml:space="preserve"> </w:t>
      </w:r>
      <w:r>
        <w:t xml:space="preserve">[</w:t>
      </w:r>
      <w:hyperlink w:anchor="ref-davenport2007">
        <w:r>
          <w:rPr>
            <w:rStyle w:val="Hyperlink"/>
          </w:rPr>
          <w:t xml:space="preserve">39</w:t>
        </w:r>
      </w:hyperlink>
      <w:r>
        <w:t xml:space="preserve">]</w:t>
      </w:r>
      <w:r>
        <w:t xml:space="preserve">, a construct operationalized by staged maturity models that extend beyond the HIMSS AMAM</w:t>
      </w:r>
      <w:r>
        <w:t xml:space="preserve"> </w:t>
      </w:r>
      <w:r>
        <w:t xml:space="preserve">[</w:t>
      </w:r>
      <w:hyperlink w:anchor="ref-grossman2018">
        <w:r>
          <w:rPr>
            <w:rStyle w:val="Hyperlink"/>
          </w:rPr>
          <w:t xml:space="preserve">40</w:t>
        </w:r>
      </w:hyperlink>
      <w:r>
        <w:t xml:space="preserve">,</w:t>
      </w:r>
      <w:hyperlink w:anchor="ref-langer2025">
        <w:r>
          <w:rPr>
            <w:rStyle w:val="Hyperlink"/>
          </w:rPr>
          <w:t xml:space="preserve">41</w:t>
        </w:r>
      </w:hyperlink>
      <w:r>
        <w:t xml:space="preserve">]</w:t>
      </w:r>
      <w:r>
        <w:t xml:space="preserve">. Healthcare maturity remains chronically low. Assessments reveal only 26 organizations achieved Stage 6 and 13 reached Stage 7 by late 2024</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Because AMAM assessment is voluntary and self-selected, these figures likely overrepresent analytics-committed organizations, so low maturity may be even more widespread than the counts suggest</w:t>
      </w:r>
      <w:r>
        <w:t xml:space="preserve"> </w:t>
      </w:r>
      <w:r>
        <w:t xml:space="preserve">[</w:t>
      </w:r>
      <w:hyperlink w:anchor="ref-halbesleben2013">
        <w:r>
          <w:rPr>
            <w:rStyle w:val="Hyperlink"/>
          </w:rPr>
          <w:t xml:space="preserve">42</w:t>
        </w:r>
      </w:hyperlink>
      <w:r>
        <w:t xml:space="preserve">,</w:t>
      </w:r>
      <w:hyperlink w:anchor="ref-tomaskovic1994">
        <w:r>
          <w:rPr>
            <w:rStyle w:val="Hyperlink"/>
          </w:rPr>
          <w:t xml:space="preserve">43</w:t>
        </w:r>
      </w:hyperlink>
      <w:r>
        <w:t xml:space="preserve">]</w:t>
      </w:r>
      <w:r>
        <w:t xml:space="preserve">. The corollary is that the vast majority of organizations remain at the lower stages, characterized by fragmented data and limited predictive capabilities</w:t>
      </w:r>
      <w:r>
        <w:t xml:space="preserve"> </w:t>
      </w:r>
      <w:r>
        <w:t xml:space="preserve">[</w:t>
      </w:r>
      <w:hyperlink w:anchor="ref-health2020">
        <w:r>
          <w:rPr>
            <w:rStyle w:val="Hyperlink"/>
          </w:rPr>
          <w:t xml:space="preserve">44</w:t>
        </w:r>
      </w:hyperlink>
      <w:r>
        <w:t xml:space="preserve">]</w:t>
      </w:r>
      <w:r>
        <w:t xml:space="preserve">. However, maturity is not merely an IT metric; it is a clinical safety predictor. In HIMSS’s companion Electronic Medical Record Adoption Model (EMRAM), which measures the EMR adoption underlying analytics capability, levels 6-7 correlate with 3.25 times higher odds of better Leapfrog Safety Grades</w:t>
      </w:r>
      <w:r>
        <w:t xml:space="preserve"> </w:t>
      </w:r>
      <w:r>
        <w:t xml:space="preserve">[</w:t>
      </w:r>
      <w:hyperlink w:anchor="ref-snowdon2024">
        <w:r>
          <w:rPr>
            <w:rStyle w:val="Hyperlink"/>
          </w:rPr>
          <w:t xml:space="preserve">45</w:t>
        </w:r>
      </w:hyperlink>
      <w:r>
        <w:t xml:space="preserve">]</w:t>
      </w:r>
      <w:r>
        <w:t xml:space="preserve">. Low maturity creates a</w:t>
      </w:r>
      <w:r>
        <w:t xml:space="preserve"> </w:t>
      </w:r>
      <w:r>
        <w:t xml:space="preserve">“</w:t>
      </w:r>
      <w:r>
        <w:t xml:space="preserve">low-maturity trap</w:t>
      </w:r>
      <w:r>
        <w:t xml:space="preserve">”</w:t>
      </w:r>
      <w:r>
        <w:t xml:space="preserve"> </w:t>
      </w:r>
      <w:r>
        <w:t xml:space="preserve">where data quality issues (such as the 39-71% missing data rates in cancer databases</w:t>
      </w:r>
      <w:r>
        <w:t xml:space="preserve"> </w:t>
      </w:r>
      <w:r>
        <w:t xml:space="preserve">[</w:t>
      </w:r>
      <w:hyperlink w:anchor="ref-yang2021">
        <w:r>
          <w:rPr>
            <w:rStyle w:val="Hyperlink"/>
          </w:rPr>
          <w:t xml:space="preserve">46</w:t>
        </w:r>
      </w:hyperlink>
      <w:r>
        <w:t xml:space="preserve">]</w:t>
      </w:r>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so poor data quality goes unrecognized. The clinical consequences are measurable: one Medicare accountable care organization (ACO) that implemented analytics to overcome electronic health record (EHR) fragmentation reduced readmission rates from 24% to 17.8% and achieved $1.6 million in cost savings</w:t>
      </w:r>
      <w:r>
        <w:t xml:space="preserve"> </w:t>
      </w:r>
      <w:r>
        <w:t xml:space="preserve">[</w:t>
      </w:r>
      <w:hyperlink w:anchor="ref-latrella2024">
        <w:r>
          <w:rPr>
            <w:rStyle w:val="Hyperlink"/>
          </w:rPr>
          <w:t xml:space="preserve">47</w:t>
        </w:r>
      </w:hyperlink>
      <w:r>
        <w:t xml:space="preserve">]</w:t>
      </w:r>
      <w:r>
        <w:t xml:space="preserve">. Yet data interoperability remains a leading obstacle to analytics adoption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Barriers including employee resistance to change and lack of organizational readiness further stall data-driven initiatives</w:t>
      </w:r>
      <w:r>
        <w:t xml:space="preserve"> </w:t>
      </w:r>
      <w:r>
        <w:t xml:space="preserve">[</w:t>
      </w:r>
      <w:hyperlink w:anchor="ref-shahbaz2019">
        <w:r>
          <w:rPr>
            <w:rStyle w:val="Hyperlink"/>
          </w:rPr>
          <w:t xml:space="preserve">48</w:t>
        </w:r>
      </w:hyperlink>
      <w:r>
        <w:t xml:space="preserve">,</w:t>
      </w:r>
      <w:hyperlink w:anchor="ref-kamble2019">
        <w:r>
          <w:rPr>
            <w:rStyle w:val="Hyperlink"/>
          </w:rPr>
          <w:t xml:space="preserve">49</w:t>
        </w:r>
      </w:hyperlink>
      <w:r>
        <w:t xml:space="preserve">]</w:t>
      </w:r>
      <w:r>
        <w:t xml:space="preserve">. The trap thus compounds: each year of delayed investment widens the gap between what the organization could know and what it does know.</w:t>
      </w:r>
    </w:p>
    <w:bookmarkEnd w:id="34"/>
    <w:bookmarkStart w:id="35" w:name="pillar-2-workforce-agility-evidence"/>
    <w:p>
      <w:pPr>
        <w:pStyle w:val="Heading2"/>
      </w:pPr>
      <w:r>
        <w:t xml:space="preserve">Pillar 2: Workforce Agility Evidence</w:t>
      </w:r>
    </w:p>
    <w:p>
      <w:pPr>
        <w:pStyle w:val="FirstParagraph"/>
      </w:pPr>
      <w:r>
        <w:rPr>
          <w:i/>
          <w:iCs/>
        </w:rPr>
        <w:t xml:space="preserve">Workforce agility</w:t>
      </w:r>
      <w:r>
        <w:t xml:space="preserve"> </w:t>
      </w:r>
      <w:r>
        <w:t xml:space="preserve">is a workforce’s capacity for proactivity, adaptability, and resilience under change</w:t>
      </w:r>
      <w:r>
        <w:t xml:space="preserve"> </w:t>
      </w:r>
      <w:r>
        <w:t xml:space="preserve">[</w:t>
      </w:r>
      <w:hyperlink w:anchor="ref-breu2002">
        <w:r>
          <w:rPr>
            <w:rStyle w:val="Hyperlink"/>
          </w:rPr>
          <w:t xml:space="preserve">50</w:t>
        </w:r>
      </w:hyperlink>
      <w:r>
        <w:t xml:space="preserve">,</w:t>
      </w:r>
      <w:hyperlink w:anchor="ref-tessarini2021">
        <w:r>
          <w:rPr>
            <w:rStyle w:val="Hyperlink"/>
          </w:rPr>
          <w:t xml:space="preserve">51</w:t>
        </w:r>
      </w:hyperlink>
      <w:r>
        <w:t xml:space="preserve">]</w:t>
      </w:r>
      <w:r>
        <w:t xml:space="preserve">. In healthcare analytics, the evidence below documents the instability that systematically erodes this capacity. The cost of turnover in informatics is higher than standard IT. Knowledge loss can cost up to three times annual salary</w:t>
      </w:r>
      <w:r>
        <w:t xml:space="preserve"> </w:t>
      </w:r>
      <w:r>
        <w:t xml:space="preserve">[</w:t>
      </w:r>
      <w:hyperlink w:anchor="ref-massingham2018">
        <w:r>
          <w:rPr>
            <w:rStyle w:val="Hyperlink"/>
          </w:rPr>
          <w:t xml:space="preserve">24</w:t>
        </w:r>
      </w:hyperlink>
      <w:r>
        <w:t xml:space="preserve">,</w:t>
      </w:r>
      <w:hyperlink w:anchor="ref-wynendaele2025">
        <w:r>
          <w:rPr>
            <w:rStyle w:val="Hyperlink"/>
          </w:rPr>
          <w:t xml:space="preserve">52</w:t>
        </w:r>
      </w:hyperlink>
      <w:r>
        <w:t xml:space="preserve">]</w:t>
      </w:r>
      <w:r>
        <w:t xml:space="preserve">. In clinical informatics specifically, replacement costs range from $50,000 to $230,000 per departing employee, with a single department losing 39 staff in one year at a total cost of up to $8.97 million</w:t>
      </w:r>
      <w:r>
        <w:t xml:space="preserve"> </w:t>
      </w:r>
      <w:r>
        <w:t xml:space="preserve">[</w:t>
      </w:r>
      <w:hyperlink w:anchor="ref-hackney2024">
        <w:r>
          <w:rPr>
            <w:rStyle w:val="Hyperlink"/>
          </w:rPr>
          <w:t xml:space="preserve">53</w:t>
        </w:r>
      </w:hyperlink>
      <w:r>
        <w:t xml:space="preserve">]</w:t>
      </w:r>
      <w:r>
        <w:t xml:space="preserve">. With 30% of new employees leaving within their first year</w:t>
      </w:r>
      <w:r>
        <w:t xml:space="preserve"> </w:t>
      </w:r>
      <w:r>
        <w:t xml:space="preserve">[</w:t>
      </w:r>
      <w:hyperlink w:anchor="ref-nsi2025">
        <w:r>
          <w:rPr>
            <w:rStyle w:val="Hyperlink"/>
          </w:rPr>
          <w:t xml:space="preserve">23</w:t>
        </w:r>
      </w:hyperlink>
      <w:r>
        <w:t xml:space="preserve">]</w:t>
      </w:r>
      <w:r>
        <w:t xml:space="preserve">, healthcare IT professionals spend a limited portion of their employment at full productivity, as specialized roles require 18-24 months to reach fluency</w:t>
      </w:r>
      <w:r>
        <w:t xml:space="preserve"> </w:t>
      </w:r>
      <w:r>
        <w:t xml:space="preserve">[</w:t>
      </w:r>
      <w:hyperlink w:anchor="ref-ledikwe2013">
        <w:r>
          <w:rPr>
            <w:rStyle w:val="Hyperlink"/>
          </w:rPr>
          <w:t xml:space="preserve">17</w:t>
        </w:r>
      </w:hyperlink>
      <w:r>
        <w:t xml:space="preserve">]</w:t>
      </w:r>
      <w:r>
        <w:t xml:space="preserve">. This</w:t>
      </w:r>
      <w:r>
        <w:t xml:space="preserve"> </w:t>
      </w:r>
      <w:r>
        <w:t xml:space="preserve">“</w:t>
      </w:r>
      <w:r>
        <w:t xml:space="preserve">revolving door</w:t>
      </w:r>
      <w:r>
        <w:t xml:space="preserve">”</w:t>
      </w:r>
      <w:r>
        <w:t xml:space="preserve"> </w:t>
      </w:r>
      <w:r>
        <w:t xml:space="preserve">prevents the accumulation of the</w:t>
      </w:r>
      <w:r>
        <w:t xml:space="preserve"> </w:t>
      </w:r>
      <w:r>
        <w:t xml:space="preserve">“</w:t>
      </w:r>
      <w:r>
        <w:t xml:space="preserve">Collective Knowledge Structures</w:t>
      </w:r>
      <w:r>
        <w:t xml:space="preserve">”</w:t>
      </w:r>
      <w:r>
        <w:t xml:space="preserve"> </w:t>
      </w:r>
      <w:r>
        <w:t xml:space="preserve">required for complex task performance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w:t>
      </w:r>
    </w:p>
    <w:bookmarkEnd w:id="35"/>
    <w:bookmarkStart w:id="36" w:name="pillar-3-technical-enablement-evidence"/>
    <w:p>
      <w:pPr>
        <w:pStyle w:val="Heading2"/>
      </w:pPr>
      <w:r>
        <w:t xml:space="preserve">Pillar 3: Technical Enablement Evidence</w:t>
      </w:r>
    </w:p>
    <w:p>
      <w:pPr>
        <w:pStyle w:val="FirstParagraph"/>
      </w:pPr>
      <w:r>
        <w:rPr>
          <w:i/>
          <w:iCs/>
        </w:rPr>
        <w:t xml:space="preserve">Technical enablement</w:t>
      </w:r>
      <w:r>
        <w:t xml:space="preserve"> </w:t>
      </w:r>
      <w:r>
        <w:t xml:space="preserve">denotes the technologies and practices that let non-specialist domain users access and analyze data without heavy reliance on central IT</w:t>
      </w:r>
      <w:r>
        <w:t xml:space="preserve"> </w:t>
      </w:r>
      <w:r>
        <w:t xml:space="preserve">[</w:t>
      </w:r>
      <w:hyperlink w:anchor="ref-alpar2016">
        <w:r>
          <w:rPr>
            <w:rStyle w:val="Hyperlink"/>
          </w:rPr>
          <w:t xml:space="preserve">54</w:t>
        </w:r>
      </w:hyperlink>
      <w:r>
        <w:t xml:space="preserve">,</w:t>
      </w:r>
      <w:hyperlink w:anchor="ref-banihani2020">
        <w:r>
          <w:rPr>
            <w:rStyle w:val="Hyperlink"/>
          </w:rPr>
          <w:t xml:space="preserve">55</w:t>
        </w:r>
      </w:hyperlink>
      <w:r>
        <w:t xml:space="preserve">]</w:t>
      </w:r>
      <w:r>
        <w:t xml:space="preserve">. NL2SQL technology has matured along a clear accuracy gradient: general-purpose models achieve approximately 65% execution accuracy on healthcare-specific benchmarks such as MIMICSQL</w:t>
      </w:r>
      <w:r>
        <w:t xml:space="preserve"> </w:t>
      </w:r>
      <w:r>
        <w:t xml:space="preserve">[</w:t>
      </w:r>
      <w:hyperlink w:anchor="ref-blaskovic2025">
        <w:r>
          <w:rPr>
            <w:rStyle w:val="Hyperlink"/>
          </w:rPr>
          <w:t xml:space="preserve">56</w:t>
        </w:r>
      </w:hyperlink>
      <w:r>
        <w:t xml:space="preserve">]</w:t>
      </w:r>
      <w:r>
        <w:t xml:space="preserve">; domain-adapted systems like MedT5SQL reach 80%</w:t>
      </w:r>
      <w:r>
        <w:t xml:space="preserve"> </w:t>
      </w:r>
      <w:r>
        <w:t xml:space="preserve">[</w:t>
      </w:r>
      <w:hyperlink w:anchor="ref-marshan2024">
        <w:r>
          <w:rPr>
            <w:rStyle w:val="Hyperlink"/>
          </w:rPr>
          <w:t xml:space="preserve">57</w:t>
        </w:r>
      </w:hyperlink>
      <w:r>
        <w:t xml:space="preserve">]</w:t>
      </w:r>
      <w:r>
        <w:t xml:space="preserve">; and architecturally specialized approaches combining large language models (LLMs) with structured knowledge representations achieve 94% on the same benchmarks</w:t>
      </w:r>
      <w:r>
        <w:t xml:space="preserve"> </w:t>
      </w:r>
      <w:r>
        <w:t xml:space="preserve">[</w:t>
      </w:r>
      <w:hyperlink w:anchor="ref-chen2026graph">
        <w:r>
          <w:rPr>
            <w:rStyle w:val="Hyperlink"/>
          </w:rPr>
          <w:t xml:space="preserve">58</w:t>
        </w:r>
      </w:hyperlink>
      <w:r>
        <w:t xml:space="preserve">]</w:t>
      </w:r>
      <w:r>
        <w:t xml:space="preserve">. While insufficient for unsupervised clinical deployment</w:t>
      </w:r>
      <w:r>
        <w:t xml:space="preserve"> </w:t>
      </w:r>
      <w:r>
        <w:t xml:space="preserve">[</w:t>
      </w:r>
      <w:hyperlink w:anchor="ref-ziletti2024">
        <w:r>
          <w:rPr>
            <w:rStyle w:val="Hyperlink"/>
          </w:rPr>
          <w:t xml:space="preserve">38</w:t>
        </w:r>
      </w:hyperlink>
      <w:r>
        <w:t xml:space="preserve">]</w:t>
      </w:r>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r>
        <w:t xml:space="preserve"> </w:t>
      </w:r>
      <w:r>
        <w:t xml:space="preserve">[</w:t>
      </w:r>
      <w:hyperlink w:anchor="ref-tarbell2024">
        <w:r>
          <w:rPr>
            <w:rStyle w:val="Hyperlink"/>
          </w:rPr>
          <w:t xml:space="preserve">59</w:t>
        </w:r>
      </w:hyperlink>
      <w:r>
        <w:t xml:space="preserve">]</w:t>
      </w:r>
      <w:r>
        <w:t xml:space="preserve">, reinforcing the necessity of the human-in-the-loop architecture. Healthcare-specific natural language interfaces such as Criteria2Query achieve fully automated cohort query formulation in 1.22 seconds per criterion</w:t>
      </w:r>
      <w:r>
        <w:t xml:space="preserve"> </w:t>
      </w:r>
      <w:r>
        <w:t xml:space="preserve">[</w:t>
      </w:r>
      <w:hyperlink w:anchor="ref-yuan2019">
        <w:r>
          <w:rPr>
            <w:rStyle w:val="Hyperlink"/>
          </w:rPr>
          <w:t xml:space="preserve">60</w:t>
        </w:r>
      </w:hyperlink>
      <w:r>
        <w:t xml:space="preserve">]</w:t>
      </w:r>
      <w:r>
        <w:t xml:space="preserve">, with over 80% of clinical users indicating willingness to adopt such tools.</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r>
        <w:t xml:space="preserve"> </w:t>
      </w:r>
      <w:r>
        <w:t xml:space="preserve">[</w:t>
      </w:r>
      <w:hyperlink w:anchor="ref-anthropic2025">
        <w:r>
          <w:rPr>
            <w:rStyle w:val="Hyperlink"/>
          </w:rPr>
          <w:t xml:space="preserve">61</w:t>
        </w:r>
      </w:hyperlink>
      <w:r>
        <w:t xml:space="preserve">–</w:t>
      </w:r>
      <w:hyperlink w:anchor="ref-arora2025">
        <w:r>
          <w:rPr>
            <w:rStyle w:val="Hyperlink"/>
          </w:rPr>
          <w:t xml:space="preserve">64</w:t>
        </w:r>
      </w:hyperlink>
      <w:r>
        <w:t xml:space="preserve">]</w:t>
      </w:r>
      <w:r>
        <w:t xml:space="preserve">. The very difficulty of making NL2SQL work correctly thus becomes a governance opportunity: it compels organizations to surface and formalize tacit knowledge that would otherwise depart with its experts.</w:t>
      </w:r>
    </w:p>
    <w:bookmarkEnd w:id="36"/>
    <w:bookmarkEnd w:id="37"/>
    <w:bookmarkStart w:id="40" w:name="organizational-self-assessment"/>
    <w:p>
      <w:pPr>
        <w:pStyle w:val="Heading1"/>
      </w:pPr>
      <w:r>
        <w:t xml:space="preserve">Organizational Self-Assessment</w:t>
      </w:r>
    </w:p>
    <w:p>
      <w:pPr>
        <w:pStyle w:val="FirstParagraph"/>
      </w:pPr>
      <w:r>
        <w:t xml:space="preserve">To operationalize the framework, we propose a</w:t>
      </w:r>
      <w:r>
        <w:t xml:space="preserve"> </w:t>
      </w:r>
      <w:r>
        <w:rPr>
          <w:i/>
          <w:iCs/>
        </w:rPr>
        <w:t xml:space="preserve">Three-Pillar Assessment Rubric</w:t>
      </w:r>
      <w:r>
        <w:t xml:space="preserve"> </w:t>
      </w:r>
      <w:r>
        <w:t xml:space="preserve">(Table 2) that enables healthcare organizations to evaluate their current position across each pillar and identify compounding vulnerabilities.</w:t>
      </w:r>
    </w:p>
    <w:bookmarkStart w:id="38" w:name="why-assessment-not-just-maturity"/>
    <w:p>
      <w:pPr>
        <w:pStyle w:val="Heading2"/>
      </w:pPr>
      <w:r>
        <w:t xml:space="preserve">Why Assessment, Not Just Maturity</w:t>
      </w:r>
    </w:p>
    <w:p>
      <w:pPr>
        <w:pStyle w:val="FirstParagraph"/>
      </w:pPr>
      <w:r>
        <w:t xml:space="preserve">As noted, the maturity models and knowledge management frameworks in Table 1 assume linear progression by a stable workforce</w:t>
      </w:r>
      <w:r>
        <w:t xml:space="preserve"> </w:t>
      </w:r>
      <w:r>
        <w:t xml:space="preserve">[</w:t>
      </w:r>
      <w:hyperlink w:anchor="ref-himss2024">
        <w:r>
          <w:rPr>
            <w:rStyle w:val="Hyperlink"/>
          </w:rPr>
          <w:t xml:space="preserve">1</w:t>
        </w:r>
      </w:hyperlink>
      <w:r>
        <w:t xml:space="preserve">]</w:t>
      </w:r>
      <w:r>
        <w:t xml:space="preserve">. In practice, an organization that reaches AMAM Stage 5 but regresses to Stage 3 after the departure of two senior analysts has not failed to mature; it has failed to be</w:t>
      </w:r>
      <w:r>
        <w:t xml:space="preserve"> </w:t>
      </w:r>
      <w:r>
        <w:rPr>
          <w:i/>
          <w:iCs/>
        </w:rPr>
        <w:t xml:space="preserve">resilient</w:t>
      </w:r>
      <w:r>
        <w:t xml:space="preserve">. A recent systematic review of organizational resilience measurement in healthcare found no consensus on what to measure</w:t>
      </w:r>
      <w:r>
        <w:t xml:space="preserve"> </w:t>
      </w:r>
      <w:r>
        <w:t xml:space="preserve">[</w:t>
      </w:r>
      <w:hyperlink w:anchor="ref-ignatowicz2023">
        <w:r>
          <w:rPr>
            <w:rStyle w:val="Hyperlink"/>
          </w:rPr>
          <w:t xml:space="preserve">65</w:t>
        </w:r>
      </w:hyperlink>
      <w:r>
        <w:t xml:space="preserve">]</w:t>
      </w:r>
      <w:r>
        <w:t xml:space="preserve">. Only four instruments have been developed specifically for healthcare, and only two have been validated</w:t>
      </w:r>
      <w:r>
        <w:t xml:space="preserve"> </w:t>
      </w:r>
      <w:r>
        <w:t xml:space="preserve">[</w:t>
      </w:r>
      <w:hyperlink w:anchor="ref-ratliff2025">
        <w:r>
          <w:rPr>
            <w:rStyle w:val="Hyperlink"/>
          </w:rPr>
          <w:t xml:space="preserve">66</w:t>
        </w:r>
      </w:hyperlink>
      <w:r>
        <w:t xml:space="preserve">]</w:t>
      </w:r>
      <w:r>
        <w:t xml:space="preserve">. The Three-Pillar Assessment addresses this gap by organizing evidence-based indicators around the domains where institutional amnesia operates, measuring not just where an organization stands but how vulnerable it is.</w:t>
      </w:r>
    </w:p>
    <w:bookmarkEnd w:id="38"/>
    <w:bookmarkStart w:id="39" w:name="the-three-pillar-rubric"/>
    <w:p>
      <w:pPr>
        <w:pStyle w:val="Heading2"/>
      </w:pPr>
      <w:r>
        <w:t xml:space="preserve">The Three-Pillar Rubric</w:t>
      </w:r>
    </w:p>
    <w:p>
      <w:pPr>
        <w:pStyle w:val="FirstParagraph"/>
      </w:pPr>
      <w:r>
        <w:t xml:space="preserve">Each indicator is scored as Low, Medium, or High Strength using evidence-based anchors from the literature reviewed in the preceding Evidence Base section. Organizations scoring predominantly</w:t>
      </w:r>
      <w:r>
        <w:t xml:space="preserve"> </w:t>
      </w:r>
      <w:r>
        <w:t xml:space="preserve">“</w:t>
      </w:r>
      <w:r>
        <w:t xml:space="preserve">Low Strength</w:t>
      </w:r>
      <w:r>
        <w:t xml:space="preserve">”</w:t>
      </w:r>
      <w:r>
        <w:t xml:space="preserve"> </w:t>
      </w:r>
      <w:r>
        <w:t xml:space="preserve">across multiple pillars face the self-reinforcing degradation cycle that the framework identifies as the central threat. Table 2 summarizes the nine indicators; the full rubric with scoring anchors and evidence appears in Multimedia Appendix 2.</w:t>
      </w:r>
    </w:p>
    <w:p>
      <w:pPr>
        <w:pStyle w:val="TableCaption"/>
      </w:pPr>
      <w:r>
        <w:t xml:space="preserve">Table 2. Three-Pillar Assessment Rubric indicators (full rubric with anchors in Multimedia Appendix 2).</w:t>
      </w:r>
      <w:r>
        <w:t xml:space="preserve"> </w:t>
      </w:r>
    </w:p>
    <w:tbl>
      <w:tblPr>
        <w:tblStyle w:val="Table"/>
        <w:tblW w:type="pct" w:w="5000"/>
        <w:jc w:val="left"/>
        <w:tblLayout w:type="fixed"/>
        <w:tblLook w:firstRow="1" w:lastRow="0" w:firstColumn="0" w:lastColumn="0" w:noHBand="0" w:noVBand="0" w:val="0020"/>
        <w:tblCaption w:val="Table 2. Three-Pillar Assessment Rubric indicators (full rubric with anchors in Multimedia Appendix 2). "/>
      </w:tblPr>
      <w:tblGrid>
        <w:gridCol w:w="3960"/>
        <w:gridCol w:w="3960"/>
      </w:tblGrid>
      <w:tr>
        <w:trPr>
          <w:tblHeader w:val="on"/>
        </w:trPr>
        <w:tc>
          <w:tcPr/>
          <w:p>
            <w:pPr>
              <w:pStyle w:val="Compact"/>
              <w:jc w:val="left"/>
            </w:pPr>
            <w:r>
              <w:t xml:space="preserve">Pillar</w:t>
            </w:r>
          </w:p>
        </w:tc>
        <w:tc>
          <w:tcPr/>
          <w:p>
            <w:pPr>
              <w:pStyle w:val="Compact"/>
              <w:jc w:val="left"/>
            </w:pPr>
            <w:r>
              <w:t xml:space="preserve">Indicators</w:t>
            </w:r>
          </w:p>
        </w:tc>
      </w:tr>
      <w:tr>
        <w:tc>
          <w:tcPr/>
          <w:p>
            <w:pPr>
              <w:pStyle w:val="Compact"/>
              <w:jc w:val="left"/>
            </w:pPr>
            <w:r>
              <w:t xml:space="preserve">Analytics Maturity</w:t>
            </w:r>
          </w:p>
        </w:tc>
        <w:tc>
          <w:tcPr/>
          <w:p>
            <w:pPr>
              <w:pStyle w:val="Compact"/>
              <w:jc w:val="left"/>
            </w:pPr>
            <w:r>
              <w:t xml:space="preserve">HIMSS AMAM stage; self-service analytics; AI/NL interface</w:t>
            </w:r>
          </w:p>
        </w:tc>
      </w:tr>
      <w:tr>
        <w:tc>
          <w:tcPr/>
          <w:p>
            <w:pPr>
              <w:pStyle w:val="Compact"/>
              <w:jc w:val="left"/>
            </w:pPr>
            <w:r>
              <w:t xml:space="preserve">Workforce Agility</w:t>
            </w:r>
          </w:p>
        </w:tc>
        <w:tc>
          <w:tcPr/>
          <w:p>
            <w:pPr>
              <w:pStyle w:val="Compact"/>
              <w:jc w:val="left"/>
            </w:pPr>
            <w:r>
              <w:t xml:space="preserve">First-year analytics staff turnover; leadership tenure; knowledge concentration</w:t>
            </w:r>
          </w:p>
        </w:tc>
      </w:tr>
      <w:tr>
        <w:tc>
          <w:tcPr/>
          <w:p>
            <w:pPr>
              <w:pStyle w:val="Compact"/>
              <w:jc w:val="left"/>
            </w:pPr>
            <w:r>
              <w:t xml:space="preserve">Technical Enablement</w:t>
            </w:r>
          </w:p>
        </w:tc>
        <w:tc>
          <w:tcPr/>
          <w:p>
            <w:pPr>
              <w:pStyle w:val="Compact"/>
              <w:jc w:val="left"/>
            </w:pPr>
            <w:r>
              <w:t xml:space="preserve">Data access; interoperability; schema coupling</w:t>
            </w:r>
          </w:p>
        </w:tc>
      </w:tr>
    </w:tbl>
    <w:p>
      <w:pPr>
        <w:pStyle w:val="BodyText"/>
      </w:pPr>
      <w:r>
        <w:t xml:space="preserve">The</w:t>
      </w:r>
      <w:r>
        <w:t xml:space="preserve"> </w:t>
      </w:r>
      <w:r>
        <w:t xml:space="preserve">“</w:t>
      </w:r>
      <w:r>
        <w:t xml:space="preserve">Schema Coupling</w:t>
      </w:r>
      <w:r>
        <w:t xml:space="preserve">”</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CI/CD pipeline that detects data and schema drift</w:t>
      </w:r>
      <w:r>
        <w:t xml:space="preserve"> </w:t>
      </w:r>
      <w:r>
        <w:t xml:space="preserve">[</w:t>
      </w:r>
      <w:hyperlink w:anchor="ref-battula2025">
        <w:r>
          <w:rPr>
            <w:rStyle w:val="Hyperlink"/>
          </w:rPr>
          <w:t xml:space="preserve">35</w:t>
        </w:r>
      </w:hyperlink>
      <w:r>
        <w:t xml:space="preserve">,</w:t>
      </w:r>
      <w:hyperlink w:anchor="ref-valiaiev2025">
        <w:r>
          <w:rPr>
            <w:rStyle w:val="Hyperlink"/>
          </w:rPr>
          <w:t xml:space="preserve">67</w:t>
        </w:r>
      </w:hyperlink>
      <w:r>
        <w:t xml:space="preserve">,</w:t>
      </w:r>
      <w:hyperlink w:anchor="ref-mannapur2025">
        <w:r>
          <w:rPr>
            <w:rStyle w:val="Hyperlink"/>
          </w:rPr>
          <w:t xml:space="preserve">68</w:t>
        </w:r>
      </w:hyperlink>
      <w:r>
        <w:t xml:space="preserve">]</w:t>
      </w:r>
      <w:r>
        <w:t xml:space="preserve">. When a data warehouse schema is updated, the system automatically re-runs stored queries and flags failures, transforming institutional memory into a living test suite</w:t>
      </w:r>
      <w:r>
        <w:t xml:space="preserve"> </w:t>
      </w:r>
      <w:r>
        <w:t xml:space="preserve">[</w:t>
      </w:r>
      <w:hyperlink w:anchor="ref-betha2023">
        <w:r>
          <w:rPr>
            <w:rStyle w:val="Hyperlink"/>
          </w:rPr>
          <w:t xml:space="preserve">69</w:t>
        </w:r>
      </w:hyperlink>
      <w:r>
        <w:t xml:space="preserve">,</w:t>
      </w:r>
      <w:hyperlink w:anchor="ref-kottam2025">
        <w:r>
          <w:rPr>
            <w:rStyle w:val="Hyperlink"/>
          </w:rPr>
          <w:t xml:space="preserve">70</w:t>
        </w:r>
      </w:hyperlink>
      <w:r>
        <w:t xml:space="preserve">]</w:t>
      </w:r>
      <w:r>
        <w:t xml:space="preserve">.</w:t>
      </w:r>
    </w:p>
    <w:p>
      <w:pPr>
        <w:pStyle w:val="BodyText"/>
      </w:pPr>
      <w:r>
        <w:t xml:space="preserve">The rubric complements rather than replaces AMAM. Where AMAM measures the sophistication of analytical capabilities at a point in time, the Three-Pillar Assessment reveals how vulnerable those capabilities are to the compounding effects of turnover, low maturity, and technical barriers. Used together, they provide a two-dimensional view of analytics health.</w:t>
      </w:r>
    </w:p>
    <w:bookmarkEnd w:id="39"/>
    <w:bookmarkEnd w:id="40"/>
    <w:bookmarkStart w:id="41" w:name="the-validator-paradox-and-standard-work"/>
    <w:p>
      <w:pPr>
        <w:pStyle w:val="Heading1"/>
      </w:pP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i/>
          <w:i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w:t>
      </w:r>
      <w:r>
        <w:t xml:space="preserve">Standard Work</w:t>
      </w:r>
      <w:r>
        <w:t xml:space="preserve">”</w:t>
      </w:r>
      <w:r>
        <w:t xml:space="preserve"> </w:t>
      </w:r>
      <w:r>
        <w:t xml:space="preserve">[</w:t>
      </w:r>
      <w:hyperlink w:anchor="ref-alukal2006">
        <w:r>
          <w:rPr>
            <w:rStyle w:val="Hyperlink"/>
          </w:rPr>
          <w:t xml:space="preserve">71</w:t>
        </w:r>
      </w:hyperlink>
      <w:r>
        <w:t xml:space="preserve">]</w:t>
      </w:r>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validated query triple records the best available understanding of how a business question maps to a data operation at that moment; the validation is time-stamped and contextual, not permanent. Critically, as Alukal and Manos</w:t>
      </w:r>
      <w:r>
        <w:t xml:space="preserve"> </w:t>
      </w:r>
      <w:r>
        <w:t xml:space="preserve">[</w:t>
      </w:r>
      <w:hyperlink w:anchor="ref-alukal2006">
        <w:r>
          <w:rPr>
            <w:rStyle w:val="Hyperlink"/>
          </w:rPr>
          <w:t xml:space="preserve">71</w:t>
        </w:r>
      </w:hyperlink>
      <w:r>
        <w:t xml:space="preserve">]</w:t>
      </w:r>
      <w:r>
        <w:t xml:space="preserve"> </w:t>
      </w:r>
      <w:r>
        <w:t xml:space="preserve">establish, standard work is the prerequisite for Kaizen (continuous improvement): without a documented baseline, there is no foundation to improve upon. Each validated query therefore establishes a floor, not a ceiling. The next expert, veteran or mid-career hire, inherits a baseline to refine rather than reconstructing institutional knowledge from scratch.</w:t>
      </w:r>
    </w:p>
    <w:p>
      <w:pPr>
        <w:pStyle w:val="BodyText"/>
      </w:pPr>
      <w:r>
        <w:t xml:space="preserve">This mechanism functions as what we term a</w:t>
      </w:r>
      <w:r>
        <w:t xml:space="preserve"> </w:t>
      </w:r>
      <w:r>
        <w:rPr>
          <w:i/>
          <w:iCs/>
        </w:rPr>
        <w:t xml:space="preserve">Knowledge Ratchet</w:t>
      </w:r>
      <w:r>
        <w:t xml:space="preserve">, consistent with findings on collective knowledge structures</w:t>
      </w:r>
      <w:r>
        <w:t xml:space="preserve"> </w:t>
      </w:r>
      <w:r>
        <w:t xml:space="preserve">[</w:t>
      </w:r>
      <w:hyperlink w:anchor="ref-rao2006">
        <w:r>
          <w:rPr>
            <w:rStyle w:val="Hyperlink"/>
          </w:rPr>
          <w:t xml:space="preserve">13</w:t>
        </w:r>
      </w:hyperlink>
      <w:r>
        <w:t xml:space="preserve">]</w:t>
      </w:r>
      <w:r>
        <w:t xml:space="preserve">. Each validated triple prevents regression below the last confirmed state. Even if a subsequent validator is less experienced, the organization cannot slide below the previously validated standard. The ratchet does not guarantee forward progress, but it prevents the catastrophic backsliding that is the central failure mode of institutional amnesia.</w:t>
      </w:r>
    </w:p>
    <w:p>
      <w:pPr>
        <w:pStyle w:val="BodyText"/>
      </w:pPr>
      <w:r>
        <w:t xml:space="preserve">Real-world evidence supports this: UC Davis Health moved from AMAM Stage 0 to Stage 6 by establishing standardized</w:t>
      </w:r>
      <w:r>
        <w:t xml:space="preserve"> </w:t>
      </w:r>
      <w:r>
        <w:t xml:space="preserve">“</w:t>
      </w:r>
      <w:r>
        <w:t xml:space="preserve">S.M.A.R.T.</w:t>
      </w:r>
      <w:r>
        <w:t xml:space="preserve">”</w:t>
      </w:r>
      <w:r>
        <w:t xml:space="preserve"> </w:t>
      </w:r>
      <w:r>
        <w:t xml:space="preserve">definitions for its analytics metrics</w:t>
      </w:r>
      <w:r>
        <w:t xml:space="preserve"> </w:t>
      </w:r>
      <w:r>
        <w:t xml:space="preserve">[</w:t>
      </w:r>
      <w:hyperlink w:anchor="ref-himss2025ucdavis">
        <w:r>
          <w:rPr>
            <w:rStyle w:val="Hyperlink"/>
          </w:rPr>
          <w:t xml:space="preserve">72</w:t>
        </w:r>
      </w:hyperlink>
      <w:r>
        <w:t xml:space="preserve">]</w:t>
      </w:r>
      <w:r>
        <w:t xml:space="preserve">. Those codified standards survived staff turnover because they existed as organizational artifacts rather than knowledge held solely by their creators. The HITL-KG validated query library serves an analogous function: it encodes analytical decisions into durable, retrievable structures that persist independent of any single analyst’s tenure.</w:t>
      </w:r>
    </w:p>
    <w:p>
      <w:pPr>
        <w:pStyle w:val="BodyText"/>
      </w:pPr>
      <w:r>
        <w:t xml:space="preserve">The Validator Paradox is not fully resolved: below a minimum viable expertise threshold,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r>
        <w:t xml:space="preserve"> </w:t>
      </w:r>
      <w:r>
        <w:t xml:space="preserve">[</w:t>
      </w:r>
      <w:hyperlink w:anchor="ref-kumar2025caos">
        <w:r>
          <w:rPr>
            <w:rStyle w:val="Hyperlink"/>
          </w:rPr>
          <w:t xml:space="preserve">73</w:t>
        </w:r>
      </w:hyperlink>
      <w:r>
        <w:t xml:space="preserve">,</w:t>
      </w:r>
      <w:hyperlink w:anchor="ref-labkoff2024">
        <w:r>
          <w:rPr>
            <w:rStyle w:val="Hyperlink"/>
          </w:rPr>
          <w:t xml:space="preserve">74</w:t>
        </w:r>
      </w:hyperlink>
      <w:r>
        <w:t xml:space="preserve">]</w:t>
      </w:r>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(the default).</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w:t>
      </w:r>
      <w:r>
        <w:t xml:space="preserve">provisional</w:t>
      </w:r>
      <w:r>
        <w:t xml:space="preserve">”</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logging it for periodic audit.</w:t>
      </w:r>
    </w:p>
    <w:p>
      <w:pPr>
        <w:pStyle w:val="BodyText"/>
      </w:pPr>
      <w:r>
        <w:t xml:space="preserve">Organizational governance requirements include who can validate queries (domain expertise thresholds), review workflows for high-stakes queries, query versioning as schemas evolve, and retrieval policies. Drawing on established master data governance practice</w:t>
      </w:r>
      <w:r>
        <w:t xml:space="preserve"> </w:t>
      </w:r>
      <w:r>
        <w:t xml:space="preserve">[</w:t>
      </w:r>
      <w:hyperlink w:anchor="ref-loshin2010">
        <w:r>
          <w:rPr>
            <w:rStyle w:val="Hyperlink"/>
          </w:rPr>
          <w:t xml:space="preserve">75</w:t>
        </w:r>
      </w:hyperlink>
      <w:r>
        <w:t xml:space="preserve">]</w:t>
      </w:r>
      <w:r>
        <w:t xml:space="preserve">, organizations can designate specific validated triples as</w:t>
      </w:r>
      <w:r>
        <w:t xml:space="preserve"> </w:t>
      </w:r>
      <w:r>
        <w:t xml:space="preserve">“</w:t>
      </w:r>
      <w:r>
        <w:t xml:space="preserve">Golden Queries,</w:t>
      </w:r>
      <w:r>
        <w:t xml:space="preserve">”</w:t>
      </w:r>
      <w:r>
        <w:t xml:space="preserve"> </w:t>
      </w:r>
      <w:r>
        <w:t xml:space="preserve">certified by a governance committee as the authoritative source of truth for key metrics. Only these certified triples serve as official standards, mitigating Shadow IT risks</w:t>
      </w:r>
      <w:r>
        <w:t xml:space="preserve"> </w:t>
      </w:r>
      <w:r>
        <w:t xml:space="preserve">[</w:t>
      </w:r>
      <w:hyperlink w:anchor="ref-zimmermann2017">
        <w:r>
          <w:rPr>
            <w:rStyle w:val="Hyperlink"/>
          </w:rPr>
          <w:t xml:space="preserve">76</w:t>
        </w:r>
      </w:hyperlink>
      <w:r>
        <w:t xml:space="preserve">]</w:t>
      </w:r>
      <w:r>
        <w:t xml:space="preserve"> </w:t>
      </w:r>
      <w:r>
        <w:t xml:space="preserve">while preserving analytical agility.</w:t>
      </w:r>
    </w:p>
    <w:bookmarkEnd w:id="41"/>
    <w:bookmarkStart w:id="42" w:name="safety-as-cognitive-forcing"/>
    <w:p>
      <w:pPr>
        <w:pStyle w:val="Heading1"/>
      </w:pPr>
      <w:r>
        <w:t xml:space="preserve">Safety as Cognitive Forcing</w:t>
      </w:r>
    </w:p>
    <w:p>
      <w:pPr>
        <w:pStyle w:val="FirstParagraph"/>
      </w:pPr>
      <w:r>
        <w:t xml:space="preserve">HITL-KG is fundamentally a</w:t>
      </w:r>
      <w:r>
        <w:t xml:space="preserve"> </w:t>
      </w:r>
      <w:r>
        <w:rPr>
          <w:i/>
          <w:iCs/>
        </w:rPr>
        <w:t xml:space="preserve">safety mechanism</w:t>
      </w:r>
      <w:r>
        <w:t xml:space="preserve">, not a productivity tool. The central risk of unsupervised AI in clinical analytics is what we term</w:t>
      </w:r>
      <w:r>
        <w:t xml:space="preserve"> </w:t>
      </w:r>
      <w:r>
        <w:t xml:space="preserve">“</w:t>
      </w:r>
      <w:r>
        <w:t xml:space="preserve">laundering hallucinations</w:t>
      </w:r>
      <w:r>
        <w:t xml:space="preserve">”</w:t>
      </w:r>
      <w:r>
        <w:t xml:space="preserve">: a plausible-sounding but factually incorrect query result that enters the decision pipeline undetected and influences clinical or operational choices. Because large language models generate fluent, confident output regardless of correctness, errors arrive dressed in the language of expertise, harder to catch than obviously malformed output.</w:t>
      </w:r>
    </w:p>
    <w:p>
      <w:pPr>
        <w:pStyle w:val="BodyText"/>
      </w:pPr>
      <w:r>
        <w:t xml:space="preserve">HITL-KG mitigates this risk through</w:t>
      </w:r>
      <w:r>
        <w:t xml:space="preserve"> </w:t>
      </w:r>
      <w:r>
        <w:rPr>
          <w:i/>
          <w:iCs/>
        </w:rPr>
        <w:t xml:space="preserve">Cognitive Forcing Functions</w:t>
      </w:r>
      <w:r>
        <w:t xml:space="preserve"> </w:t>
      </w:r>
      <w:r>
        <w:t xml:space="preserve">[</w:t>
      </w:r>
      <w:hyperlink w:anchor="ref-ziletti2024">
        <w:r>
          <w:rPr>
            <w:rStyle w:val="Hyperlink"/>
          </w:rPr>
          <w:t xml:space="preserve">38</w:t>
        </w:r>
      </w:hyperlink>
      <w:r>
        <w:t xml:space="preserve">]</w:t>
      </w:r>
      <w:r>
        <w:t xml:space="preserve">, a design pattern borrowed from clinical decision-making and safety engineering. Requiring the AI to explain its reasoning</w:t>
      </w:r>
      <w:r>
        <w:t xml:space="preserve"> </w:t>
      </w:r>
      <w:r>
        <w:rPr>
          <w:i/>
          <w:iCs/>
        </w:rPr>
        <w:t xml:space="preserve">before</w:t>
      </w:r>
      <w:r>
        <w:t xml:space="preserve"> </w:t>
      </w:r>
      <w:r>
        <w:t xml:space="preserve">presenting results forces the validator into System 2 (analytical, deliberate) thinking rather than System 1 (fast, heuristic) acceptance of superficially plausible output. User studies confirm the practical benefit: structured explanation reduces error recovery time by 30 to 40 seconds compared to unstructured output review</w:t>
      </w:r>
      <w:r>
        <w:t xml:space="preserve"> </w:t>
      </w:r>
      <w:r>
        <w:t xml:space="preserve">[</w:t>
      </w:r>
      <w:hyperlink w:anchor="ref-ipeirotis2025">
        <w:r>
          <w:rPr>
            <w:rStyle w:val="Hyperlink"/>
          </w:rPr>
          <w:t xml:space="preserve">77</w:t>
        </w:r>
      </w:hyperlink>
      <w:r>
        <w:t xml:space="preserve">]</w:t>
      </w:r>
      <w:r>
        <w:t xml:space="preserve">.</w:t>
      </w:r>
    </w:p>
    <w:p>
      <w:pPr>
        <w:pStyle w:val="BodyText"/>
      </w:pPr>
      <w:r>
        <w:t xml:space="preserve">Critically, the human validator’s value is not merely assumed. Recent studies show that human oversight measurably improves AI-generated analytics: large-language-model output verified by a reviewer outperformed a human-only workflow (91.0% versus 89.0% accuracy) across six systematic reviews</w:t>
      </w:r>
      <w:r>
        <w:t xml:space="preserve"> </w:t>
      </w:r>
      <w:r>
        <w:t xml:space="preserve">[</w:t>
      </w:r>
      <w:hyperlink w:anchor="ref-gartlehner2025">
        <w:r>
          <w:rPr>
            <w:rStyle w:val="Hyperlink"/>
          </w:rPr>
          <w:t xml:space="preserve">78</w:t>
        </w:r>
      </w:hyperlink>
      <w:r>
        <w:t xml:space="preserve">]</w:t>
      </w:r>
      <w:r>
        <w:t xml:space="preserve">, and a text-to-SQL validation gate in which experts correct generated queries improved semantic correctness by 28.4% over end-to-end model output</w:t>
      </w:r>
      <w:r>
        <w:t xml:space="preserve"> </w:t>
      </w:r>
      <w:r>
        <w:t xml:space="preserve">[</w:t>
      </w:r>
      <w:hyperlink w:anchor="ref-benzarti2026">
        <w:r>
          <w:rPr>
            <w:rStyle w:val="Hyperlink"/>
          </w:rPr>
          <w:t xml:space="preserve">79</w:t>
        </w:r>
      </w:hyperlink>
      <w:r>
        <w:t xml:space="preserve">]</w:t>
      </w:r>
      <w:r>
        <w:t xml:space="preserve">. These gains are conditional on well-designed interaction</w:t>
      </w:r>
      <w:r>
        <w:t xml:space="preserve"> </w:t>
      </w:r>
      <w:r>
        <w:t xml:space="preserve">[</w:t>
      </w:r>
      <w:hyperlink w:anchor="ref-ning2024">
        <w:r>
          <w:rPr>
            <w:rStyle w:val="Hyperlink"/>
          </w:rPr>
          <w:t xml:space="preserve">80</w:t>
        </w:r>
      </w:hyperlink>
      <w:r>
        <w:t xml:space="preserve">]</w:t>
      </w:r>
      <w:r>
        <w:t xml:space="preserve">; the comparative effectiveness of HITL-KG itself remains the subject of the planned empirical validation.</w:t>
      </w:r>
    </w:p>
    <w:p>
      <w:pPr>
        <w:pStyle w:val="BodyText"/>
      </w:pPr>
      <w:r>
        <w:t xml:space="preserve">The parallel to aviation safety is instructive: checklists and mandatory call-outs made commercial aviation exceptionally safe not by eliminating human error but by surfacing errors before they propagate. HITL-KG applies the same principle: the mandatory validation step is an analytical</w:t>
      </w:r>
      <w:r>
        <w:t xml:space="preserve"> </w:t>
      </w:r>
      <w:r>
        <w:t xml:space="preserve">“</w:t>
      </w:r>
      <w:r>
        <w:t xml:space="preserve">call-out</w:t>
      </w:r>
      <w:r>
        <w:t xml:space="preserve">”</w:t>
      </w:r>
      <w:r>
        <w:t xml:space="preserve"> </w:t>
      </w:r>
      <w:r>
        <w:t xml:space="preserve">that interrupts uncritical acceptance, so the friction of validation is not a cost but the mechanism of safety itself.</w:t>
      </w:r>
    </w:p>
    <w:bookmarkEnd w:id="42"/>
    <w:bookmarkStart w:id="43" w:name="Xf414813cd0afe621d2dc19456f0dc09d0fd73a3"/>
    <w:p>
      <w:pPr>
        <w:pStyle w:val="Heading1"/>
      </w:pPr>
      <w:r>
        <w:t xml:space="preserve">Structural Barriers: Why the Problem Persists</w:t>
      </w:r>
    </w:p>
    <w:p>
      <w:pPr>
        <w:pStyle w:val="FirstParagraph"/>
      </w:pPr>
      <w:r>
        <w:t xml:space="preserve">Failed standardization approaches (e.g., IBM Watson Health</w:t>
      </w:r>
      <w:r>
        <w:t xml:space="preserve"> </w:t>
      </w:r>
      <w:r>
        <w:t xml:space="preserve">[</w:t>
      </w:r>
      <w:hyperlink w:anchor="ref-ibm2022">
        <w:r>
          <w:rPr>
            <w:rStyle w:val="Hyperlink"/>
          </w:rPr>
          <w:t xml:space="preserve">81</w:t>
        </w:r>
      </w:hyperlink>
      <w:r>
        <w:t xml:space="preserve">,</w:t>
      </w:r>
      <w:hyperlink w:anchor="ref-strickland2019">
        <w:r>
          <w:rPr>
            <w:rStyle w:val="Hyperlink"/>
          </w:rPr>
          <w:t xml:space="preserve">82</w:t>
        </w:r>
      </w:hyperlink>
      <w:r>
        <w:t xml:space="preserve">]</w:t>
      </w:r>
      <w:r>
        <w:t xml:space="preserve">, Haven</w:t>
      </w:r>
      <w:r>
        <w:t xml:space="preserve"> </w:t>
      </w:r>
      <w:r>
        <w:t xml:space="preserve">[</w:t>
      </w:r>
      <w:hyperlink w:anchor="ref-lavito2021">
        <w:r>
          <w:rPr>
            <w:rStyle w:val="Hyperlink"/>
          </w:rPr>
          <w:t xml:space="preserve">83</w:t>
        </w:r>
      </w:hyperlink>
      <w:r>
        <w:t xml:space="preserve">,</w:t>
      </w:r>
      <w:hyperlink w:anchor="ref-acchiardo2021">
        <w:r>
          <w:rPr>
            <w:rStyle w:val="Hyperlink"/>
          </w:rPr>
          <w:t xml:space="preserve">84</w:t>
        </w:r>
      </w:hyperlink>
      <w:r>
        <w:t xml:space="preserve">]</w:t>
      </w:r>
      <w:r>
        <w:t xml:space="preserve">) demonstrate that centralized models fail clinical reality. Metadata uncertainties and</w:t>
      </w:r>
      <w:r>
        <w:t xml:space="preserve"> </w:t>
      </w:r>
      <w:r>
        <w:t xml:space="preserve">“</w:t>
      </w:r>
      <w:r>
        <w:t xml:space="preserve">messy</w:t>
      </w:r>
      <w:r>
        <w:t xml:space="preserve">”</w:t>
      </w:r>
      <w:r>
        <w:t xml:space="preserve"> </w:t>
      </w:r>
      <w:r>
        <w:t xml:space="preserve">institution-specific business logic require localized solutions</w:t>
      </w:r>
      <w:r>
        <w:t xml:space="preserve"> </w:t>
      </w:r>
      <w:r>
        <w:t xml:space="preserve">[</w:t>
      </w:r>
      <w:hyperlink w:anchor="ref-gal2019">
        <w:r>
          <w:rPr>
            <w:rStyle w:val="Hyperlink"/>
          </w:rPr>
          <w:t xml:space="preserve">3</w:t>
        </w:r>
      </w:hyperlink>
      <w:r>
        <w:t xml:space="preserve">,</w:t>
      </w:r>
      <w:hyperlink w:anchor="ref-strickland2019">
        <w:r>
          <w:rPr>
            <w:rStyle w:val="Hyperlink"/>
          </w:rPr>
          <w:t xml:space="preserve">82</w:t>
        </w:r>
      </w:hyperlink>
      <w:r>
        <w:t xml:space="preserve">]</w:t>
      </w:r>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43"/>
    <w:bookmarkStart w:id="44" w:name="limitations"/>
    <w:p>
      <w:pPr>
        <w:pStyle w:val="Heading1"/>
      </w:pP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Three-Pillar Assessment Rubric are conceptual artifacts that require future implementation and validation in diverse health systems before their effectiveness and generalizability can be fully established.</w:t>
      </w:r>
    </w:p>
    <w:p>
      <w:pPr>
        <w:pStyle w:val="BodyText"/>
      </w:pPr>
      <w:r>
        <w:t xml:space="preserve">HITL-KG also complements rather than replaces workforce development: it decouples institutional knowledge from individual tenure, but still presumes investment in the training and analytics literacy through which staff learn to pose, validate, and interpret queries</w:t>
      </w:r>
      <w:r>
        <w:t xml:space="preserve"> </w:t>
      </w:r>
      <w:r>
        <w:t xml:space="preserve">[</w:t>
      </w:r>
      <w:hyperlink w:anchor="ref-ledikwe2013">
        <w:r>
          <w:rPr>
            <w:rStyle w:val="Hyperlink"/>
          </w:rPr>
          <w:t xml:space="preserve">17</w:t>
        </w:r>
      </w:hyperlink>
      <w:r>
        <w:t xml:space="preserve">]</w:t>
      </w:r>
      <w:r>
        <w:t xml:space="preserve">. This complementarity also bounds the framework. Where data models and business rules change continually, no approach is self-maintaining; precisely because retained expertise cannot manually keep pace with constant change, knowledge must be externalized into curated artifacts, yet the validated query library must itself be actively maintained, a burden the Continuous Analytic Integration mechanism mitigates but does not remove.</w:t>
      </w:r>
    </w:p>
    <w:bookmarkEnd w:id="44"/>
    <w:bookmarkStart w:id="45" w:name="implications-and-future-research"/>
    <w:p>
      <w:pPr>
        <w:pStyle w:val="Heading1"/>
      </w:pPr>
      <w:r>
        <w:t xml:space="preserve">Implications and Future Research</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i/>
          <w:i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Three-Pillar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will be needed to test these claims across diverse organizational, regulatory, and data environments.</w:t>
      </w:r>
    </w:p>
    <w:bookmarkEnd w:id="45"/>
    <w:bookmarkStart w:id="46" w:name="acknowledgments"/>
    <w:p>
      <w:pPr>
        <w:pStyle w:val="Heading1"/>
      </w:pPr>
      <w:r>
        <w:t xml:space="preserve">Acknowledgments</w:t>
      </w:r>
    </w:p>
    <w:p>
      <w:pPr>
        <w:pStyle w:val="FirstParagraph"/>
      </w:pPr>
      <w:r>
        <w:t xml:space="preserve">The author (S.T.H.) is the sole author and takes full responsibility for the manuscript’s content. Generative AI disclosure: generative AI was used to assist this work, specifically Gemini CLI (Gemini 3, Google) and Claude Code (Claude 5, Anthropic) for manuscript editing, language refinement, and literature search. Generative AI was not used to generate research findings, data, or conclusions; the author conducted the research and verified all claims, citations, and AI-assisted text. Figures were generated using the Mermaid graph language.</w:t>
      </w:r>
    </w:p>
    <w:bookmarkEnd w:id="46"/>
    <w:bookmarkStart w:id="47" w:name="author-contributions"/>
    <w:p>
      <w:pPr>
        <w:pStyle w:val="Heading1"/>
      </w:pPr>
      <w:r>
        <w:t xml:space="preserve">Author Contributions</w:t>
      </w:r>
    </w:p>
    <w:p>
      <w:pPr>
        <w:pStyle w:val="FirstParagraph"/>
      </w:pPr>
      <w:r>
        <w:t xml:space="preserve">S.T.H.: Conceptualization, Investigation, Methodology, Writing (Original Draft), Writing (Review and Editing), Visualization.</w:t>
      </w:r>
    </w:p>
    <w:bookmarkEnd w:id="47"/>
    <w:bookmarkStart w:id="48" w:name="conflicts-of-interest"/>
    <w:p>
      <w:pPr>
        <w:pStyle w:val="Heading1"/>
      </w:pP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48"/>
    <w:bookmarkStart w:id="49" w:name="data-availability"/>
    <w:p>
      <w:pPr>
        <w:pStyle w:val="Heading1"/>
      </w:pP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industry reports, and academic theses, referenced in the bibliography. The manuscript source, build pipeline, and literature review tool are available at https://doi.org/10.5281/zenodo.18264359</w:t>
      </w:r>
    </w:p>
    <w:bookmarkEnd w:id="49"/>
    <w:bookmarkStart w:id="50" w:name="funding"/>
    <w:p>
      <w:pPr>
        <w:pStyle w:val="Heading1"/>
      </w:pPr>
      <w:r>
        <w:t xml:space="preserve">Funding</w:t>
      </w:r>
    </w:p>
    <w:p>
      <w:pPr>
        <w:pStyle w:val="FirstParagraph"/>
      </w:pPr>
      <w:r>
        <w:t xml:space="preserve">Yuimedi, Inc. provided financial support for the author’s time researching and writing this manuscript.</w:t>
      </w:r>
    </w:p>
    <w:bookmarkEnd w:id="50"/>
    <w:bookmarkStart w:id="51" w:name="abbreviations"/>
    <w:p>
      <w:pPr>
        <w:pStyle w:val="Heading1"/>
      </w:pP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Adoption Model for Analytics Maturity</w:t>
      </w:r>
      <w:r>
        <w:t xml:space="preserve"> </w:t>
      </w:r>
      <w:r>
        <w:t xml:space="preserve">BI: Business Intelligence</w:t>
      </w:r>
      <w:r>
        <w:t xml:space="preserve"> </w:t>
      </w:r>
      <w:r>
        <w:t xml:space="preserve">CI/CD: Continuous Integration and Continuous Delivery</w:t>
      </w:r>
      <w:r>
        <w:t xml:space="preserve"> </w:t>
      </w:r>
      <w:r>
        <w:t xml:space="preserve">CIO: Chief Information Officer</w:t>
      </w:r>
      <w:r>
        <w:t xml:space="preserve"> </w:t>
      </w:r>
      <w:r>
        <w:t xml:space="preserve">CMS: Centers for Medicare and Medicaid Services</w:t>
      </w:r>
      <w:r>
        <w:t xml:space="preserve"> </w:t>
      </w:r>
      <w:r>
        <w:t xml:space="preserve">DIKW: Data, Information, Knowledge, Wisdom</w:t>
      </w:r>
      <w:r>
        <w:t xml:space="preserve"> </w:t>
      </w:r>
      <w:r>
        <w:t xml:space="preserve">DSR: Design Science Research</w:t>
      </w:r>
      <w:r>
        <w:t xml:space="preserve"> </w:t>
      </w:r>
      <w:r>
        <w:t xml:space="preserve">EHR: Electronic Health Record</w:t>
      </w:r>
      <w:r>
        <w:t xml:space="preserve"> </w:t>
      </w:r>
      <w:r>
        <w:t xml:space="preserve">EMR: Electronic Medical Record</w:t>
      </w:r>
      <w:r>
        <w:t xml:space="preserve"> </w:t>
      </w:r>
      <w:r>
        <w:t xml:space="preserve">EMRAM: Electronic Medical Record Adoption Model</w:t>
      </w:r>
      <w:r>
        <w:t xml:space="preserve"> </w:t>
      </w:r>
      <w:r>
        <w:t xml:space="preserve">HIMSS: Healthcare Information and Management Systems Society</w:t>
      </w:r>
      <w:r>
        <w:t xml:space="preserve"> </w:t>
      </w:r>
      <w:r>
        <w:t xml:space="preserve">HITL: Human-in-the-Loop</w:t>
      </w:r>
      <w:r>
        <w:t xml:space="preserve"> </w:t>
      </w:r>
      <w:r>
        <w:t xml:space="preserve">HITL-KG: Human-in-the-Loop Knowledge Governance</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NLP: Natural Language Processing</w:t>
      </w:r>
      <w:r>
        <w:t xml:space="preserve"> </w:t>
      </w:r>
      <w:r>
        <w:t xml:space="preserve">SECI: Socialization, Externalization, Combination, Internalization</w:t>
      </w:r>
      <w:r>
        <w:t xml:space="preserve"> </w:t>
      </w:r>
      <w:r>
        <w:t xml:space="preserve">SQL: Structured Query Language</w:t>
      </w:r>
    </w:p>
    <w:bookmarkEnd w:id="51"/>
    <w:bookmarkStart w:id="220" w:name="references"/>
    <w:p>
      <w:pPr>
        <w:pStyle w:val="Heading1"/>
      </w:pPr>
      <w:r>
        <w:t xml:space="preserve">References</w:t>
      </w:r>
    </w:p>
    <w:bookmarkStart w:id="219" w:name="refs"/>
    <w:bookmarkStart w:id="53" w:name="ref-himss2024"/>
    <w:p>
      <w:pPr>
        <w:pStyle w:val="Bibliography"/>
      </w:pPr>
      <w:r>
        <w:t xml:space="preserve">1.</w:t>
      </w:r>
      <w:r>
        <w:t xml:space="preserve"> </w:t>
      </w:r>
      <w:r>
        <w:t xml:space="preserve">	</w:t>
      </w:r>
      <w:r>
        <w:t xml:space="preserve">HIMSS Analytics.</w:t>
      </w:r>
      <w:r>
        <w:t xml:space="preserve"> </w:t>
      </w:r>
      <w:r>
        <w:rPr>
          <w:i/>
          <w:iCs/>
        </w:rPr>
        <w:t xml:space="preserve">Analytics maturity assessment model (AMAM) global report. Healthcare Information and Management Systems Society</w:t>
      </w:r>
      <w:r>
        <w:t xml:space="preserve">.</w:t>
      </w:r>
      <w:r>
        <w:t xml:space="preserve"> </w:t>
      </w:r>
      <w:r>
        <w:t xml:space="preserve">HIMSS Analytics</w:t>
      </w:r>
      <w:r>
        <w:t xml:space="preserve">; 2024.</w:t>
      </w:r>
      <w:r>
        <w:t xml:space="preserve"> </w:t>
      </w:r>
      <w:hyperlink r:id="rId52">
        <w:r>
          <w:rPr>
            <w:rStyle w:val="Hyperlink"/>
          </w:rPr>
          <w:t xml:space="preserve">https://www.himss.org/maturity-models/amam/</w:t>
        </w:r>
      </w:hyperlink>
    </w:p>
    <w:bookmarkEnd w:id="53"/>
    <w:bookmarkStart w:id="55" w:name="ref-himss2024news"/>
    <w:p>
      <w:pPr>
        <w:pStyle w:val="Bibliography"/>
      </w:pPr>
      <w:r>
        <w:t xml:space="preserve">2.</w:t>
      </w:r>
      <w:r>
        <w:t xml:space="preserve"> </w:t>
      </w:r>
      <w:r>
        <w:t xml:space="preserve">	</w:t>
      </w:r>
      <w:r>
        <w:t xml:space="preserve">Healthcare IT News.</w:t>
      </w:r>
      <w:r>
        <w:t xml:space="preserve"> </w:t>
      </w:r>
      <w:r>
        <w:t xml:space="preserve">HIMSS launches modernised Analytics Maturity Assessment Model</w:t>
      </w:r>
      <w:r>
        <w:t xml:space="preserve">. Published online 2024.</w:t>
      </w:r>
      <w:r>
        <w:t xml:space="preserve"> </w:t>
      </w:r>
      <w:hyperlink r:id="rId54">
        <w:r>
          <w:rPr>
            <w:rStyle w:val="Hyperlink"/>
          </w:rPr>
          <w:t xml:space="preserve">https://www.healthcareitnews.com/news/asia/himss24-apac-adoption-model-analytics-maturity-gets-facelift</w:t>
        </w:r>
      </w:hyperlink>
    </w:p>
    <w:bookmarkEnd w:id="55"/>
    <w:bookmarkStart w:id="57" w:name="ref-gal2019"/>
    <w:p>
      <w:pPr>
        <w:pStyle w:val="Bibliography"/>
      </w:pPr>
      <w:r>
        <w:t xml:space="preserve">3.</w:t>
      </w:r>
      <w:r>
        <w:t xml:space="preserve"> </w:t>
      </w:r>
      <w:r>
        <w:t xml:space="preserve">	</w:t>
      </w:r>
      <w:r>
        <w:t xml:space="preserve">Michal S. Gal, Daniel L. Rubinfeld.</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56">
        <w:r>
          <w:rPr>
            <w:rStyle w:val="Hyperlink"/>
          </w:rPr>
          <w:t xml:space="preserve">https://www.nyulawreview.org/issues/volume-94-number-4/data-standardization/</w:t>
        </w:r>
      </w:hyperlink>
    </w:p>
    <w:bookmarkEnd w:id="57"/>
    <w:bookmarkStart w:id="59" w:name="ref-zhang2024"/>
    <w:p>
      <w:pPr>
        <w:pStyle w:val="Bibliography"/>
      </w:pPr>
      <w:r>
        <w:t xml:space="preserve">4.</w:t>
      </w:r>
      <w:r>
        <w:t xml:space="preserve"> </w:t>
      </w:r>
      <w:r>
        <w:t xml:space="preserve">	</w:t>
      </w:r>
      <w:r>
        <w:t xml:space="preserve">Yue Zhang, Jennifer A Callaghan-Koru, G"unes Koru.</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2024;7(3):ooae058. doi:</w:t>
      </w:r>
      <w:hyperlink r:id="rId58">
        <w:r>
          <w:rPr>
            <w:rStyle w:val="Hyperlink"/>
          </w:rPr>
          <w:t xml:space="preserve">10.1093/jamiaopen/ooae058</w:t>
        </w:r>
      </w:hyperlink>
    </w:p>
    <w:bookmarkEnd w:id="59"/>
    <w:bookmarkStart w:id="61" w:name="ref-hong2025"/>
    <w:p>
      <w:pPr>
        <w:pStyle w:val="Bibliography"/>
      </w:pPr>
      <w:r>
        <w:t xml:space="preserve">5.</w:t>
      </w:r>
      <w:r>
        <w:t xml:space="preserve"> </w:t>
      </w:r>
      <w:r>
        <w:t xml:space="preserve">	</w:t>
      </w:r>
      <w:r>
        <w:t xml:space="preserve">Ji Hyeun Hong. When does employee turnover matter? Analyzing the role of organizational memory in the federal IT workforce.</w:t>
      </w:r>
      <w:r>
        <w:t xml:space="preserve"> </w:t>
      </w:r>
      <w:r>
        <w:rPr>
          <w:i/>
          <w:iCs/>
        </w:rPr>
        <w:t xml:space="preserve">Journal of Public Administration Research and Theory</w:t>
      </w:r>
      <w:r>
        <w:t xml:space="preserve">. 2025;35(4):434-451. doi:</w:t>
      </w:r>
      <w:hyperlink r:id="rId60">
        <w:r>
          <w:rPr>
            <w:rStyle w:val="Hyperlink"/>
          </w:rPr>
          <w:t xml:space="preserve">10.1093/jopart/muaf019</w:t>
        </w:r>
      </w:hyperlink>
    </w:p>
    <w:bookmarkEnd w:id="61"/>
    <w:bookmarkStart w:id="63" w:name="ref-wittkieffer2024"/>
    <w:p>
      <w:pPr>
        <w:pStyle w:val="Bibliography"/>
      </w:pPr>
      <w:r>
        <w:t xml:space="preserve">6.</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62">
        <w:r>
          <w:rPr>
            <w:rStyle w:val="Hyperlink"/>
          </w:rPr>
          <w:t xml:space="preserve">https://api.wittkieffer.com/wp-content/uploads/2012/10/cio-insights-the-state-of-healthcare-it-leadership-wittkieffer-october-2024.pdf</w:t>
        </w:r>
      </w:hyperlink>
    </w:p>
    <w:bookmarkEnd w:id="63"/>
    <w:bookmarkStart w:id="65" w:name="ref-ren2024"/>
    <w:p>
      <w:pPr>
        <w:pStyle w:val="Bibliography"/>
      </w:pPr>
      <w:r>
        <w:t xml:space="preserve">7.</w:t>
      </w:r>
      <w:r>
        <w:t xml:space="preserve"> </w:t>
      </w:r>
      <w:r>
        <w:t xml:space="preserve">	</w:t>
      </w:r>
      <w:r>
        <w:t xml:space="preserve">Hui Ren, Pan Li, Yingchun Xue, Wenhao Xin, Xin Yin, Hongyan Li.</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2024;2024(1). doi:</w:t>
      </w:r>
      <w:hyperlink r:id="rId64">
        <w:r>
          <w:rPr>
            <w:rStyle w:val="Hyperlink"/>
          </w:rPr>
          <w:t xml:space="preserve">10.1155/2024/5063998</w:t>
        </w:r>
      </w:hyperlink>
    </w:p>
    <w:bookmarkEnd w:id="65"/>
    <w:bookmarkStart w:id="67" w:name="ref-wu2024"/>
    <w:p>
      <w:pPr>
        <w:pStyle w:val="Bibliography"/>
      </w:pPr>
      <w:r>
        <w:t xml:space="preserve">8.</w:t>
      </w:r>
      <w:r>
        <w:t xml:space="preserve"> </w:t>
      </w:r>
      <w:r>
        <w:t xml:space="preserve">	</w:t>
      </w:r>
      <w:r>
        <w:t xml:space="preserve">Lao Wu F., L. Li.</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66">
        <w:r>
          <w:rPr>
            <w:rStyle w:val="Hyperlink"/>
          </w:rPr>
          <w:t xml:space="preserve">10.1002/nop2.2097</w:t>
        </w:r>
      </w:hyperlink>
    </w:p>
    <w:bookmarkEnd w:id="67"/>
    <w:bookmarkStart w:id="69" w:name="ref-rajamani2025"/>
    <w:p>
      <w:pPr>
        <w:pStyle w:val="Bibliography"/>
      </w:pPr>
      <w:r>
        <w:t xml:space="preserve">9.</w:t>
      </w:r>
      <w:r>
        <w:t xml:space="preserve"> </w:t>
      </w:r>
      <w:r>
        <w:t xml:space="preserve">	</w:t>
      </w:r>
      <w:r>
        <w:t xml:space="preserve">Sripriya Rajamani, Jonathon P. Leider, Divya Rupini Gunashekar, Brian E. Dixon.</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the American Medical Informatics Association</w:t>
      </w:r>
      <w:r>
        <w:t xml:space="preserve">. 2025;32(4):748-754. doi:</w:t>
      </w:r>
      <w:hyperlink r:id="rId68">
        <w:r>
          <w:rPr>
            <w:rStyle w:val="Hyperlink"/>
          </w:rPr>
          <w:t xml:space="preserve">10.1093/jamia/ocaf019</w:t>
        </w:r>
      </w:hyperlink>
    </w:p>
    <w:bookmarkEnd w:id="69"/>
    <w:bookmarkStart w:id="71" w:name="ref-pollitt2000"/>
    <w:p>
      <w:pPr>
        <w:pStyle w:val="Bibliography"/>
      </w:pPr>
      <w:r>
        <w:t xml:space="preserve">10.</w:t>
      </w:r>
      <w:r>
        <w:t xml:space="preserve"> </w:t>
      </w:r>
      <w:r>
        <w:t xml:space="preserve">	</w:t>
      </w:r>
      <w:r>
        <w:t xml:space="preserve">Christopher Pollitt.</w:t>
      </w:r>
      <w:r>
        <w:t xml:space="preserve"> </w:t>
      </w:r>
      <w:r>
        <w:t xml:space="preserve">Institutional Amnesia: A Paradox of the ’Information Age’?</w:t>
      </w:r>
      <w:r>
        <w:t xml:space="preserve"> </w:t>
      </w:r>
      <w:r>
        <w:rPr>
          <w:i/>
          <w:iCs/>
        </w:rPr>
        <w:t xml:space="preserve">Prometheus</w:t>
      </w:r>
      <w:r>
        <w:t xml:space="preserve">. 2000;18(1):5-16. doi:</w:t>
      </w:r>
      <w:hyperlink r:id="rId70">
        <w:r>
          <w:rPr>
            <w:rStyle w:val="Hyperlink"/>
          </w:rPr>
          <w:t xml:space="preserve">10.1080/08109020050000627</w:t>
        </w:r>
      </w:hyperlink>
    </w:p>
    <w:bookmarkEnd w:id="71"/>
    <w:bookmarkStart w:id="73" w:name="ref-stark2019"/>
    <w:p>
      <w:pPr>
        <w:pStyle w:val="Bibliography"/>
      </w:pPr>
      <w:r>
        <w:t xml:space="preserve">11.</w:t>
      </w:r>
      <w:r>
        <w:t xml:space="preserve"> </w:t>
      </w:r>
      <w:r>
        <w:t xml:space="preserve">	</w:t>
      </w:r>
      <w:r>
        <w:t xml:space="preserve">Alastair Stark, Brian Head.</w:t>
      </w:r>
      <w:r>
        <w:t xml:space="preserve"> </w:t>
      </w:r>
      <w:r>
        <w:t xml:space="preserve">Institutional amnesia and public policy</w:t>
      </w:r>
      <w:r>
        <w:t xml:space="preserve">.</w:t>
      </w:r>
      <w:r>
        <w:t xml:space="preserve"> </w:t>
      </w:r>
      <w:r>
        <w:rPr>
          <w:i/>
          <w:iCs/>
        </w:rPr>
        <w:t xml:space="preserve">Journal of European Public Policy</w:t>
      </w:r>
      <w:r>
        <w:t xml:space="preserve">. 2019;26(10):1521-1539. doi:</w:t>
      </w:r>
      <w:hyperlink r:id="rId72">
        <w:r>
          <w:rPr>
            <w:rStyle w:val="Hyperlink"/>
          </w:rPr>
          <w:t xml:space="preserve">10.1080/13501763.2018.1535612</w:t>
        </w:r>
      </w:hyperlink>
    </w:p>
    <w:bookmarkEnd w:id="73"/>
    <w:bookmarkStart w:id="75" w:name="ref-deholan2004"/>
    <w:p>
      <w:pPr>
        <w:pStyle w:val="Bibliography"/>
      </w:pPr>
      <w:r>
        <w:t xml:space="preserve">12.</w:t>
      </w:r>
      <w:r>
        <w:t xml:space="preserve"> </w:t>
      </w:r>
      <w:r>
        <w:t xml:space="preserve">	</w:t>
      </w:r>
      <w:r>
        <w:t xml:space="preserve">Pablo Martin de Holan, Nelson Phillips.</w:t>
      </w:r>
      <w:r>
        <w:t xml:space="preserve"> </w:t>
      </w:r>
      <w:r>
        <w:t xml:space="preserve">Remembrance of Things Past? The Dynamics of Organizational Forgetting</w:t>
      </w:r>
      <w:r>
        <w:t xml:space="preserve">.</w:t>
      </w:r>
      <w:r>
        <w:t xml:space="preserve"> </w:t>
      </w:r>
      <w:r>
        <w:rPr>
          <w:i/>
          <w:iCs/>
        </w:rPr>
        <w:t xml:space="preserve">Management Science</w:t>
      </w:r>
      <w:r>
        <w:t xml:space="preserve">. 2004;50(11):1603-1613. doi:</w:t>
      </w:r>
      <w:hyperlink r:id="rId74">
        <w:r>
          <w:rPr>
            <w:rStyle w:val="Hyperlink"/>
          </w:rPr>
          <w:t xml:space="preserve">10.1287/mnsc.1040.0273</w:t>
        </w:r>
      </w:hyperlink>
    </w:p>
    <w:bookmarkEnd w:id="75"/>
    <w:bookmarkStart w:id="77" w:name="ref-rao2006"/>
    <w:p>
      <w:pPr>
        <w:pStyle w:val="Bibliography"/>
      </w:pPr>
      <w:r>
        <w:t xml:space="preserve">13.</w:t>
      </w:r>
      <w:r>
        <w:t xml:space="preserve"> </w:t>
      </w:r>
      <w:r>
        <w:t xml:space="preserve">	</w:t>
      </w:r>
      <w:r>
        <w:t xml:space="preserve">R. D. Rao, L. Argote. Organizational learning and forgetting: The effects of turnover and structure.</w:t>
      </w:r>
      <w:r>
        <w:t xml:space="preserve"> </w:t>
      </w:r>
      <w:r>
        <w:rPr>
          <w:i/>
          <w:iCs/>
        </w:rPr>
        <w:t xml:space="preserve">European Management Review</w:t>
      </w:r>
      <w:r>
        <w:t xml:space="preserve">. 2006;3(2):77-85. doi:</w:t>
      </w:r>
      <w:hyperlink r:id="rId76">
        <w:r>
          <w:rPr>
            <w:rStyle w:val="Hyperlink"/>
          </w:rPr>
          <w:t xml:space="preserve">10.1057/palgrave.emr.1500057</w:t>
        </w:r>
      </w:hyperlink>
    </w:p>
    <w:bookmarkEnd w:id="77"/>
    <w:bookmarkStart w:id="79" w:name="ref-gitelman2013"/>
    <w:p>
      <w:pPr>
        <w:pStyle w:val="Bibliography"/>
      </w:pPr>
      <w:r>
        <w:t xml:space="preserve">14.</w:t>
      </w:r>
      <w:r>
        <w:t xml:space="preserve"> </w:t>
      </w:r>
      <w:r>
        <w:t xml:space="preserve">	</w:t>
      </w:r>
      <w:r>
        <w:t xml:space="preserve">, ed.Lisa Gitelman.</w:t>
      </w:r>
      <w:r>
        <w:t xml:space="preserve"> </w:t>
      </w:r>
      <w:r>
        <w:rPr>
          <w:i/>
          <w:iCs/>
        </w:rPr>
        <w:t xml:space="preserve">"Raw Data" Is an Oxymoron</w:t>
      </w:r>
      <w:r>
        <w:t xml:space="preserve">. MIT Press; 2013. doi:</w:t>
      </w:r>
      <w:hyperlink r:id="rId78">
        <w:r>
          <w:rPr>
            <w:rStyle w:val="Hyperlink"/>
          </w:rPr>
          <w:t xml:space="preserve">10.7551/mitpress/9302.001.0001</w:t>
        </w:r>
      </w:hyperlink>
    </w:p>
    <w:bookmarkEnd w:id="79"/>
    <w:bookmarkStart w:id="81" w:name="ref-wang2020"/>
    <w:p>
      <w:pPr>
        <w:pStyle w:val="Bibliography"/>
      </w:pPr>
      <w:r>
        <w:t xml:space="preserve">15.</w:t>
      </w:r>
      <w:r>
        <w:t xml:space="preserve"> </w:t>
      </w:r>
      <w:r>
        <w:t xml:space="preserve">	</w:t>
      </w:r>
      <w:r>
        <w:t xml:space="preserve">Shi Wang P.</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80">
        <w:r>
          <w:rPr>
            <w:rStyle w:val="Hyperlink"/>
          </w:rPr>
          <w:t xml:space="preserve">10.1145/3366423.3380120</w:t>
        </w:r>
      </w:hyperlink>
    </w:p>
    <w:bookmarkEnd w:id="81"/>
    <w:bookmarkStart w:id="83" w:name="ref-mayo2016"/>
    <w:p>
      <w:pPr>
        <w:pStyle w:val="Bibliography"/>
      </w:pPr>
      <w:r>
        <w:t xml:space="preserve">16.</w:t>
      </w:r>
      <w:r>
        <w:t xml:space="preserve"> </w:t>
      </w:r>
      <w:r>
        <w:t xml:space="preserve">	</w:t>
      </w:r>
      <w:r>
        <w:t xml:space="preserve">Charles S. Mayo, Joseph O. Deasy, Bhishamjit S. Chera, John Freymann, Justin S. Kirby, Patricia H. Hardenberg.</w:t>
      </w:r>
      <w:r>
        <w:t xml:space="preserve"> </w:t>
      </w:r>
      <w:r>
        <w:t xml:space="preserve">How can we effect culture change toward data-driven medicine?</w:t>
      </w:r>
      <w:r>
        <w:t xml:space="preserve"> </w:t>
      </w:r>
      <w:r>
        <w:rPr>
          <w:i/>
          <w:iCs/>
        </w:rPr>
        <w:t xml:space="preserve">International Journal of Radiation Oncology, Biology, Physics</w:t>
      </w:r>
      <w:r>
        <w:t xml:space="preserve">. 2016;95(3):916-921. doi:</w:t>
      </w:r>
      <w:hyperlink r:id="rId82">
        <w:r>
          <w:rPr>
            <w:rStyle w:val="Hyperlink"/>
          </w:rPr>
          <w:t xml:space="preserve">10.1016/j.ijrobp.2015.12.355</w:t>
        </w:r>
      </w:hyperlink>
    </w:p>
    <w:bookmarkEnd w:id="83"/>
    <w:bookmarkStart w:id="85" w:name="ref-ledikwe2013"/>
    <w:p>
      <w:pPr>
        <w:pStyle w:val="Bibliography"/>
      </w:pPr>
      <w:r>
        <w:t xml:space="preserve">17.</w:t>
      </w:r>
      <w:r>
        <w:t xml:space="preserve"> </w:t>
      </w:r>
      <w:r>
        <w:t xml:space="preserve">	</w:t>
      </w:r>
      <w:r>
        <w:t xml:space="preserve">Reason Ledikwe J. H.</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2013;11(1). doi:</w:t>
      </w:r>
      <w:hyperlink r:id="rId84">
        <w:r>
          <w:rPr>
            <w:rStyle w:val="Hyperlink"/>
          </w:rPr>
          <w:t xml:space="preserve">10.1186/1478-4491-11-35</w:t>
        </w:r>
      </w:hyperlink>
    </w:p>
    <w:bookmarkEnd w:id="85"/>
    <w:bookmarkStart w:id="87" w:name="ref-mantas2010"/>
    <w:p>
      <w:pPr>
        <w:pStyle w:val="Bibliography"/>
      </w:pPr>
      <w:r>
        <w:t xml:space="preserve">18.</w:t>
      </w:r>
      <w:r>
        <w:t xml:space="preserve"> </w:t>
      </w:r>
      <w:r>
        <w:t xml:space="preserve">	</w:t>
      </w:r>
      <w:r>
        <w:t xml:space="preserve">Ammenwerth Mantas J.</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2010;49(2):105-120. doi:</w:t>
      </w:r>
      <w:hyperlink r:id="rId86">
        <w:r>
          <w:rPr>
            <w:rStyle w:val="Hyperlink"/>
          </w:rPr>
          <w:t xml:space="preserve">10.3414/ME5119</w:t>
        </w:r>
      </w:hyperlink>
    </w:p>
    <w:bookmarkEnd w:id="87"/>
    <w:bookmarkStart w:id="89" w:name="ref-ang2004"/>
    <w:p>
      <w:pPr>
        <w:pStyle w:val="Bibliography"/>
      </w:pPr>
      <w:r>
        <w:t xml:space="preserve">19.</w:t>
      </w:r>
      <w:r>
        <w:t xml:space="preserve"> </w:t>
      </w:r>
      <w:r>
        <w:t xml:space="preserve">	</w:t>
      </w:r>
      <w:r>
        <w:t xml:space="preserve">S. Ang, S. Slaughter.</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2004;35(3):11-27. doi:</w:t>
      </w:r>
      <w:hyperlink r:id="rId88">
        <w:r>
          <w:rPr>
            <w:rStyle w:val="Hyperlink"/>
          </w:rPr>
          <w:t xml:space="preserve">10.1145/1017114.1017118</w:t>
        </w:r>
      </w:hyperlink>
    </w:p>
    <w:bookmarkEnd w:id="89"/>
    <w:bookmarkStart w:id="91" w:name="ref-farnese2019"/>
    <w:p>
      <w:pPr>
        <w:pStyle w:val="Bibliography"/>
      </w:pPr>
      <w:r>
        <w:t xml:space="preserve">20.</w:t>
      </w:r>
      <w:r>
        <w:t xml:space="preserve"> </w:t>
      </w:r>
      <w:r>
        <w:t xml:space="preserve">	</w:t>
      </w:r>
      <w:r>
        <w:t xml:space="preserve">Barbieri Farnese M. L.</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2019;10. doi:</w:t>
      </w:r>
      <w:hyperlink r:id="rId90">
        <w:r>
          <w:rPr>
            <w:rStyle w:val="Hyperlink"/>
          </w:rPr>
          <w:t xml:space="preserve">10.3389/fpsyg.2019.02730</w:t>
        </w:r>
      </w:hyperlink>
    </w:p>
    <w:bookmarkEnd w:id="91"/>
    <w:bookmarkStart w:id="93" w:name="ref-tyndall2010"/>
    <w:p>
      <w:pPr>
        <w:pStyle w:val="Bibliography"/>
      </w:pPr>
      <w:r>
        <w:t xml:space="preserve">21.</w:t>
      </w:r>
      <w:r>
        <w:t xml:space="preserve"> </w:t>
      </w:r>
      <w:r>
        <w:t xml:space="preserve">	</w:t>
      </w:r>
      <w:r>
        <w:t xml:space="preserve">J Tyndall.</w:t>
      </w:r>
      <w:r>
        <w:t xml:space="preserve"> </w:t>
      </w:r>
      <w:r>
        <w:t xml:space="preserve">AACODS</w:t>
      </w:r>
      <w:r>
        <w:t xml:space="preserve"> </w:t>
      </w:r>
      <w:r>
        <w:t xml:space="preserve">Checklist. Flinders University</w:t>
      </w:r>
      <w:r>
        <w:t xml:space="preserve">. Published online 2010.</w:t>
      </w:r>
      <w:r>
        <w:t xml:space="preserve"> </w:t>
      </w:r>
      <w:hyperlink r:id="rId92">
        <w:r>
          <w:rPr>
            <w:rStyle w:val="Hyperlink"/>
          </w:rPr>
          <w:t xml:space="preserve">https://fac.flinders.edu.au/dspace/api/core/bitstreams/e94a96eb-0334-4300-8880-c836d4d9a676/content</w:t>
        </w:r>
      </w:hyperlink>
    </w:p>
    <w:bookmarkEnd w:id="93"/>
    <w:bookmarkStart w:id="95" w:name="ref-foos2006"/>
    <w:p>
      <w:pPr>
        <w:pStyle w:val="Bibliography"/>
      </w:pPr>
      <w:r>
        <w:t xml:space="preserve">22.</w:t>
      </w:r>
      <w:r>
        <w:t xml:space="preserve"> </w:t>
      </w:r>
      <w:r>
        <w:t xml:space="preserve">	</w:t>
      </w:r>
      <w:r>
        <w:t xml:space="preserve">Ted Foos, Gary Schum, Sandra Rothenberg.</w:t>
      </w:r>
      <w:r>
        <w:t xml:space="preserve"> </w:t>
      </w:r>
      <w:r>
        <w:t xml:space="preserve">Tacit knowledge transfer and the knowledge disconnect</w:t>
      </w:r>
      <w:r>
        <w:t xml:space="preserve">.</w:t>
      </w:r>
      <w:r>
        <w:t xml:space="preserve"> </w:t>
      </w:r>
      <w:r>
        <w:rPr>
          <w:i/>
          <w:iCs/>
        </w:rPr>
        <w:t xml:space="preserve">Journal of Knowledge Management</w:t>
      </w:r>
      <w:r>
        <w:t xml:space="preserve">. 2006;10(1):6-18. doi:</w:t>
      </w:r>
      <w:hyperlink r:id="rId94">
        <w:r>
          <w:rPr>
            <w:rStyle w:val="Hyperlink"/>
          </w:rPr>
          <w:t xml:space="preserve">10.1108/13673270610650067</w:t>
        </w:r>
      </w:hyperlink>
    </w:p>
    <w:bookmarkEnd w:id="95"/>
    <w:bookmarkStart w:id="97" w:name="ref-nsi2025"/>
    <w:p>
      <w:pPr>
        <w:pStyle w:val="Bibliography"/>
      </w:pPr>
      <w:r>
        <w:t xml:space="preserve">23.</w:t>
      </w:r>
      <w:r>
        <w:t xml:space="preserve"> </w:t>
      </w:r>
      <w:r>
        <w:t xml:space="preserve">	</w:t>
      </w:r>
      <w:r>
        <w:t xml:space="preserve">NSI Nursing Solutions.</w:t>
      </w:r>
      <w:r>
        <w:t xml:space="preserve"> </w:t>
      </w:r>
      <w:r>
        <w:rPr>
          <w:i/>
          <w:iCs/>
        </w:rPr>
        <w:t xml:space="preserve">2025 National Health Care Retention &amp; RN Staffing Report</w:t>
      </w:r>
      <w:r>
        <w:t xml:space="preserve">. NSI Nursing Solutions; 2024.</w:t>
      </w:r>
      <w:r>
        <w:t xml:space="preserve"> </w:t>
      </w:r>
      <w:hyperlink r:id="rId96">
        <w:r>
          <w:rPr>
            <w:rStyle w:val="Hyperlink"/>
          </w:rPr>
          <w:t xml:space="preserve">https://www.nsinursingsolutions.com/documents/library/nsi_national_health_care_retention_report.pdf</w:t>
        </w:r>
      </w:hyperlink>
    </w:p>
    <w:bookmarkEnd w:id="97"/>
    <w:bookmarkStart w:id="99" w:name="ref-massingham2018"/>
    <w:p>
      <w:pPr>
        <w:pStyle w:val="Bibliography"/>
      </w:pPr>
      <w:r>
        <w:t xml:space="preserve">24.</w:t>
      </w:r>
      <w:r>
        <w:t xml:space="preserve"> </w:t>
      </w:r>
      <w:r>
        <w:t xml:space="preserve">	</w:t>
      </w:r>
      <w:r>
        <w:t xml:space="preserve">P. R Massingham.</w:t>
      </w:r>
      <w:r>
        <w:t xml:space="preserve"> </w:t>
      </w:r>
      <w:r>
        <w:t xml:space="preserve">Measuring the impact of knowledge loss: A longitudinal study</w:t>
      </w:r>
      <w:r>
        <w:t xml:space="preserve">.</w:t>
      </w:r>
      <w:r>
        <w:t xml:space="preserve"> </w:t>
      </w:r>
      <w:r>
        <w:rPr>
          <w:i/>
          <w:iCs/>
        </w:rPr>
        <w:t xml:space="preserve">Journal of Knowledge Management</w:t>
      </w:r>
      <w:r>
        <w:t xml:space="preserve">. 2018;22(4):721-758. doi:</w:t>
      </w:r>
      <w:hyperlink r:id="rId98">
        <w:r>
          <w:rPr>
            <w:rStyle w:val="Hyperlink"/>
          </w:rPr>
          <w:t xml:space="preserve">10.1108/JKM-08-2016-0338</w:t>
        </w:r>
      </w:hyperlink>
    </w:p>
    <w:bookmarkEnd w:id="99"/>
    <w:bookmarkStart w:id="101" w:name="ref-zhang2025"/>
    <w:p>
      <w:pPr>
        <w:pStyle w:val="Bibliography"/>
      </w:pPr>
      <w:r>
        <w:t xml:space="preserve">25.</w:t>
      </w:r>
      <w:r>
        <w:t xml:space="preserve"> </w:t>
      </w:r>
      <w:r>
        <w:t xml:space="preserve">	</w:t>
      </w:r>
      <w:r>
        <w:t xml:space="preserve">Wenyao Zhang, Wei Zhang, Tugrul Daim, Haydar Yalçın.</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2025;29(5):1618-1654. doi:</w:t>
      </w:r>
      <w:hyperlink r:id="rId100">
        <w:r>
          <w:rPr>
            <w:rStyle w:val="Hyperlink"/>
          </w:rPr>
          <w:t xml:space="preserve">10.1108/JKM-02-2024-0203</w:t>
        </w:r>
      </w:hyperlink>
    </w:p>
    <w:bookmarkEnd w:id="101"/>
    <w:bookmarkStart w:id="103" w:name="ref-goffin2011"/>
    <w:p>
      <w:pPr>
        <w:pStyle w:val="Bibliography"/>
      </w:pPr>
      <w:r>
        <w:t xml:space="preserve">26.</w:t>
      </w:r>
      <w:r>
        <w:t xml:space="preserve"> </w:t>
      </w:r>
      <w:r>
        <w:t xml:space="preserve">	</w:t>
      </w:r>
      <w:r>
        <w:t xml:space="preserve">Keith Goffin, Ursula Koners.</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2011;28(2):300-318. doi:</w:t>
      </w:r>
      <w:hyperlink r:id="rId102">
        <w:r>
          <w:rPr>
            <w:rStyle w:val="Hyperlink"/>
          </w:rPr>
          <w:t xml:space="preserve">10.1111/j.1540-5885.2010.00798.x</w:t>
        </w:r>
      </w:hyperlink>
    </w:p>
    <w:bookmarkEnd w:id="103"/>
    <w:bookmarkStart w:id="105" w:name="ref-himssworkforce2024"/>
    <w:p>
      <w:pPr>
        <w:pStyle w:val="Bibliography"/>
      </w:pPr>
      <w:r>
        <w:t xml:space="preserve">27.</w:t>
      </w:r>
      <w:r>
        <w:t xml:space="preserve"> </w:t>
      </w:r>
      <w:r>
        <w:t xml:space="preserve">	</w:t>
      </w:r>
      <w:r>
        <w:t xml:space="preserve">HIMSS.</w:t>
      </w:r>
      <w:r>
        <w:t xml:space="preserve"> </w:t>
      </w:r>
      <w:r>
        <w:rPr>
          <w:i/>
          <w:iCs/>
        </w:rPr>
        <w:t xml:space="preserve">The Future of Workforce: HIMSS25 Europe Outcomes Report</w:t>
      </w:r>
      <w:r>
        <w:t xml:space="preserve">. Healthcare Information; Management Systems Society; 2025.</w:t>
      </w:r>
      <w:r>
        <w:t xml:space="preserve"> </w:t>
      </w:r>
      <w:hyperlink r:id="rId104">
        <w:r>
          <w:rPr>
            <w:rStyle w:val="Hyperlink"/>
          </w:rPr>
          <w:t xml:space="preserve">https://www.himss.org/resources/the-future-of-workforce/</w:t>
        </w:r>
      </w:hyperlink>
    </w:p>
    <w:bookmarkEnd w:id="105"/>
    <w:bookmarkStart w:id="107" w:name="ref-moore2018"/>
    <w:p>
      <w:pPr>
        <w:pStyle w:val="Bibliography"/>
      </w:pPr>
      <w:r>
        <w:t xml:space="preserve">28.</w:t>
      </w:r>
      <w:r>
        <w:t xml:space="preserve"> </w:t>
      </w:r>
      <w:r>
        <w:t xml:space="preserve">	</w:t>
      </w:r>
      <w:r>
        <w:t xml:space="preserve">D. Moore, others.</w:t>
      </w:r>
      <w:r>
        <w:t xml:space="preserve"> </w:t>
      </w:r>
      <w:r>
        <w:t xml:space="preserve">ActiveNavigator: Toward real-time knowledge capture and feedback in active learning spaces</w:t>
      </w:r>
      <w:r>
        <w:t xml:space="preserve">.</w:t>
      </w:r>
      <w:r>
        <w:t xml:space="preserve"> </w:t>
      </w:r>
      <w:r>
        <w:rPr>
          <w:i/>
          <w:iCs/>
        </w:rPr>
        <w:t xml:space="preserve">International Journal of Engineering Education</w:t>
      </w:r>
      <w:r>
        <w:t xml:space="preserve">. 2018;34(2):1-12.</w:t>
      </w:r>
      <w:r>
        <w:t xml:space="preserve"> </w:t>
      </w:r>
      <w:hyperlink r:id="rId106">
        <w:r>
          <w:rPr>
            <w:rStyle w:val="Hyperlink"/>
          </w:rPr>
          <w:t xml:space="preserve">https://wendyju.com/publications/18_ijee3593.pdf</w:t>
        </w:r>
      </w:hyperlink>
    </w:p>
    <w:bookmarkEnd w:id="107"/>
    <w:bookmarkStart w:id="109" w:name="ref-foss2007"/>
    <w:p>
      <w:pPr>
        <w:pStyle w:val="Bibliography"/>
      </w:pPr>
      <w:r>
        <w:t xml:space="preserve">29.</w:t>
      </w:r>
      <w:r>
        <w:t xml:space="preserve"> </w:t>
      </w:r>
      <w:r>
        <w:t xml:space="preserve">	</w:t>
      </w:r>
      <w:r>
        <w:t xml:space="preserve">Nicolai J. Foss.</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108">
        <w:r>
          <w:rPr>
            <w:rStyle w:val="Hyperlink"/>
          </w:rPr>
          <w:t xml:space="preserve">10.1177/1350508407071859</w:t>
        </w:r>
      </w:hyperlink>
    </w:p>
    <w:bookmarkEnd w:id="109"/>
    <w:bookmarkStart w:id="111" w:name="ref-lee2023"/>
    <w:p>
      <w:pPr>
        <w:pStyle w:val="Bibliography"/>
      </w:pPr>
      <w:r>
        <w:t xml:space="preserve">30.</w:t>
      </w:r>
      <w:r>
        <w:t xml:space="preserve"> </w:t>
      </w:r>
      <w:r>
        <w:t xml:space="preserve">	</w:t>
      </w:r>
      <w:r>
        <w:t xml:space="preserve">et al Lee G.</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110">
        <w:r>
          <w:rPr>
            <w:rStyle w:val="Hyperlink"/>
          </w:rPr>
          <w:t xml:space="preserve">https://arxiv.org/abs/2301.07695</w:t>
        </w:r>
      </w:hyperlink>
    </w:p>
    <w:bookmarkEnd w:id="111"/>
    <w:bookmarkStart w:id="113" w:name="ref-bravorocca2023"/>
    <w:p>
      <w:pPr>
        <w:pStyle w:val="Bibliography"/>
      </w:pPr>
      <w:r>
        <w:t xml:space="preserve">31.</w:t>
      </w:r>
      <w:r>
        <w:t xml:space="preserve"> </w:t>
      </w:r>
      <w:r>
        <w:t xml:space="preserve">	</w:t>
      </w:r>
      <w:r>
        <w:t xml:space="preserve">Gusseppe Bravo Rocca.</w:t>
      </w:r>
      <w:r>
        <w:t xml:space="preserve"> </w:t>
      </w:r>
      <w:r>
        <w:rPr>
          <w:i/>
          <w:iCs/>
        </w:rPr>
        <w:t xml:space="preserve">Human-on-the-Loop Continual Learning: Data, Knowledge and Agents for Model Adaptation</w:t>
      </w:r>
      <w:r>
        <w:t xml:space="preserve">. PhD thesis. Universitat Polit</w:t>
      </w:r>
      <w:r>
        <w:t xml:space="preserve">è</w:t>
      </w:r>
      <w:r>
        <w:t xml:space="preserve">cnica de Catalunya; 2023.</w:t>
      </w:r>
      <w:r>
        <w:t xml:space="preserve"> </w:t>
      </w:r>
      <w:hyperlink r:id="rId112">
        <w:r>
          <w:rPr>
            <w:rStyle w:val="Hyperlink"/>
          </w:rPr>
          <w:t xml:space="preserve">https://hdl.handle.net/10803/695722</w:t>
        </w:r>
      </w:hyperlink>
    </w:p>
    <w:bookmarkEnd w:id="113"/>
    <w:bookmarkStart w:id="115" w:name="ref-mosqueirarey2023"/>
    <w:p>
      <w:pPr>
        <w:pStyle w:val="Bibliography"/>
      </w:pPr>
      <w:r>
        <w:t xml:space="preserve">32.</w:t>
      </w:r>
      <w:r>
        <w:t xml:space="preserve"> </w:t>
      </w:r>
      <w:r>
        <w:t xml:space="preserve">	</w:t>
      </w:r>
      <w:r>
        <w:t xml:space="preserve">Eduardo Mosqueira-Rey, Elena Hernández-Pereira, David Alonso-Ríos, José Bobes-Bascarán, Ángel Fernández-Leal. Human-in-the-loop machine learning: A state of the art.</w:t>
      </w:r>
      <w:r>
        <w:t xml:space="preserve"> </w:t>
      </w:r>
      <w:r>
        <w:rPr>
          <w:i/>
          <w:iCs/>
        </w:rPr>
        <w:t xml:space="preserve">Artificial Intelligence Review</w:t>
      </w:r>
      <w:r>
        <w:t xml:space="preserve">. 2023;56:3005-3054. doi:</w:t>
      </w:r>
      <w:hyperlink r:id="rId114">
        <w:r>
          <w:rPr>
            <w:rStyle w:val="Hyperlink"/>
          </w:rPr>
          <w:t xml:space="preserve">10.1007/s10462-022-10246-w</w:t>
        </w:r>
      </w:hyperlink>
    </w:p>
    <w:bookmarkEnd w:id="115"/>
    <w:bookmarkStart w:id="117" w:name="ref-benbya2004"/>
    <w:p>
      <w:pPr>
        <w:pStyle w:val="Bibliography"/>
      </w:pPr>
      <w:r>
        <w:t xml:space="preserve">33.</w:t>
      </w:r>
      <w:r>
        <w:t xml:space="preserve"> </w:t>
      </w:r>
      <w:r>
        <w:t xml:space="preserve">	</w:t>
      </w:r>
      <w:r>
        <w:t xml:space="preserve">Passiante Benbya H.</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2004;24(3):201-220. doi:</w:t>
      </w:r>
      <w:hyperlink r:id="rId116">
        <w:r>
          <w:rPr>
            <w:rStyle w:val="Hyperlink"/>
          </w:rPr>
          <w:t xml:space="preserve">10.1016/j.ijinfomgt.2003.12.012</w:t>
        </w:r>
      </w:hyperlink>
    </w:p>
    <w:bookmarkEnd w:id="117"/>
    <w:bookmarkStart w:id="119" w:name="ref-whittaker2008"/>
    <w:p>
      <w:pPr>
        <w:pStyle w:val="Bibliography"/>
      </w:pPr>
      <w:r>
        <w:t xml:space="preserve">34.</w:t>
      </w:r>
      <w:r>
        <w:t xml:space="preserve"> </w:t>
      </w:r>
      <w:r>
        <w:t xml:space="preserve">	</w:t>
      </w:r>
      <w:r>
        <w:t xml:space="preserve">Steve Whittaker, Simon Tucker, Kumutha Swampillai, Rachel Laban. Design and evaluation of systems to support interaction capture and retrieval.</w:t>
      </w:r>
      <w:r>
        <w:t xml:space="preserve"> </w:t>
      </w:r>
      <w:r>
        <w:rPr>
          <w:i/>
          <w:iCs/>
        </w:rPr>
        <w:t xml:space="preserve">Personal and Ubiquitous Computing</w:t>
      </w:r>
      <w:r>
        <w:t xml:space="preserve">. 2008;12(3):197-221. doi:</w:t>
      </w:r>
      <w:hyperlink r:id="rId118">
        <w:r>
          <w:rPr>
            <w:rStyle w:val="Hyperlink"/>
          </w:rPr>
          <w:t xml:space="preserve">10.1007/s00779-007-0146-3</w:t>
        </w:r>
      </w:hyperlink>
    </w:p>
    <w:bookmarkEnd w:id="119"/>
    <w:bookmarkStart w:id="121" w:name="ref-battula2025"/>
    <w:p>
      <w:pPr>
        <w:pStyle w:val="Bibliography"/>
      </w:pPr>
      <w:r>
        <w:t xml:space="preserve">35.</w:t>
      </w:r>
      <w:r>
        <w:t xml:space="preserve"> </w:t>
      </w:r>
      <w:r>
        <w:t xml:space="preserve">	</w:t>
      </w:r>
      <w:r>
        <w:t xml:space="preserve">Sai Kiran Yadav Battula.</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20">
        <w:r>
          <w:rPr>
            <w:rStyle w:val="Hyperlink"/>
          </w:rPr>
          <w:t xml:space="preserve">10.63282/3050-9262.IJAIDSML-V6I4P130</w:t>
        </w:r>
      </w:hyperlink>
    </w:p>
    <w:bookmarkEnd w:id="121"/>
    <w:bookmarkStart w:id="123" w:name="ref-jindal2019"/>
    <w:p>
      <w:pPr>
        <w:pStyle w:val="Bibliography"/>
      </w:pPr>
      <w:r>
        <w:t xml:space="preserve">36.</w:t>
      </w:r>
      <w:r>
        <w:t xml:space="preserve"> </w:t>
      </w:r>
      <w:r>
        <w:t xml:space="preserve">	</w:t>
      </w:r>
      <w:r>
        <w:t xml:space="preserve">A. Jindal, H. Patel, A. Roy, S. Qiao, Z. Yin, R. Sen, S. Krishnan.</w:t>
      </w:r>
      <w:r>
        <w:t xml:space="preserve"> </w:t>
      </w:r>
      <w:r>
        <w:t xml:space="preserve">Peregrine: Workload Optimization for Cloud Query Engines</w:t>
      </w:r>
      <w:r>
        <w:t xml:space="preserve">. In:</w:t>
      </w:r>
      <w:r>
        <w:t xml:space="preserve"> </w:t>
      </w:r>
      <w:r>
        <w:rPr>
          <w:i/>
          <w:iCs/>
        </w:rPr>
        <w:t xml:space="preserve">Proceedings of the ACM Symposium on Cloud Computing (SoCC)</w:t>
      </w:r>
      <w:r>
        <w:t xml:space="preserve">. 2019:416-427. doi:</w:t>
      </w:r>
      <w:hyperlink r:id="rId122">
        <w:r>
          <w:rPr>
            <w:rStyle w:val="Hyperlink"/>
          </w:rPr>
          <w:t xml:space="preserve">10.1145/3357223.3362726</w:t>
        </w:r>
      </w:hyperlink>
    </w:p>
    <w:bookmarkEnd w:id="123"/>
    <w:bookmarkStart w:id="125" w:name="ref-kul2018"/>
    <w:p>
      <w:pPr>
        <w:pStyle w:val="Bibliography"/>
      </w:pPr>
      <w:r>
        <w:t xml:space="preserve">37.</w:t>
      </w:r>
      <w:r>
        <w:t xml:space="preserve"> </w:t>
      </w:r>
      <w:r>
        <w:t xml:space="preserve">	</w:t>
      </w:r>
      <w:r>
        <w:t xml:space="preserve">G. Kul, D. T. A. Luong, T. Xie, V. Chandola, O. Kennedy, S. Upadhyaya.</w:t>
      </w:r>
      <w:r>
        <w:t xml:space="preserve"> </w:t>
      </w:r>
      <w:r>
        <w:t xml:space="preserve">Similarity Metrics for SQL Query Clustering</w:t>
      </w:r>
      <w:r>
        <w:t xml:space="preserve">.</w:t>
      </w:r>
      <w:r>
        <w:t xml:space="preserve"> </w:t>
      </w:r>
      <w:r>
        <w:rPr>
          <w:i/>
          <w:iCs/>
        </w:rPr>
        <w:t xml:space="preserve">IEEE Transactions on Knowledge and Data Engineering</w:t>
      </w:r>
      <w:r>
        <w:t xml:space="preserve">. 2018;30(12):2408-2420. doi:</w:t>
      </w:r>
      <w:hyperlink r:id="rId124">
        <w:r>
          <w:rPr>
            <w:rStyle w:val="Hyperlink"/>
          </w:rPr>
          <w:t xml:space="preserve">10.1109/TKDE.2018.2831214</w:t>
        </w:r>
      </w:hyperlink>
    </w:p>
    <w:bookmarkEnd w:id="125"/>
    <w:bookmarkStart w:id="127" w:name="ref-ziletti2024"/>
    <w:p>
      <w:pPr>
        <w:pStyle w:val="Bibliography"/>
      </w:pPr>
      <w:r>
        <w:t xml:space="preserve">38.</w:t>
      </w:r>
      <w:r>
        <w:t xml:space="preserve"> </w:t>
      </w:r>
      <w:r>
        <w:t xml:space="preserve">	</w:t>
      </w:r>
      <w:r>
        <w:t xml:space="preserve">&amp; D’Ambrosi Ziletti A.</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126">
        <w:r>
          <w:rPr>
            <w:rStyle w:val="Hyperlink"/>
          </w:rPr>
          <w:t xml:space="preserve">https://arxiv.org/abs/2403.09226</w:t>
        </w:r>
      </w:hyperlink>
    </w:p>
    <w:bookmarkEnd w:id="127"/>
    <w:bookmarkStart w:id="128" w:name="ref-davenport2007"/>
    <w:p>
      <w:pPr>
        <w:pStyle w:val="Bibliography"/>
      </w:pPr>
      <w:r>
        <w:t xml:space="preserve">39.</w:t>
      </w:r>
      <w:r>
        <w:t xml:space="preserve"> </w:t>
      </w:r>
      <w:r>
        <w:t xml:space="preserve">	</w:t>
      </w:r>
      <w:r>
        <w:t xml:space="preserve">T. H. Davenport, J. G. Harris.</w:t>
      </w:r>
      <w:r>
        <w:t xml:space="preserve"> </w:t>
      </w:r>
      <w:r>
        <w:rPr>
          <w:i/>
          <w:iCs/>
        </w:rPr>
        <w:t xml:space="preserve">Competing on Analytics: The New Science of Winning</w:t>
      </w:r>
      <w:r>
        <w:t xml:space="preserve">. Harvard Business School Press; 2007.</w:t>
      </w:r>
    </w:p>
    <w:bookmarkEnd w:id="128"/>
    <w:bookmarkStart w:id="130" w:name="ref-grossman2018"/>
    <w:p>
      <w:pPr>
        <w:pStyle w:val="Bibliography"/>
      </w:pPr>
      <w:r>
        <w:t xml:space="preserve">40.</w:t>
      </w:r>
      <w:r>
        <w:t xml:space="preserve"> </w:t>
      </w:r>
      <w:r>
        <w:t xml:space="preserve">	</w:t>
      </w:r>
      <w:r>
        <w:t xml:space="preserve">R. L. Grossman.</w:t>
      </w:r>
      <w:r>
        <w:t xml:space="preserve"> </w:t>
      </w:r>
      <w:r>
        <w:t xml:space="preserve">A framework for evaluating the analytic maturity of an organization</w:t>
      </w:r>
      <w:r>
        <w:t xml:space="preserve">.</w:t>
      </w:r>
      <w:r>
        <w:t xml:space="preserve"> </w:t>
      </w:r>
      <w:r>
        <w:rPr>
          <w:i/>
          <w:iCs/>
        </w:rPr>
        <w:t xml:space="preserve">International Journal of Information Management</w:t>
      </w:r>
      <w:r>
        <w:t xml:space="preserve">. 2018;38(1):45-51. doi:</w:t>
      </w:r>
      <w:hyperlink r:id="rId129">
        <w:r>
          <w:rPr>
            <w:rStyle w:val="Hyperlink"/>
          </w:rPr>
          <w:t xml:space="preserve">10.1016/j.ijinfomgt.2017.08.005</w:t>
        </w:r>
      </w:hyperlink>
    </w:p>
    <w:bookmarkEnd w:id="130"/>
    <w:bookmarkStart w:id="132" w:name="ref-langer2025"/>
    <w:p>
      <w:pPr>
        <w:pStyle w:val="Bibliography"/>
      </w:pPr>
      <w:r>
        <w:t xml:space="preserve">41.</w:t>
      </w:r>
      <w:r>
        <w:t xml:space="preserve"> </w:t>
      </w:r>
      <w:r>
        <w:t xml:space="preserve">	</w:t>
      </w:r>
      <w:r>
        <w:t xml:space="preserve">B. Langer.</w:t>
      </w:r>
      <w:r>
        <w:t xml:space="preserve"> </w:t>
      </w:r>
      <w:r>
        <w:t xml:space="preserve">Understanding Data &amp; Analytics Maturity: A Systematic Review of Maturity Model Composition</w:t>
      </w:r>
      <w:r>
        <w:t xml:space="preserve">.</w:t>
      </w:r>
      <w:r>
        <w:t xml:space="preserve"> </w:t>
      </w:r>
      <w:r>
        <w:rPr>
          <w:i/>
          <w:iCs/>
        </w:rPr>
        <w:t xml:space="preserve">Schmalenbach Journal of Business Research</w:t>
      </w:r>
      <w:r>
        <w:t xml:space="preserve">. 2025;77(2):205-227. doi:</w:t>
      </w:r>
      <w:hyperlink r:id="rId131">
        <w:r>
          <w:rPr>
            <w:rStyle w:val="Hyperlink"/>
          </w:rPr>
          <w:t xml:space="preserve">10.1007/s41471-024-00205-2</w:t>
        </w:r>
      </w:hyperlink>
    </w:p>
    <w:bookmarkEnd w:id="132"/>
    <w:bookmarkStart w:id="134" w:name="ref-halbesleben2013"/>
    <w:p>
      <w:pPr>
        <w:pStyle w:val="Bibliography"/>
      </w:pPr>
      <w:r>
        <w:t xml:space="preserve">42.</w:t>
      </w:r>
      <w:r>
        <w:t xml:space="preserve"> </w:t>
      </w:r>
      <w:r>
        <w:t xml:space="preserve">	</w:t>
      </w:r>
      <w:r>
        <w:t xml:space="preserve">J. R. B. Halbesleben, M. V. Whitman.</w:t>
      </w:r>
      <w:r>
        <w:t xml:space="preserve"> </w:t>
      </w:r>
      <w:r>
        <w:t xml:space="preserve">Evaluating Survey Quality in Health Services Research: A Decision Framework for Assessing Nonresponse Bias</w:t>
      </w:r>
      <w:r>
        <w:t xml:space="preserve">.</w:t>
      </w:r>
      <w:r>
        <w:t xml:space="preserve"> </w:t>
      </w:r>
      <w:r>
        <w:rPr>
          <w:i/>
          <w:iCs/>
        </w:rPr>
        <w:t xml:space="preserve">Health Services Research</w:t>
      </w:r>
      <w:r>
        <w:t xml:space="preserve">. 2013;48(3):913-930. doi:</w:t>
      </w:r>
      <w:hyperlink r:id="rId133">
        <w:r>
          <w:rPr>
            <w:rStyle w:val="Hyperlink"/>
          </w:rPr>
          <w:t xml:space="preserve">10.1111/1475-6773.12002</w:t>
        </w:r>
      </w:hyperlink>
    </w:p>
    <w:bookmarkEnd w:id="134"/>
    <w:bookmarkStart w:id="136" w:name="ref-tomaskovic1994"/>
    <w:p>
      <w:pPr>
        <w:pStyle w:val="Bibliography"/>
      </w:pPr>
      <w:r>
        <w:t xml:space="preserve">43.</w:t>
      </w:r>
      <w:r>
        <w:t xml:space="preserve"> </w:t>
      </w:r>
      <w:r>
        <w:t xml:space="preserve">	</w:t>
      </w:r>
      <w:r>
        <w:t xml:space="preserve">D. Tomaskovic-Devey, J. Leiter, S. Thompson.</w:t>
      </w:r>
      <w:r>
        <w:t xml:space="preserve"> </w:t>
      </w:r>
      <w:r>
        <w:t xml:space="preserve">Organizational Survey Nonresponse</w:t>
      </w:r>
      <w:r>
        <w:t xml:space="preserve">.</w:t>
      </w:r>
      <w:r>
        <w:t xml:space="preserve"> </w:t>
      </w:r>
      <w:r>
        <w:rPr>
          <w:i/>
          <w:iCs/>
        </w:rPr>
        <w:t xml:space="preserve">Administrative Science Quarterly</w:t>
      </w:r>
      <w:r>
        <w:t xml:space="preserve">. 1994;39(3):439-457. doi:</w:t>
      </w:r>
      <w:hyperlink r:id="rId135">
        <w:r>
          <w:rPr>
            <w:rStyle w:val="Hyperlink"/>
          </w:rPr>
          <w:t xml:space="preserve">10.2307/2393298</w:t>
        </w:r>
      </w:hyperlink>
    </w:p>
    <w:bookmarkEnd w:id="136"/>
    <w:bookmarkStart w:id="138" w:name="ref-health2020"/>
    <w:p>
      <w:pPr>
        <w:pStyle w:val="Bibliography"/>
      </w:pPr>
      <w:r>
        <w:t xml:space="preserve">44.</w:t>
      </w:r>
      <w:r>
        <w:t xml:space="preserve"> </w:t>
      </w:r>
      <w:r>
        <w:t xml:space="preserve">	</w:t>
      </w:r>
      <w:r>
        <w:t xml:space="preserve">Health Catalyst.</w:t>
      </w:r>
      <w:r>
        <w:t xml:space="preserve"> </w:t>
      </w:r>
      <w:r>
        <w:t xml:space="preserve">The healthcare analytics adoption model: A roadmap to analytic maturity</w:t>
      </w:r>
      <w:r>
        <w:t xml:space="preserve">. Published online 2020.</w:t>
      </w:r>
      <w:r>
        <w:t xml:space="preserve"> </w:t>
      </w:r>
      <w:hyperlink r:id="rId137">
        <w:r>
          <w:rPr>
            <w:rStyle w:val="Hyperlink"/>
          </w:rPr>
          <w:t xml:space="preserve">https://www.healthcatalyst.com/learn/insights/healthcare-analytics-adoption-model-roadmap-analytic-maturity</w:t>
        </w:r>
      </w:hyperlink>
    </w:p>
    <w:bookmarkEnd w:id="138"/>
    <w:bookmarkStart w:id="140" w:name="ref-snowdon2024"/>
    <w:p>
      <w:pPr>
        <w:pStyle w:val="Bibliography"/>
      </w:pPr>
      <w:r>
        <w:t xml:space="preserve">45.</w:t>
      </w:r>
      <w:r>
        <w:t xml:space="preserve"> </w:t>
      </w:r>
      <w:r>
        <w:t xml:space="preserve">	</w:t>
      </w:r>
      <w:r>
        <w:t xml:space="preserve">Hussein Snowdon A., A. Wright.</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39">
        <w:r>
          <w:rPr>
            <w:rStyle w:val="Hyperlink"/>
          </w:rPr>
          <w:t xml:space="preserve">10.2196/56316</w:t>
        </w:r>
      </w:hyperlink>
    </w:p>
    <w:bookmarkEnd w:id="140"/>
    <w:bookmarkStart w:id="142" w:name="ref-yang2021"/>
    <w:p>
      <w:pPr>
        <w:pStyle w:val="Bibliography"/>
      </w:pPr>
      <w:r>
        <w:t xml:space="preserve">46.</w:t>
      </w:r>
      <w:r>
        <w:t xml:space="preserve"> </w:t>
      </w:r>
      <w:r>
        <w:t xml:space="preserve">	</w:t>
      </w:r>
      <w:r>
        <w:t xml:space="preserve">David X Yang, Rohan Khera, Joseph A Miccio, Vikram Jairam, others.</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 doi:</w:t>
      </w:r>
      <w:hyperlink r:id="rId141">
        <w:r>
          <w:rPr>
            <w:rStyle w:val="Hyperlink"/>
          </w:rPr>
          <w:t xml:space="preserve">10.1001/jamanetworkopen.2021.1793</w:t>
        </w:r>
      </w:hyperlink>
    </w:p>
    <w:bookmarkEnd w:id="142"/>
    <w:bookmarkStart w:id="144" w:name="ref-latrella2024"/>
    <w:p>
      <w:pPr>
        <w:pStyle w:val="Bibliography"/>
      </w:pPr>
      <w:r>
        <w:t xml:space="preserve">47.</w:t>
      </w:r>
      <w:r>
        <w:t xml:space="preserve"> </w:t>
      </w:r>
      <w:r>
        <w:t xml:space="preserve">	</w:t>
      </w:r>
      <w:r>
        <w:t xml:space="preserve">&amp; Baldasare Latrella M.</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2024;8(3):212. doi:</w:t>
      </w:r>
      <w:hyperlink r:id="rId143">
        <w:r>
          <w:rPr>
            <w:rStyle w:val="Hyperlink"/>
          </w:rPr>
          <w:t xml:space="preserve">10.69554/RITW9729</w:t>
        </w:r>
      </w:hyperlink>
    </w:p>
    <w:bookmarkEnd w:id="144"/>
    <w:bookmarkStart w:id="146" w:name="ref-shahbaz2019"/>
    <w:p>
      <w:pPr>
        <w:pStyle w:val="Bibliography"/>
      </w:pPr>
      <w:r>
        <w:t xml:space="preserve">48.</w:t>
      </w:r>
      <w:r>
        <w:t xml:space="preserve"> </w:t>
      </w:r>
      <w:r>
        <w:t xml:space="preserve">	</w:t>
      </w:r>
      <w:r>
        <w:t xml:space="preserve">Gao Shahbaz M.</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2019;6(1). doi:</w:t>
      </w:r>
      <w:hyperlink r:id="rId145">
        <w:r>
          <w:rPr>
            <w:rStyle w:val="Hyperlink"/>
          </w:rPr>
          <w:t xml:space="preserve">10.1186/s40537-019-0170-y</w:t>
        </w:r>
      </w:hyperlink>
    </w:p>
    <w:bookmarkEnd w:id="146"/>
    <w:bookmarkStart w:id="148" w:name="ref-kamble2019"/>
    <w:p>
      <w:pPr>
        <w:pStyle w:val="Bibliography"/>
      </w:pPr>
      <w:r>
        <w:t xml:space="preserve">49.</w:t>
      </w:r>
      <w:r>
        <w:t xml:space="preserve"> </w:t>
      </w:r>
      <w:r>
        <w:t xml:space="preserve">	</w:t>
      </w:r>
      <w:r>
        <w:t xml:space="preserve">Sachin S. Kamble, Angappa Gunasekaran, Milind Goswami, Jaswant Manda.</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2019;12(3):226-240. doi:</w:t>
      </w:r>
      <w:hyperlink r:id="rId147">
        <w:r>
          <w:rPr>
            <w:rStyle w:val="Hyperlink"/>
          </w:rPr>
          <w:t xml:space="preserve">10.1080/20479700.2018.1531606</w:t>
        </w:r>
      </w:hyperlink>
    </w:p>
    <w:bookmarkEnd w:id="148"/>
    <w:bookmarkStart w:id="150" w:name="ref-breu2002"/>
    <w:p>
      <w:pPr>
        <w:pStyle w:val="Bibliography"/>
      </w:pPr>
      <w:r>
        <w:t xml:space="preserve">50.</w:t>
      </w:r>
      <w:r>
        <w:t xml:space="preserve"> </w:t>
      </w:r>
      <w:r>
        <w:t xml:space="preserve">	</w:t>
      </w:r>
      <w:r>
        <w:t xml:space="preserve">K. Breu, C. J. Hemingway, M. Strathern, D. Bridger.</w:t>
      </w:r>
      <w:r>
        <w:t xml:space="preserve"> </w:t>
      </w:r>
      <w:r>
        <w:t xml:space="preserve">Workforce Agility: The New Employee Strategy for the Knowledge Economy</w:t>
      </w:r>
      <w:r>
        <w:t xml:space="preserve">.</w:t>
      </w:r>
      <w:r>
        <w:t xml:space="preserve"> </w:t>
      </w:r>
      <w:r>
        <w:rPr>
          <w:i/>
          <w:iCs/>
        </w:rPr>
        <w:t xml:space="preserve">Journal of Information Technology</w:t>
      </w:r>
      <w:r>
        <w:t xml:space="preserve">. 2002;17(1):21-31. doi:</w:t>
      </w:r>
      <w:hyperlink r:id="rId149">
        <w:r>
          <w:rPr>
            <w:rStyle w:val="Hyperlink"/>
          </w:rPr>
          <w:t xml:space="preserve">10.1080/02683960110132070</w:t>
        </w:r>
      </w:hyperlink>
    </w:p>
    <w:bookmarkEnd w:id="150"/>
    <w:bookmarkStart w:id="152" w:name="ref-tessarini2021"/>
    <w:p>
      <w:pPr>
        <w:pStyle w:val="Bibliography"/>
      </w:pPr>
      <w:r>
        <w:t xml:space="preserve">51.</w:t>
      </w:r>
      <w:r>
        <w:t xml:space="preserve"> </w:t>
      </w:r>
      <w:r>
        <w:t xml:space="preserve">	</w:t>
      </w:r>
      <w:r>
        <w:t xml:space="preserve">G. Tessarini Junior, P. Saltorato.</w:t>
      </w:r>
      <w:r>
        <w:t xml:space="preserve"> </w:t>
      </w:r>
      <w:r>
        <w:t xml:space="preserve">Workforce agility: a systematic literature review and a research agenda proposal</w:t>
      </w:r>
      <w:r>
        <w:t xml:space="preserve">.</w:t>
      </w:r>
      <w:r>
        <w:t xml:space="preserve"> </w:t>
      </w:r>
      <w:r>
        <w:rPr>
          <w:i/>
          <w:iCs/>
        </w:rPr>
        <w:t xml:space="preserve">Innovar</w:t>
      </w:r>
      <w:r>
        <w:t xml:space="preserve">. 2021;31(81):155-167. doi:</w:t>
      </w:r>
      <w:hyperlink r:id="rId151">
        <w:r>
          <w:rPr>
            <w:rStyle w:val="Hyperlink"/>
          </w:rPr>
          <w:t xml:space="preserve">10.15446/innovar.v31n81.95582</w:t>
        </w:r>
      </w:hyperlink>
    </w:p>
    <w:bookmarkEnd w:id="152"/>
    <w:bookmarkStart w:id="154" w:name="ref-wynendaele2025"/>
    <w:p>
      <w:pPr>
        <w:pStyle w:val="Bibliography"/>
      </w:pPr>
      <w:r>
        <w:t xml:space="preserve">52.</w:t>
      </w:r>
      <w:r>
        <w:t xml:space="preserve"> </w:t>
      </w:r>
      <w:r>
        <w:t xml:space="preserve">	</w:t>
      </w:r>
      <w:r>
        <w:t xml:space="preserve">Herlinde Wynendaele, Els Clays, Ellen Peeters, Yannai DeJonghe, Ann Van Hecke, Jeroen Trybou.</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2025;25(1). doi:</w:t>
      </w:r>
      <w:hyperlink r:id="rId153">
        <w:r>
          <w:rPr>
            <w:rStyle w:val="Hyperlink"/>
          </w:rPr>
          <w:t xml:space="preserve">10.1186/s12913-025-12966-5</w:t>
        </w:r>
      </w:hyperlink>
    </w:p>
    <w:bookmarkEnd w:id="154"/>
    <w:bookmarkStart w:id="156" w:name="ref-hackney2024"/>
    <w:p>
      <w:pPr>
        <w:pStyle w:val="Bibliography"/>
      </w:pPr>
      <w:r>
        <w:t xml:space="preserve">53.</w:t>
      </w:r>
      <w:r>
        <w:t xml:space="preserve"> </w:t>
      </w:r>
      <w:r>
        <w:t xml:space="preserve">	</w:t>
      </w:r>
      <w:r>
        <w:t xml:space="preserve">A. Hackney.</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55">
        <w:r>
          <w:rPr>
            <w:rStyle w:val="Hyperlink"/>
          </w:rPr>
          <w:t xml:space="preserve">https://search.proquest.com/openview/9a3a9ef301c01ff0129d07f685b8643f/1</w:t>
        </w:r>
      </w:hyperlink>
    </w:p>
    <w:bookmarkEnd w:id="156"/>
    <w:bookmarkStart w:id="158" w:name="ref-alpar2016"/>
    <w:p>
      <w:pPr>
        <w:pStyle w:val="Bibliography"/>
      </w:pPr>
      <w:r>
        <w:t xml:space="preserve">54.</w:t>
      </w:r>
      <w:r>
        <w:t xml:space="preserve"> </w:t>
      </w:r>
      <w:r>
        <w:t xml:space="preserve">	</w:t>
      </w:r>
      <w:r>
        <w:t xml:space="preserve">P. Alpar, M. Schulz.</w:t>
      </w:r>
      <w:r>
        <w:t xml:space="preserve"> </w:t>
      </w:r>
      <w:r>
        <w:t xml:space="preserve">Self-Service Business Intelligence</w:t>
      </w:r>
      <w:r>
        <w:t xml:space="preserve">.</w:t>
      </w:r>
      <w:r>
        <w:t xml:space="preserve"> </w:t>
      </w:r>
      <w:r>
        <w:rPr>
          <w:i/>
          <w:iCs/>
        </w:rPr>
        <w:t xml:space="preserve">Business and Information Systems Engineering</w:t>
      </w:r>
      <w:r>
        <w:t xml:space="preserve">. 2016;58(2):151-155. doi:</w:t>
      </w:r>
      <w:hyperlink r:id="rId157">
        <w:r>
          <w:rPr>
            <w:rStyle w:val="Hyperlink"/>
          </w:rPr>
          <w:t xml:space="preserve">10.1007/s12599-016-0424-6</w:t>
        </w:r>
      </w:hyperlink>
    </w:p>
    <w:bookmarkEnd w:id="158"/>
    <w:bookmarkStart w:id="160" w:name="ref-banihani2020"/>
    <w:p>
      <w:pPr>
        <w:pStyle w:val="Bibliography"/>
      </w:pPr>
      <w:r>
        <w:t xml:space="preserve">55.</w:t>
      </w:r>
      <w:r>
        <w:t xml:space="preserve"> </w:t>
      </w:r>
      <w:r>
        <w:t xml:space="preserve">	</w:t>
      </w:r>
      <w:r>
        <w:t xml:space="preserve">I. Bani-Hani, O. Tona, S. Carlsson.</w:t>
      </w:r>
      <w:r>
        <w:t xml:space="preserve"> </w:t>
      </w:r>
      <w:r>
        <w:t xml:space="preserve">Patterns of Resource Integration in the Self-service Approach to Business Analytics</w:t>
      </w:r>
      <w:r>
        <w:t xml:space="preserve">. In:</w:t>
      </w:r>
      <w:r>
        <w:t xml:space="preserve"> </w:t>
      </w:r>
      <w:r>
        <w:rPr>
          <w:i/>
          <w:iCs/>
        </w:rPr>
        <w:t xml:space="preserve">Proceedings of the 53rd Hawaii International Conference on System Sciences (HICSS)</w:t>
      </w:r>
      <w:r>
        <w:t xml:space="preserve">. 2020. doi:</w:t>
      </w:r>
      <w:hyperlink r:id="rId159">
        <w:r>
          <w:rPr>
            <w:rStyle w:val="Hyperlink"/>
          </w:rPr>
          <w:t xml:space="preserve">10.24251/HICSS.2020.659</w:t>
        </w:r>
      </w:hyperlink>
    </w:p>
    <w:bookmarkEnd w:id="160"/>
    <w:bookmarkStart w:id="162" w:name="ref-blaskovic2025"/>
    <w:p>
      <w:pPr>
        <w:pStyle w:val="Bibliography"/>
      </w:pPr>
      <w:r>
        <w:t xml:space="preserve">56.</w:t>
      </w:r>
      <w:r>
        <w:t xml:space="preserve"> </w:t>
      </w:r>
      <w:r>
        <w:t xml:space="preserve">	</w:t>
      </w:r>
      <w:r>
        <w:t xml:space="preserve">Luka Blašković, Nikola Tanković, Ivan Lorencin, Sandi Baressi Šegota.</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61">
        <w:r>
          <w:rPr>
            <w:rStyle w:val="Hyperlink"/>
          </w:rPr>
          <w:t xml:space="preserve">10.3390/bdcc9100256</w:t>
        </w:r>
      </w:hyperlink>
    </w:p>
    <w:bookmarkEnd w:id="162"/>
    <w:bookmarkStart w:id="164" w:name="ref-marshan2024"/>
    <w:p>
      <w:pPr>
        <w:pStyle w:val="Bibliography"/>
      </w:pPr>
      <w:r>
        <w:t xml:space="preserve">57.</w:t>
      </w:r>
      <w:r>
        <w:t xml:space="preserve"> </w:t>
      </w:r>
      <w:r>
        <w:t xml:space="preserve">	</w:t>
      </w:r>
      <w:r>
        <w:t xml:space="preserve">Almutairi Marshan A.</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2024;7. doi:</w:t>
      </w:r>
      <w:hyperlink r:id="rId163">
        <w:r>
          <w:rPr>
            <w:rStyle w:val="Hyperlink"/>
          </w:rPr>
          <w:t xml:space="preserve">10.3389/fdata.2024.1371680</w:t>
        </w:r>
      </w:hyperlink>
    </w:p>
    <w:bookmarkEnd w:id="164"/>
    <w:bookmarkStart w:id="166" w:name="ref-chen2026graph"/>
    <w:p>
      <w:pPr>
        <w:pStyle w:val="Bibliography"/>
      </w:pPr>
      <w:r>
        <w:t xml:space="preserve">58.</w:t>
      </w:r>
      <w:r>
        <w:t xml:space="preserve"> </w:t>
      </w:r>
      <w:r>
        <w:t xml:space="preserve">	</w:t>
      </w:r>
      <w:r>
        <w:t xml:space="preserve">Qian Chen, Jun Peng, Baiyang Song, Yiyi Zhou, Rongrong Ji.</w:t>
      </w:r>
      <w:r>
        <w:t xml:space="preserve"> </w:t>
      </w:r>
      <w:r>
        <w:t xml:space="preserve">Graph-empowered Text-to-SQL generation on Electronic Medical Records</w:t>
      </w:r>
      <w:r>
        <w:t xml:space="preserve">.</w:t>
      </w:r>
      <w:r>
        <w:t xml:space="preserve"> </w:t>
      </w:r>
      <w:r>
        <w:rPr>
          <w:i/>
          <w:iCs/>
        </w:rPr>
        <w:t xml:space="preserve">Pattern Recognition</w:t>
      </w:r>
      <w:r>
        <w:t xml:space="preserve">. 2026;169:111800. doi:</w:t>
      </w:r>
      <w:hyperlink r:id="rId165">
        <w:r>
          <w:rPr>
            <w:rStyle w:val="Hyperlink"/>
          </w:rPr>
          <w:t xml:space="preserve">10.1016/j.patcog.2025.111800</w:t>
        </w:r>
      </w:hyperlink>
    </w:p>
    <w:bookmarkEnd w:id="166"/>
    <w:bookmarkStart w:id="168" w:name="ref-tarbell2024"/>
    <w:p>
      <w:pPr>
        <w:pStyle w:val="Bibliography"/>
      </w:pPr>
      <w:r>
        <w:t xml:space="preserve">59.</w:t>
      </w:r>
      <w:r>
        <w:t xml:space="preserve"> </w:t>
      </w:r>
      <w:r>
        <w:t xml:space="preserve">	</w:t>
      </w:r>
      <w:r>
        <w:t xml:space="preserve">R. Tarbell, K. K. R. Choo, G. Dietrich, others.</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67">
        <w:r>
          <w:rPr>
            <w:rStyle w:val="Hyperlink"/>
          </w:rPr>
          <w:t xml:space="preserve">https://pmc.ncbi.nlm.nih.gov/articles/PMC10785918/</w:t>
        </w:r>
      </w:hyperlink>
    </w:p>
    <w:bookmarkEnd w:id="168"/>
    <w:bookmarkStart w:id="170" w:name="ref-yuan2019"/>
    <w:p>
      <w:pPr>
        <w:pStyle w:val="Bibliography"/>
      </w:pPr>
      <w:r>
        <w:t xml:space="preserve">60.</w:t>
      </w:r>
      <w:r>
        <w:t xml:space="preserve"> </w:t>
      </w:r>
      <w:r>
        <w:t xml:space="preserve">	</w:t>
      </w:r>
      <w:r>
        <w:t xml:space="preserve">Chi Yuan, Patrick B. Ryan, Casey Ta, Yixuan Guo, Ziran Li, Jill Hardin, Rupa Makadia, Peng Jin, Ning Shang, Tian Kang, Chunhua Weng.</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69">
        <w:r>
          <w:rPr>
            <w:rStyle w:val="Hyperlink"/>
          </w:rPr>
          <w:t xml:space="preserve">10.1093/jamia/ocy178</w:t>
        </w:r>
      </w:hyperlink>
    </w:p>
    <w:bookmarkEnd w:id="170"/>
    <w:bookmarkStart w:id="172" w:name="ref-anthropic2025"/>
    <w:p>
      <w:pPr>
        <w:pStyle w:val="Bibliography"/>
      </w:pPr>
      <w:r>
        <w:t xml:space="preserve">61.</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Published online 2025.</w:t>
      </w:r>
      <w:r>
        <w:t xml:space="preserve"> </w:t>
      </w:r>
      <w:hyperlink r:id="rId171">
        <w:r>
          <w:rPr>
            <w:rStyle w:val="Hyperlink"/>
          </w:rPr>
          <w:t xml:space="preserve">https://resources.anthropic.com/code-modernization-playbook</w:t>
        </w:r>
      </w:hyperlink>
    </w:p>
    <w:bookmarkEnd w:id="172"/>
    <w:bookmarkStart w:id="174" w:name="ref-hendrix1978"/>
    <w:p>
      <w:pPr>
        <w:pStyle w:val="Bibliography"/>
      </w:pPr>
      <w:r>
        <w:t xml:space="preserve">62.</w:t>
      </w:r>
      <w:r>
        <w:t xml:space="preserve"> </w:t>
      </w:r>
      <w:r>
        <w:t xml:space="preserve">	</w:t>
      </w:r>
      <w:r>
        <w:t xml:space="preserve">Gary G. Hendrix, Earl D. Sacerdoti, Daniel Sagalowicz, Jonathan Slocum.</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1978;3(2):105-147. doi:</w:t>
      </w:r>
      <w:hyperlink r:id="rId173">
        <w:r>
          <w:rPr>
            <w:rStyle w:val="Hyperlink"/>
          </w:rPr>
          <w:t xml:space="preserve">10.1145/320251.320253</w:t>
        </w:r>
      </w:hyperlink>
    </w:p>
    <w:bookmarkEnd w:id="174"/>
    <w:bookmarkStart w:id="176" w:name="ref-ogunwole2023"/>
    <w:p>
      <w:pPr>
        <w:pStyle w:val="Bibliography"/>
      </w:pPr>
      <w:r>
        <w:t xml:space="preserve">63.</w:t>
      </w:r>
      <w:r>
        <w:t xml:space="preserve"> </w:t>
      </w:r>
      <w:r>
        <w:t xml:space="preserve">	</w:t>
      </w:r>
      <w:r>
        <w:t xml:space="preserve">&amp; Onukwulu Ogunwole O.</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75">
        <w:r>
          <w:rPr>
            <w:rStyle w:val="Hyperlink"/>
          </w:rPr>
          <w:t xml:space="preserve">https://www.allmultidisciplinaryjournal.com/uploads/archives/20250306182550_MGE-2025-2-018.1.pdf</w:t>
        </w:r>
      </w:hyperlink>
    </w:p>
    <w:bookmarkEnd w:id="176"/>
    <w:bookmarkStart w:id="178" w:name="ref-arora2025"/>
    <w:p>
      <w:pPr>
        <w:pStyle w:val="Bibliography"/>
      </w:pPr>
      <w:r>
        <w:t xml:space="preserve">64.</w:t>
      </w:r>
      <w:r>
        <w:t xml:space="preserve"> </w:t>
      </w:r>
      <w:r>
        <w:t xml:space="preserve">	</w:t>
      </w:r>
      <w:r>
        <w:t xml:space="preserve">A Arora.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 doi:</w:t>
      </w:r>
      <w:hyperlink r:id="rId177">
        <w:r>
          <w:rPr>
            <w:rStyle w:val="Hyperlink"/>
          </w:rPr>
          <w:t xml:space="preserve">10.2139/ssrn.5268176</w:t>
        </w:r>
      </w:hyperlink>
    </w:p>
    <w:bookmarkEnd w:id="178"/>
    <w:bookmarkStart w:id="180" w:name="ref-ignatowicz2023"/>
    <w:p>
      <w:pPr>
        <w:pStyle w:val="Bibliography"/>
      </w:pPr>
      <w:r>
        <w:t xml:space="preserve">65.</w:t>
      </w:r>
      <w:r>
        <w:t xml:space="preserve"> </w:t>
      </w:r>
      <w:r>
        <w:t xml:space="preserve">	</w:t>
      </w:r>
      <w:r>
        <w:t xml:space="preserve">Agnieszka Ignatowicz, Carolyn Tarrant, Russell Mannion, Dalia El-Sawy, others.</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2023;23:376. doi:</w:t>
      </w:r>
      <w:hyperlink r:id="rId179">
        <w:r>
          <w:rPr>
            <w:rStyle w:val="Hyperlink"/>
          </w:rPr>
          <w:t xml:space="preserve">10.1186/s12913-023-09242-9</w:t>
        </w:r>
      </w:hyperlink>
    </w:p>
    <w:bookmarkEnd w:id="180"/>
    <w:bookmarkStart w:id="182" w:name="ref-ratliff2025"/>
    <w:p>
      <w:pPr>
        <w:pStyle w:val="Bibliography"/>
      </w:pPr>
      <w:r>
        <w:t xml:space="preserve">66.</w:t>
      </w:r>
      <w:r>
        <w:t xml:space="preserve"> </w:t>
      </w:r>
      <w:r>
        <w:t xml:space="preserve">	</w:t>
      </w:r>
      <w:r>
        <w:t xml:space="preserve">Hannah C. Ratliff, Kathryn A. Lee, Mara Buchbinder, Lesly A. Kelly, Olga Yakusheva, Deena Kelly Costa.</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2025;70(3):165-188. doi:</w:t>
      </w:r>
      <w:hyperlink r:id="rId181">
        <w:r>
          <w:rPr>
            <w:rStyle w:val="Hyperlink"/>
          </w:rPr>
          <w:t xml:space="preserve">10.1097/JHM-D-24-00084</w:t>
        </w:r>
      </w:hyperlink>
    </w:p>
    <w:bookmarkEnd w:id="182"/>
    <w:bookmarkStart w:id="184" w:name="ref-valiaiev2025"/>
    <w:p>
      <w:pPr>
        <w:pStyle w:val="Bibliography"/>
      </w:pPr>
      <w:r>
        <w:t xml:space="preserve">67.</w:t>
      </w:r>
      <w:r>
        <w:t xml:space="preserve"> </w:t>
      </w:r>
      <w:r>
        <w:t xml:space="preserve">	</w:t>
      </w:r>
      <w:r>
        <w:t xml:space="preserve">D. Valiaiev.</w:t>
      </w:r>
      <w:r>
        <w:t xml:space="preserve"> </w:t>
      </w:r>
      <w:r>
        <w:rPr>
          <w:i/>
          <w:iCs/>
        </w:rPr>
        <w:t xml:space="preserve">Implementing DataOps: A Scalable Framework for Modern Data Warehousing</w:t>
      </w:r>
      <w:r>
        <w:t xml:space="preserve">. PhD thesis. ProQuest Dissertations; 2025.</w:t>
      </w:r>
      <w:r>
        <w:t xml:space="preserve"> </w:t>
      </w:r>
      <w:hyperlink r:id="rId183">
        <w:r>
          <w:rPr>
            <w:rStyle w:val="Hyperlink"/>
          </w:rPr>
          <w:t xml:space="preserve">https://search.proquest.com/openview/aa9acce88c488cbb8c6b3c8339062319/1</w:t>
        </w:r>
      </w:hyperlink>
    </w:p>
    <w:bookmarkEnd w:id="184"/>
    <w:bookmarkStart w:id="186" w:name="ref-mannapur2025"/>
    <w:p>
      <w:pPr>
        <w:pStyle w:val="Bibliography"/>
      </w:pPr>
      <w:r>
        <w:t xml:space="preserve">68.</w:t>
      </w:r>
      <w:r>
        <w:t xml:space="preserve"> </w:t>
      </w:r>
      <w:r>
        <w:t xml:space="preserve">	</w:t>
      </w:r>
      <w:r>
        <w:t xml:space="preserve">Sandeep Bharadwaj Mannapur. Understanding data drift and concept drift in machine learning systems.</w:t>
      </w:r>
      <w:r>
        <w:t xml:space="preserve"> </w:t>
      </w:r>
      <w:r>
        <w:rPr>
          <w:i/>
          <w:iCs/>
        </w:rPr>
        <w:t xml:space="preserve">International Journal of Scientific Research in Computer Science, Engineering and Information Technology</w:t>
      </w:r>
      <w:r>
        <w:t xml:space="preserve">. 2025;11(1):318-330. doi:</w:t>
      </w:r>
      <w:hyperlink r:id="rId185">
        <w:r>
          <w:rPr>
            <w:rStyle w:val="Hyperlink"/>
          </w:rPr>
          <w:t xml:space="preserve">10.32628/CSEIT25111239</w:t>
        </w:r>
      </w:hyperlink>
    </w:p>
    <w:bookmarkEnd w:id="186"/>
    <w:bookmarkStart w:id="188" w:name="ref-betha2023"/>
    <w:p>
      <w:pPr>
        <w:pStyle w:val="Bibliography"/>
      </w:pPr>
      <w:r>
        <w:t xml:space="preserve">69.</w:t>
      </w:r>
      <w:r>
        <w:t xml:space="preserve"> </w:t>
      </w:r>
      <w:r>
        <w:t xml:space="preserve">	</w:t>
      </w:r>
      <w:r>
        <w:t xml:space="preserve">R. Betha.</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87">
        <w:r>
          <w:rPr>
            <w:rStyle w:val="Hyperlink"/>
          </w:rPr>
          <w:t xml:space="preserve">https://www.ijaidr.com/papers/2023/1/1299.pdf</w:t>
        </w:r>
      </w:hyperlink>
    </w:p>
    <w:bookmarkEnd w:id="188"/>
    <w:bookmarkStart w:id="190" w:name="ref-kottam2025"/>
    <w:p>
      <w:pPr>
        <w:pStyle w:val="Bibliography"/>
      </w:pPr>
      <w:r>
        <w:t xml:space="preserve">70.</w:t>
      </w:r>
      <w:r>
        <w:t xml:space="preserve"> </w:t>
      </w:r>
      <w:r>
        <w:t xml:space="preserve">	</w:t>
      </w:r>
      <w:r>
        <w:t xml:space="preserve">Supriya Kottam, Sony Annem, Yingcheng Sun.</w:t>
      </w:r>
      <w:r>
        <w:t xml:space="preserve"> </w:t>
      </w:r>
      <w:r>
        <w:t xml:space="preserve">Error-Aware Text-to-SQL Generation for Clinical Trial Eligibility Criteria Querying in EHR Databases</w:t>
      </w:r>
      <w:r>
        <w:t xml:space="preserve">. In:</w:t>
      </w:r>
      <w:r>
        <w:t xml:space="preserve"> </w:t>
      </w:r>
      <w:r>
        <w:rPr>
          <w:i/>
          <w:iCs/>
        </w:rPr>
        <w:t xml:space="preserve">2025 IEEE International Conference on Big Data (BigData)</w:t>
      </w:r>
      <w:r>
        <w:t xml:space="preserve">. 2025:3265-3274. doi:</w:t>
      </w:r>
      <w:hyperlink r:id="rId189">
        <w:r>
          <w:rPr>
            <w:rStyle w:val="Hyperlink"/>
          </w:rPr>
          <w:t xml:space="preserve">10.1109/BigData66926.2025.11402102</w:t>
        </w:r>
      </w:hyperlink>
    </w:p>
    <w:bookmarkEnd w:id="190"/>
    <w:bookmarkStart w:id="192" w:name="ref-alukal2006"/>
    <w:p>
      <w:pPr>
        <w:pStyle w:val="Bibliography"/>
      </w:pPr>
      <w:r>
        <w:t xml:space="preserve">71.</w:t>
      </w:r>
      <w:r>
        <w:t xml:space="preserve"> </w:t>
      </w:r>
      <w:r>
        <w:t xml:space="preserve">	</w:t>
      </w:r>
      <w:r>
        <w:t xml:space="preserve">V. G. Alukal, A. Manos.</w:t>
      </w:r>
      <w:r>
        <w:t xml:space="preserve"> </w:t>
      </w:r>
      <w:r>
        <w:rPr>
          <w:i/>
          <w:iCs/>
        </w:rPr>
        <w:t xml:space="preserve">Lean Kaizen: A Simplified Approach to Process Improvements</w:t>
      </w:r>
      <w:r>
        <w:t xml:space="preserve">. ASQ Quality Press; 2006.</w:t>
      </w:r>
      <w:r>
        <w:t xml:space="preserve"> </w:t>
      </w:r>
      <w:hyperlink r:id="rId191">
        <w:r>
          <w:rPr>
            <w:rStyle w:val="Hyperlink"/>
          </w:rPr>
          <w:t xml:space="preserve">https://books.google.com/books?id=9uqiEAAAQBAJ</w:t>
        </w:r>
      </w:hyperlink>
    </w:p>
    <w:bookmarkEnd w:id="192"/>
    <w:bookmarkStart w:id="194" w:name="ref-himss2025ucdavis"/>
    <w:p>
      <w:pPr>
        <w:pStyle w:val="Bibliography"/>
      </w:pPr>
      <w:r>
        <w:t xml:space="preserve">72.</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93">
        <w:r>
          <w:rPr>
            <w:rStyle w:val="Hyperlink"/>
          </w:rPr>
          <w:t xml:space="preserve">https://pages.himss.org/LP-HA-Case-Study-UC-Davis.html</w:t>
        </w:r>
      </w:hyperlink>
    </w:p>
    <w:bookmarkEnd w:id="194"/>
    <w:bookmarkStart w:id="196" w:name="ref-kumar2025caos"/>
    <w:p>
      <w:pPr>
        <w:pStyle w:val="Bibliography"/>
      </w:pPr>
      <w:r>
        <w:t xml:space="preserve">73.</w:t>
      </w:r>
      <w:r>
        <w:t xml:space="preserve"> </w:t>
      </w:r>
      <w:r>
        <w:t xml:space="preserve">	</w:t>
      </w:r>
      <w:r>
        <w:t xml:space="preserve">Rahul Kumar, Kyle Sporn, Ethan Waisberg, Joshua Ong, Phani Paladugu, others.</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95">
        <w:r>
          <w:rPr>
            <w:rStyle w:val="Hyperlink"/>
          </w:rPr>
          <w:t xml:space="preserve">10.1007/s10728-025-00537-y</w:t>
        </w:r>
      </w:hyperlink>
    </w:p>
    <w:bookmarkEnd w:id="196"/>
    <w:bookmarkStart w:id="198" w:name="ref-labkoff2024"/>
    <w:p>
      <w:pPr>
        <w:pStyle w:val="Bibliography"/>
      </w:pPr>
      <w:r>
        <w:t xml:space="preserve">74.</w:t>
      </w:r>
      <w:r>
        <w:t xml:space="preserve"> </w:t>
      </w:r>
      <w:r>
        <w:t xml:space="preserve">	</w:t>
      </w:r>
      <w:r>
        <w:t xml:space="preserve">Steven Labkoff, Bilikis Oladimeji, Joseph Kannry, others.</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2024;31(11):2730-2739. doi:</w:t>
      </w:r>
      <w:hyperlink r:id="rId197">
        <w:r>
          <w:rPr>
            <w:rStyle w:val="Hyperlink"/>
          </w:rPr>
          <w:t xml:space="preserve">10.1093/jamia/ocae209</w:t>
        </w:r>
      </w:hyperlink>
    </w:p>
    <w:bookmarkEnd w:id="198"/>
    <w:bookmarkStart w:id="200" w:name="ref-loshin2010"/>
    <w:p>
      <w:pPr>
        <w:pStyle w:val="Bibliography"/>
      </w:pPr>
      <w:r>
        <w:t xml:space="preserve">75.</w:t>
      </w:r>
      <w:r>
        <w:t xml:space="preserve"> </w:t>
      </w:r>
      <w:r>
        <w:t xml:space="preserve">	</w:t>
      </w:r>
      <w:r>
        <w:t xml:space="preserve">David Loshin.</w:t>
      </w:r>
      <w:r>
        <w:t xml:space="preserve"> </w:t>
      </w:r>
      <w:r>
        <w:rPr>
          <w:i/>
          <w:iCs/>
        </w:rPr>
        <w:t xml:space="preserve">Master Data Management</w:t>
      </w:r>
      <w:r>
        <w:t xml:space="preserve">. Morgan Kaufmann; 2009.</w:t>
      </w:r>
      <w:r>
        <w:t xml:space="preserve"> </w:t>
      </w:r>
      <w:hyperlink r:id="rId199">
        <w:r>
          <w:rPr>
            <w:rStyle w:val="Hyperlink"/>
          </w:rPr>
          <w:t xml:space="preserve">https://books.google.com/books?id=dJtmVz3nrOUC</w:t>
        </w:r>
      </w:hyperlink>
    </w:p>
    <w:bookmarkEnd w:id="200"/>
    <w:bookmarkStart w:id="202" w:name="ref-zimmermann2017"/>
    <w:p>
      <w:pPr>
        <w:pStyle w:val="Bibliography"/>
      </w:pPr>
      <w:r>
        <w:t xml:space="preserve">76.</w:t>
      </w:r>
      <w:r>
        <w:t xml:space="preserve"> </w:t>
      </w:r>
      <w:r>
        <w:t xml:space="preserve">	</w:t>
      </w:r>
      <w:r>
        <w:t xml:space="preserve">Stephan Zimmermann, Christopher Rentrop, Carsten Felden.</w:t>
      </w:r>
      <w:r>
        <w:t xml:space="preserve"> </w:t>
      </w:r>
      <w:r>
        <w:t xml:space="preserve">A Multiple Case Study on the Nature and Management of Shadow Information Technology</w:t>
      </w:r>
      <w:r>
        <w:t xml:space="preserve">.</w:t>
      </w:r>
      <w:r>
        <w:t xml:space="preserve"> </w:t>
      </w:r>
      <w:r>
        <w:rPr>
          <w:i/>
          <w:iCs/>
        </w:rPr>
        <w:t xml:space="preserve">Journal of Information Systems</w:t>
      </w:r>
      <w:r>
        <w:t xml:space="preserve">. 2017;31(1):79-101. doi:</w:t>
      </w:r>
      <w:hyperlink r:id="rId201">
        <w:r>
          <w:rPr>
            <w:rStyle w:val="Hyperlink"/>
          </w:rPr>
          <w:t xml:space="preserve">10.2308/isys-51579</w:t>
        </w:r>
      </w:hyperlink>
    </w:p>
    <w:bookmarkEnd w:id="202"/>
    <w:bookmarkStart w:id="204" w:name="ref-ipeirotis2025"/>
    <w:p>
      <w:pPr>
        <w:pStyle w:val="Bibliography"/>
      </w:pPr>
      <w:r>
        <w:t xml:space="preserve">77.</w:t>
      </w:r>
      <w:r>
        <w:t xml:space="preserve"> </w:t>
      </w:r>
      <w:r>
        <w:t xml:space="preserve">	</w:t>
      </w:r>
      <w:r>
        <w:t xml:space="preserve">&amp; Zheng Ipeirotis P.</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203">
        <w:r>
          <w:rPr>
            <w:rStyle w:val="Hyperlink"/>
          </w:rPr>
          <w:t xml:space="preserve">https://arxiv.org/abs/2511.14718</w:t>
        </w:r>
      </w:hyperlink>
    </w:p>
    <w:bookmarkEnd w:id="204"/>
    <w:bookmarkStart w:id="206" w:name="ref-gartlehner2025"/>
    <w:p>
      <w:pPr>
        <w:pStyle w:val="Bibliography"/>
      </w:pPr>
      <w:r>
        <w:t xml:space="preserve">78.</w:t>
      </w:r>
      <w:r>
        <w:t xml:space="preserve"> </w:t>
      </w:r>
      <w:r>
        <w:t xml:space="preserve">	</w:t>
      </w:r>
      <w:r>
        <w:t xml:space="preserve">G. Gartlehner, S. Kugley, K. Crotty, M. Viswanathan, A. Dobrescu, B. Nussbaumer-Streit, G. Booth, J. R. Treadwell.</w:t>
      </w:r>
      <w:r>
        <w:t xml:space="preserve"> </w:t>
      </w:r>
      <w:r>
        <w:t xml:space="preserve">Artificial Intelligence-Assisted Data Extraction With a Large Language Model: A Study Within Reviews</w:t>
      </w:r>
      <w:r>
        <w:t xml:space="preserve">.</w:t>
      </w:r>
      <w:r>
        <w:t xml:space="preserve"> </w:t>
      </w:r>
      <w:r>
        <w:rPr>
          <w:i/>
          <w:iCs/>
        </w:rPr>
        <w:t xml:space="preserve">Annals of Internal Medicine</w:t>
      </w:r>
      <w:r>
        <w:t xml:space="preserve">. 2025;178(12):1763-1771. doi:</w:t>
      </w:r>
      <w:hyperlink r:id="rId205">
        <w:r>
          <w:rPr>
            <w:rStyle w:val="Hyperlink"/>
          </w:rPr>
          <w:t xml:space="preserve">10.7326/ANNALS-25-00739</w:t>
        </w:r>
      </w:hyperlink>
    </w:p>
    <w:bookmarkEnd w:id="206"/>
    <w:bookmarkStart w:id="208" w:name="ref-benzarti2026"/>
    <w:p>
      <w:pPr>
        <w:pStyle w:val="Bibliography"/>
      </w:pPr>
      <w:r>
        <w:t xml:space="preserve">79.</w:t>
      </w:r>
      <w:r>
        <w:t xml:space="preserve"> </w:t>
      </w:r>
      <w:r>
        <w:t xml:space="preserve">	</w:t>
      </w:r>
      <w:r>
        <w:t xml:space="preserve">S. Benzarti, C. Berrabah.</w:t>
      </w:r>
      <w:r>
        <w:t xml:space="preserve"> </w:t>
      </w:r>
      <w:r>
        <w:t xml:space="preserve">Generative AI for Intelligent Data Extraction: A Case Study in Automated Excel-to-SQL with Human Oversight</w:t>
      </w:r>
      <w:r>
        <w:t xml:space="preserve">. In:</w:t>
      </w:r>
      <w:r>
        <w:t xml:space="preserve"> </w:t>
      </w:r>
      <w:r>
        <w:rPr>
          <w:i/>
          <w:iCs/>
        </w:rPr>
        <w:t xml:space="preserve">Lecture Notes of the Institute for Computer Sciences, Social Informatics and Telecommunications Engineering (LNICST)</w:t>
      </w:r>
      <w:r>
        <w:t xml:space="preserve">. Springer; 2026:151-164. doi:</w:t>
      </w:r>
      <w:hyperlink r:id="rId207">
        <w:r>
          <w:rPr>
            <w:rStyle w:val="Hyperlink"/>
          </w:rPr>
          <w:t xml:space="preserve">10.1007/978-3-032-16638-8_11</w:t>
        </w:r>
      </w:hyperlink>
    </w:p>
    <w:bookmarkEnd w:id="208"/>
    <w:bookmarkStart w:id="210" w:name="ref-ning2024"/>
    <w:p>
      <w:pPr>
        <w:pStyle w:val="Bibliography"/>
      </w:pPr>
      <w:r>
        <w:t xml:space="preserve">80.</w:t>
      </w:r>
      <w:r>
        <w:t xml:space="preserve"> </w:t>
      </w:r>
      <w:r>
        <w:t xml:space="preserve">	</w:t>
      </w:r>
      <w:r>
        <w:t xml:space="preserve">Zheng Ning, Yuan Tian, Zheng Zhang, Tianyi Zhang, Toby Jia-Jun Li.</w:t>
      </w:r>
      <w:r>
        <w:t xml:space="preserve"> </w:t>
      </w:r>
      <w:r>
        <w:t xml:space="preserve">Insights into Natural Language Database Query Errors: From Attention Misalignment to User Handling Strategies</w:t>
      </w:r>
      <w:r>
        <w:t xml:space="preserve">.</w:t>
      </w:r>
      <w:r>
        <w:t xml:space="preserve"> </w:t>
      </w:r>
      <w:r>
        <w:rPr>
          <w:i/>
          <w:iCs/>
        </w:rPr>
        <w:t xml:space="preserve">ACM Transactions on Interactive Intelligent Systems</w:t>
      </w:r>
      <w:r>
        <w:t xml:space="preserve">. 2024;14(4):25:1-25:32. doi:</w:t>
      </w:r>
      <w:hyperlink r:id="rId209">
        <w:r>
          <w:rPr>
            <w:rStyle w:val="Hyperlink"/>
          </w:rPr>
          <w:t xml:space="preserve">10.1145/3650114</w:t>
        </w:r>
      </w:hyperlink>
    </w:p>
    <w:bookmarkEnd w:id="210"/>
    <w:bookmarkStart w:id="212" w:name="ref-ibm2022"/>
    <w:p>
      <w:pPr>
        <w:pStyle w:val="Bibliography"/>
      </w:pPr>
      <w:r>
        <w:t xml:space="preserve">81.</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211">
        <w:r>
          <w:rPr>
            <w:rStyle w:val="Hyperlink"/>
          </w:rPr>
          <w:t xml:space="preserve">https://newsroom.ibm.com/2022-01-21-Francisco-Partners-to-Acquire-IBMs-Healthcare-Data-and-Analytics-Assets</w:t>
        </w:r>
      </w:hyperlink>
    </w:p>
    <w:bookmarkEnd w:id="212"/>
    <w:bookmarkStart w:id="214" w:name="ref-strickland2019"/>
    <w:p>
      <w:pPr>
        <w:pStyle w:val="Bibliography"/>
      </w:pPr>
      <w:r>
        <w:t xml:space="preserve">82.</w:t>
      </w:r>
      <w:r>
        <w:t xml:space="preserve"> </w:t>
      </w:r>
      <w:r>
        <w:t xml:space="preserve">	</w:t>
      </w:r>
      <w:r>
        <w:t xml:space="preserve">E. Strickland.</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213">
        <w:r>
          <w:rPr>
            <w:rStyle w:val="Hyperlink"/>
          </w:rPr>
          <w:t xml:space="preserve">10.1109/MSPEC.2019.8678513</w:t>
        </w:r>
      </w:hyperlink>
    </w:p>
    <w:bookmarkEnd w:id="214"/>
    <w:bookmarkStart w:id="216" w:name="ref-lavito2021"/>
    <w:p>
      <w:pPr>
        <w:pStyle w:val="Bibliography"/>
      </w:pPr>
      <w:r>
        <w:t xml:space="preserve">83.</w:t>
      </w:r>
      <w:r>
        <w:t xml:space="preserve"> </w:t>
      </w:r>
      <w:r>
        <w:t xml:space="preserve">	</w:t>
      </w:r>
      <w:r>
        <w:t xml:space="preserve">Hugh Son.</w:t>
      </w:r>
      <w:r>
        <w:t xml:space="preserve"> </w:t>
      </w:r>
      <w:r>
        <w:t xml:space="preserve">Haven, the Amazon-Berkshire-JPMorgan venture to disrupt health care, is disbanding after 3 years</w:t>
      </w:r>
      <w:r>
        <w:t xml:space="preserve">.</w:t>
      </w:r>
      <w:r>
        <w:t xml:space="preserve"> </w:t>
      </w:r>
      <w:r>
        <w:rPr>
          <w:i/>
          <w:iCs/>
        </w:rPr>
        <w:t xml:space="preserve">CNBC</w:t>
      </w:r>
      <w:r>
        <w:t xml:space="preserve">. Published online 2021.</w:t>
      </w:r>
      <w:r>
        <w:t xml:space="preserve"> </w:t>
      </w:r>
      <w:hyperlink r:id="rId215">
        <w:r>
          <w:rPr>
            <w:rStyle w:val="Hyperlink"/>
          </w:rPr>
          <w:t xml:space="preserve">https://www.cnbc.com/2021/01/04/haven-the-amazon-berkshire-jpmorgan-venture-to-disrupt-healthcare-is-disbanding-after-3-years.html</w:t>
        </w:r>
      </w:hyperlink>
    </w:p>
    <w:bookmarkEnd w:id="216"/>
    <w:bookmarkStart w:id="218" w:name="ref-acchiardo2021"/>
    <w:p>
      <w:pPr>
        <w:pStyle w:val="Bibliography"/>
      </w:pPr>
      <w:r>
        <w:t xml:space="preserve">84.</w:t>
      </w:r>
      <w:r>
        <w:t xml:space="preserve"> </w:t>
      </w:r>
      <w:r>
        <w:t xml:space="preserve">	</w:t>
      </w:r>
      <w:r>
        <w:t xml:space="preserve">J. M. Acchiardo, R. B. Gunderman.</w:t>
      </w:r>
      <w:r>
        <w:t xml:space="preserve"> </w:t>
      </w:r>
      <w:r>
        <w:t xml:space="preserve">The Failure of Haven Healthcare: Lessons for Radiology Learners</w:t>
      </w:r>
      <w:r>
        <w:t xml:space="preserve">.</w:t>
      </w:r>
      <w:r>
        <w:t xml:space="preserve"> </w:t>
      </w:r>
      <w:r>
        <w:rPr>
          <w:i/>
          <w:iCs/>
        </w:rPr>
        <w:t xml:space="preserve">Academic Radiology</w:t>
      </w:r>
      <w:r>
        <w:t xml:space="preserve">. 2021;28(7):1029-1031. doi:</w:t>
      </w:r>
      <w:hyperlink r:id="rId217">
        <w:r>
          <w:rPr>
            <w:rStyle w:val="Hyperlink"/>
          </w:rPr>
          <w:t xml:space="preserve">10.1016/j.acra.2021.03.020</w:t>
        </w:r>
      </w:hyperlink>
    </w:p>
    <w:bookmarkEnd w:id="218"/>
    <w:bookmarkEnd w:id="219"/>
    <w:bookmarkEnd w:id="2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hyperlink" Id="rId62" Target="https://api.wittkieffer.com/wp-content/uploads/2012/10/cio-insights-the-state-of-healthcare-it-leadership-wittkieffer-october-2024.pdf" TargetMode="External" /><Relationship Type="http://schemas.openxmlformats.org/officeDocument/2006/relationships/hyperlink" Id="rId110" Target="https://arxiv.org/abs/2301.07695" TargetMode="External" /><Relationship Type="http://schemas.openxmlformats.org/officeDocument/2006/relationships/hyperlink" Id="rId126" Target="https://arxiv.org/abs/2403.09226" TargetMode="External" /><Relationship Type="http://schemas.openxmlformats.org/officeDocument/2006/relationships/hyperlink" Id="rId203" Target="https://arxiv.org/abs/2511.14718" TargetMode="External" /><Relationship Type="http://schemas.openxmlformats.org/officeDocument/2006/relationships/hyperlink" Id="rId191" Target="https://books.google.com/books?id=9uqiEAAAQBAJ" TargetMode="External" /><Relationship Type="http://schemas.openxmlformats.org/officeDocument/2006/relationships/hyperlink" Id="rId199" Target="https://books.google.com/books?id=dJtmVz3nrOUC" TargetMode="External" /><Relationship Type="http://schemas.openxmlformats.org/officeDocument/2006/relationships/hyperlink" Id="rId141" Target="https://doi.org/10.1001/jamanetworkopen.2021.1793" TargetMode="External" /><Relationship Type="http://schemas.openxmlformats.org/officeDocument/2006/relationships/hyperlink" Id="rId66" Target="https://doi.org/10.1002/nop2.2097" TargetMode="External" /><Relationship Type="http://schemas.openxmlformats.org/officeDocument/2006/relationships/hyperlink" Id="rId207" Target="https://doi.org/10.1007/978-3-032-16638-8_11" TargetMode="External" /><Relationship Type="http://schemas.openxmlformats.org/officeDocument/2006/relationships/hyperlink" Id="rId118" Target="https://doi.org/10.1007/s00779-007-0146-3" TargetMode="External" /><Relationship Type="http://schemas.openxmlformats.org/officeDocument/2006/relationships/hyperlink" Id="rId114" Target="https://doi.org/10.1007/s10462-022-10246-w" TargetMode="External" /><Relationship Type="http://schemas.openxmlformats.org/officeDocument/2006/relationships/hyperlink" Id="rId195" Target="https://doi.org/10.1007/s10728-025-00537-y" TargetMode="External" /><Relationship Type="http://schemas.openxmlformats.org/officeDocument/2006/relationships/hyperlink" Id="rId157" Target="https://doi.org/10.1007/s12599-016-0424-6" TargetMode="External" /><Relationship Type="http://schemas.openxmlformats.org/officeDocument/2006/relationships/hyperlink" Id="rId131" Target="https://doi.org/10.1007/s41471-024-00205-2" TargetMode="External" /><Relationship Type="http://schemas.openxmlformats.org/officeDocument/2006/relationships/hyperlink" Id="rId217" Target="https://doi.org/10.1016/j.acra.2021.03.020" TargetMode="External" /><Relationship Type="http://schemas.openxmlformats.org/officeDocument/2006/relationships/hyperlink" Id="rId116" Target="https://doi.org/10.1016/j.ijinfomgt.2003.12.012" TargetMode="External" /><Relationship Type="http://schemas.openxmlformats.org/officeDocument/2006/relationships/hyperlink" Id="rId129" Target="https://doi.org/10.1016/j.ijinfomgt.2017.08.005" TargetMode="External" /><Relationship Type="http://schemas.openxmlformats.org/officeDocument/2006/relationships/hyperlink" Id="rId82" Target="https://doi.org/10.1016/j.ijrobp.2015.12.355" TargetMode="External" /><Relationship Type="http://schemas.openxmlformats.org/officeDocument/2006/relationships/hyperlink" Id="rId165" Target="https://doi.org/10.1016/j.patcog.2025.111800" TargetMode="External" /><Relationship Type="http://schemas.openxmlformats.org/officeDocument/2006/relationships/hyperlink" Id="rId76" Target="https://doi.org/10.1057/palgrave.emr.1500057" TargetMode="External" /><Relationship Type="http://schemas.openxmlformats.org/officeDocument/2006/relationships/hyperlink" Id="rId149" Target="https://doi.org/10.1080/02683960110132070" TargetMode="External" /><Relationship Type="http://schemas.openxmlformats.org/officeDocument/2006/relationships/hyperlink" Id="rId70" Target="https://doi.org/10.1080/08109020050000627" TargetMode="External" /><Relationship Type="http://schemas.openxmlformats.org/officeDocument/2006/relationships/hyperlink" Id="rId72" Target="https://doi.org/10.1080/13501763.2018.1535612" TargetMode="External" /><Relationship Type="http://schemas.openxmlformats.org/officeDocument/2006/relationships/hyperlink" Id="rId147" Target="https://doi.org/10.1080/20479700.2018.1531606" TargetMode="External" /><Relationship Type="http://schemas.openxmlformats.org/officeDocument/2006/relationships/hyperlink" Id="rId197" Target="https://doi.org/10.1093/jamia/ocae209" TargetMode="External" /><Relationship Type="http://schemas.openxmlformats.org/officeDocument/2006/relationships/hyperlink" Id="rId68" Target="https://doi.org/10.1093/jamia/ocaf019" TargetMode="External" /><Relationship Type="http://schemas.openxmlformats.org/officeDocument/2006/relationships/hyperlink" Id="rId169" Target="https://doi.org/10.1093/jamia/ocy178" TargetMode="External" /><Relationship Type="http://schemas.openxmlformats.org/officeDocument/2006/relationships/hyperlink" Id="rId58" Target="https://doi.org/10.1093/jamiaopen/ooae058" TargetMode="External" /><Relationship Type="http://schemas.openxmlformats.org/officeDocument/2006/relationships/hyperlink" Id="rId60" Target="https://doi.org/10.1093/jopart/muaf019" TargetMode="External" /><Relationship Type="http://schemas.openxmlformats.org/officeDocument/2006/relationships/hyperlink" Id="rId181" Target="https://doi.org/10.1097/JHM-D-24-00084" TargetMode="External" /><Relationship Type="http://schemas.openxmlformats.org/officeDocument/2006/relationships/hyperlink" Id="rId94" Target="https://doi.org/10.1108/13673270610650067" TargetMode="External" /><Relationship Type="http://schemas.openxmlformats.org/officeDocument/2006/relationships/hyperlink" Id="rId100" Target="https://doi.org/10.1108/JKM-02-2024-0203" TargetMode="External" /><Relationship Type="http://schemas.openxmlformats.org/officeDocument/2006/relationships/hyperlink" Id="rId98" Target="https://doi.org/10.1108/JKM-08-2016-0338" TargetMode="External" /><Relationship Type="http://schemas.openxmlformats.org/officeDocument/2006/relationships/hyperlink" Id="rId189" Target="https://doi.org/10.1109/BigData66926.2025.11402102" TargetMode="External" /><Relationship Type="http://schemas.openxmlformats.org/officeDocument/2006/relationships/hyperlink" Id="rId213" Target="https://doi.org/10.1109/MSPEC.2019.8678513" TargetMode="External" /><Relationship Type="http://schemas.openxmlformats.org/officeDocument/2006/relationships/hyperlink" Id="rId124" Target="https://doi.org/10.1109/TKDE.2018.2831214" TargetMode="External" /><Relationship Type="http://schemas.openxmlformats.org/officeDocument/2006/relationships/hyperlink" Id="rId133" Target="https://doi.org/10.1111/1475-6773.12002" TargetMode="External" /><Relationship Type="http://schemas.openxmlformats.org/officeDocument/2006/relationships/hyperlink" Id="rId102" Target="https://doi.org/10.1111/j.1540-5885.2010.00798.x" TargetMode="External" /><Relationship Type="http://schemas.openxmlformats.org/officeDocument/2006/relationships/hyperlink" Id="rId88" Target="https://doi.org/10.1145/1017114.1017118" TargetMode="External" /><Relationship Type="http://schemas.openxmlformats.org/officeDocument/2006/relationships/hyperlink" Id="rId173" Target="https://doi.org/10.1145/320251.320253" TargetMode="External" /><Relationship Type="http://schemas.openxmlformats.org/officeDocument/2006/relationships/hyperlink" Id="rId122" Target="https://doi.org/10.1145/3357223.3362726" TargetMode="External" /><Relationship Type="http://schemas.openxmlformats.org/officeDocument/2006/relationships/hyperlink" Id="rId80" Target="https://doi.org/10.1145/3366423.3380120" TargetMode="External" /><Relationship Type="http://schemas.openxmlformats.org/officeDocument/2006/relationships/hyperlink" Id="rId209" Target="https://doi.org/10.1145/3650114" TargetMode="External" /><Relationship Type="http://schemas.openxmlformats.org/officeDocument/2006/relationships/hyperlink" Id="rId64" Target="https://doi.org/10.1155/2024/5063998" TargetMode="External" /><Relationship Type="http://schemas.openxmlformats.org/officeDocument/2006/relationships/hyperlink" Id="rId108" Target="https://doi.org/10.1177/1350508407071859" TargetMode="External" /><Relationship Type="http://schemas.openxmlformats.org/officeDocument/2006/relationships/hyperlink" Id="rId84" Target="https://doi.org/10.1186/1478-4491-11-35" TargetMode="External" /><Relationship Type="http://schemas.openxmlformats.org/officeDocument/2006/relationships/hyperlink" Id="rId179" Target="https://doi.org/10.1186/s12913-023-09242-9" TargetMode="External" /><Relationship Type="http://schemas.openxmlformats.org/officeDocument/2006/relationships/hyperlink" Id="rId153" Target="https://doi.org/10.1186/s12913-025-12966-5" TargetMode="External" /><Relationship Type="http://schemas.openxmlformats.org/officeDocument/2006/relationships/hyperlink" Id="rId145" Target="https://doi.org/10.1186/s40537-019-0170-y" TargetMode="External" /><Relationship Type="http://schemas.openxmlformats.org/officeDocument/2006/relationships/hyperlink" Id="rId74" Target="https://doi.org/10.1287/mnsc.1040.0273" TargetMode="External" /><Relationship Type="http://schemas.openxmlformats.org/officeDocument/2006/relationships/hyperlink" Id="rId151" Target="https://doi.org/10.15446/innovar.v31n81.95582" TargetMode="External" /><Relationship Type="http://schemas.openxmlformats.org/officeDocument/2006/relationships/hyperlink" Id="rId177" Target="https://doi.org/10.2139/ssrn.5268176" TargetMode="External" /><Relationship Type="http://schemas.openxmlformats.org/officeDocument/2006/relationships/hyperlink" Id="rId139" Target="https://doi.org/10.2196/56316" TargetMode="External" /><Relationship Type="http://schemas.openxmlformats.org/officeDocument/2006/relationships/hyperlink" Id="rId135" Target="https://doi.org/10.2307/2393298" TargetMode="External" /><Relationship Type="http://schemas.openxmlformats.org/officeDocument/2006/relationships/hyperlink" Id="rId201" Target="https://doi.org/10.2308/isys-51579" TargetMode="External" /><Relationship Type="http://schemas.openxmlformats.org/officeDocument/2006/relationships/hyperlink" Id="rId159" Target="https://doi.org/10.24251/HICSS.2020.659" TargetMode="External" /><Relationship Type="http://schemas.openxmlformats.org/officeDocument/2006/relationships/hyperlink" Id="rId185" Target="https://doi.org/10.32628/CSEIT25111239" TargetMode="External" /><Relationship Type="http://schemas.openxmlformats.org/officeDocument/2006/relationships/hyperlink" Id="rId163" Target="https://doi.org/10.3389/fdata.2024.1371680" TargetMode="External" /><Relationship Type="http://schemas.openxmlformats.org/officeDocument/2006/relationships/hyperlink" Id="rId90" Target="https://doi.org/10.3389/fpsyg.2019.02730" TargetMode="External" /><Relationship Type="http://schemas.openxmlformats.org/officeDocument/2006/relationships/hyperlink" Id="rId161" Target="https://doi.org/10.3390/bdcc9100256" TargetMode="External" /><Relationship Type="http://schemas.openxmlformats.org/officeDocument/2006/relationships/hyperlink" Id="rId86" Target="https://doi.org/10.3414/ME5119" TargetMode="External" /><Relationship Type="http://schemas.openxmlformats.org/officeDocument/2006/relationships/hyperlink" Id="rId120" Target="https://doi.org/10.63282/3050-9262.IJAIDSML-V6I4P130" TargetMode="External" /><Relationship Type="http://schemas.openxmlformats.org/officeDocument/2006/relationships/hyperlink" Id="rId143" Target="https://doi.org/10.69554/RITW9729" TargetMode="External" /><Relationship Type="http://schemas.openxmlformats.org/officeDocument/2006/relationships/hyperlink" Id="rId205" Target="https://doi.org/10.7326/ANNALS-25-00739" TargetMode="External" /><Relationship Type="http://schemas.openxmlformats.org/officeDocument/2006/relationships/hyperlink" Id="rId78" Target="https://doi.org/10.7551/mitpress/9302.001.0001" TargetMode="External" /><Relationship Type="http://schemas.openxmlformats.org/officeDocument/2006/relationships/hyperlink" Id="rId92" Target="https://fac.flinders.edu.au/dspace/api/core/bitstreams/e94a96eb-0334-4300-8880-c836d4d9a676/content" TargetMode="External" /><Relationship Type="http://schemas.openxmlformats.org/officeDocument/2006/relationships/hyperlink" Id="rId112" Target="https://hdl.handle.net/10803/695722" TargetMode="External" /><Relationship Type="http://schemas.openxmlformats.org/officeDocument/2006/relationships/hyperlink" Id="rId211" Target="https://newsroom.ibm.com/2022-01-21-Francisco-Partners-to-Acquire-IBMs-Healthcare-Data-and-Analytics-Assets" TargetMode="External" /><Relationship Type="http://schemas.openxmlformats.org/officeDocument/2006/relationships/hyperlink" Id="rId193" Target="https://pages.himss.org/LP-HA-Case-Study-UC-Davis.html" TargetMode="External" /><Relationship Type="http://schemas.openxmlformats.org/officeDocument/2006/relationships/hyperlink" Id="rId167" Target="https://pmc.ncbi.nlm.nih.gov/articles/PMC10785918/" TargetMode="External" /><Relationship Type="http://schemas.openxmlformats.org/officeDocument/2006/relationships/hyperlink" Id="rId171" Target="https://resources.anthropic.com/code-modernization-playbook" TargetMode="External" /><Relationship Type="http://schemas.openxmlformats.org/officeDocument/2006/relationships/hyperlink" Id="rId155" Target="https://search.proquest.com/openview/9a3a9ef301c01ff0129d07f685b8643f/1" TargetMode="External" /><Relationship Type="http://schemas.openxmlformats.org/officeDocument/2006/relationships/hyperlink" Id="rId183" Target="https://search.proquest.com/openview/aa9acce88c488cbb8c6b3c8339062319/1" TargetMode="External" /><Relationship Type="http://schemas.openxmlformats.org/officeDocument/2006/relationships/hyperlink" Id="rId106" Target="https://wendyju.com/publications/18_ijee3593.pdf" TargetMode="External" /><Relationship Type="http://schemas.openxmlformats.org/officeDocument/2006/relationships/hyperlink" Id="rId175" Target="https://www.allmultidisciplinaryjournal.com/uploads/archives/20250306182550_MGE-2025-2-018.1.pdf" TargetMode="External" /><Relationship Type="http://schemas.openxmlformats.org/officeDocument/2006/relationships/hyperlink" Id="rId215" Target="https://www.cnbc.com/2021/01/04/haven-the-amazon-berkshire-jpmorgan-venture-to-disrupt-healthcare-is-disbanding-after-3-years.html" TargetMode="External" /><Relationship Type="http://schemas.openxmlformats.org/officeDocument/2006/relationships/hyperlink" Id="rId54" Target="https://www.healthcareitnews.com/news/asia/himss24-apac-adoption-model-analytics-maturity-gets-facelift" TargetMode="External" /><Relationship Type="http://schemas.openxmlformats.org/officeDocument/2006/relationships/hyperlink" Id="rId137" Target="https://www.healthcatalyst.com/learn/insights/healthcare-analytics-adoption-model-roadmap-analytic-maturity" TargetMode="External" /><Relationship Type="http://schemas.openxmlformats.org/officeDocument/2006/relationships/hyperlink" Id="rId52" Target="https://www.himss.org/maturity-models/amam/" TargetMode="External" /><Relationship Type="http://schemas.openxmlformats.org/officeDocument/2006/relationships/hyperlink" Id="rId104" Target="https://www.himss.org/resources/the-future-of-workforce/" TargetMode="External" /><Relationship Type="http://schemas.openxmlformats.org/officeDocument/2006/relationships/hyperlink" Id="rId187" Target="https://www.ijaidr.com/papers/2023/1/1299.pdf" TargetMode="External" /><Relationship Type="http://schemas.openxmlformats.org/officeDocument/2006/relationships/hyperlink" Id="rId96" Target="https://www.nsinursingsolutions.com/documents/library/nsi_national_health_care_retention_report.pdf" TargetMode="External" /><Relationship Type="http://schemas.openxmlformats.org/officeDocument/2006/relationships/hyperlink" Id="rId56" Target="https://www.nyulawreview.org/issues/volume-94-number-4/data-standardization/" TargetMode="External" /></Relationships>
</file>

<file path=word/_rels/footnotes.xml.rels><?xml version="1.0" encoding="UTF-8"?><Relationships xmlns="http://schemas.openxmlformats.org/package/2006/relationships"><Relationship Type="http://schemas.openxmlformats.org/officeDocument/2006/relationships/hyperlink" Id="rId62" Target="https://api.wittkieffer.com/wp-content/uploads/2012/10/cio-insights-the-state-of-healthcare-it-leadership-wittkieffer-october-2024.pdf" TargetMode="External" /><Relationship Type="http://schemas.openxmlformats.org/officeDocument/2006/relationships/hyperlink" Id="rId110" Target="https://arxiv.org/abs/2301.07695" TargetMode="External" /><Relationship Type="http://schemas.openxmlformats.org/officeDocument/2006/relationships/hyperlink" Id="rId126" Target="https://arxiv.org/abs/2403.09226" TargetMode="External" /><Relationship Type="http://schemas.openxmlformats.org/officeDocument/2006/relationships/hyperlink" Id="rId203" Target="https://arxiv.org/abs/2511.14718" TargetMode="External" /><Relationship Type="http://schemas.openxmlformats.org/officeDocument/2006/relationships/hyperlink" Id="rId191" Target="https://books.google.com/books?id=9uqiEAAAQBAJ" TargetMode="External" /><Relationship Type="http://schemas.openxmlformats.org/officeDocument/2006/relationships/hyperlink" Id="rId199" Target="https://books.google.com/books?id=dJtmVz3nrOUC" TargetMode="External" /><Relationship Type="http://schemas.openxmlformats.org/officeDocument/2006/relationships/hyperlink" Id="rId141" Target="https://doi.org/10.1001/jamanetworkopen.2021.1793" TargetMode="External" /><Relationship Type="http://schemas.openxmlformats.org/officeDocument/2006/relationships/hyperlink" Id="rId66" Target="https://doi.org/10.1002/nop2.2097" TargetMode="External" /><Relationship Type="http://schemas.openxmlformats.org/officeDocument/2006/relationships/hyperlink" Id="rId207" Target="https://doi.org/10.1007/978-3-032-16638-8_11" TargetMode="External" /><Relationship Type="http://schemas.openxmlformats.org/officeDocument/2006/relationships/hyperlink" Id="rId118" Target="https://doi.org/10.1007/s00779-007-0146-3" TargetMode="External" /><Relationship Type="http://schemas.openxmlformats.org/officeDocument/2006/relationships/hyperlink" Id="rId114" Target="https://doi.org/10.1007/s10462-022-10246-w" TargetMode="External" /><Relationship Type="http://schemas.openxmlformats.org/officeDocument/2006/relationships/hyperlink" Id="rId195" Target="https://doi.org/10.1007/s10728-025-00537-y" TargetMode="External" /><Relationship Type="http://schemas.openxmlformats.org/officeDocument/2006/relationships/hyperlink" Id="rId157" Target="https://doi.org/10.1007/s12599-016-0424-6" TargetMode="External" /><Relationship Type="http://schemas.openxmlformats.org/officeDocument/2006/relationships/hyperlink" Id="rId131" Target="https://doi.org/10.1007/s41471-024-00205-2" TargetMode="External" /><Relationship Type="http://schemas.openxmlformats.org/officeDocument/2006/relationships/hyperlink" Id="rId217" Target="https://doi.org/10.1016/j.acra.2021.03.020" TargetMode="External" /><Relationship Type="http://schemas.openxmlformats.org/officeDocument/2006/relationships/hyperlink" Id="rId116" Target="https://doi.org/10.1016/j.ijinfomgt.2003.12.012" TargetMode="External" /><Relationship Type="http://schemas.openxmlformats.org/officeDocument/2006/relationships/hyperlink" Id="rId129" Target="https://doi.org/10.1016/j.ijinfomgt.2017.08.005" TargetMode="External" /><Relationship Type="http://schemas.openxmlformats.org/officeDocument/2006/relationships/hyperlink" Id="rId82" Target="https://doi.org/10.1016/j.ijrobp.2015.12.355" TargetMode="External" /><Relationship Type="http://schemas.openxmlformats.org/officeDocument/2006/relationships/hyperlink" Id="rId165" Target="https://doi.org/10.1016/j.patcog.2025.111800" TargetMode="External" /><Relationship Type="http://schemas.openxmlformats.org/officeDocument/2006/relationships/hyperlink" Id="rId76" Target="https://doi.org/10.1057/palgrave.emr.1500057" TargetMode="External" /><Relationship Type="http://schemas.openxmlformats.org/officeDocument/2006/relationships/hyperlink" Id="rId149" Target="https://doi.org/10.1080/02683960110132070" TargetMode="External" /><Relationship Type="http://schemas.openxmlformats.org/officeDocument/2006/relationships/hyperlink" Id="rId70" Target="https://doi.org/10.1080/08109020050000627" TargetMode="External" /><Relationship Type="http://schemas.openxmlformats.org/officeDocument/2006/relationships/hyperlink" Id="rId72" Target="https://doi.org/10.1080/13501763.2018.1535612" TargetMode="External" /><Relationship Type="http://schemas.openxmlformats.org/officeDocument/2006/relationships/hyperlink" Id="rId147" Target="https://doi.org/10.1080/20479700.2018.1531606" TargetMode="External" /><Relationship Type="http://schemas.openxmlformats.org/officeDocument/2006/relationships/hyperlink" Id="rId197" Target="https://doi.org/10.1093/jamia/ocae209" TargetMode="External" /><Relationship Type="http://schemas.openxmlformats.org/officeDocument/2006/relationships/hyperlink" Id="rId68" Target="https://doi.org/10.1093/jamia/ocaf019" TargetMode="External" /><Relationship Type="http://schemas.openxmlformats.org/officeDocument/2006/relationships/hyperlink" Id="rId169" Target="https://doi.org/10.1093/jamia/ocy178" TargetMode="External" /><Relationship Type="http://schemas.openxmlformats.org/officeDocument/2006/relationships/hyperlink" Id="rId58" Target="https://doi.org/10.1093/jamiaopen/ooae058" TargetMode="External" /><Relationship Type="http://schemas.openxmlformats.org/officeDocument/2006/relationships/hyperlink" Id="rId60" Target="https://doi.org/10.1093/jopart/muaf019" TargetMode="External" /><Relationship Type="http://schemas.openxmlformats.org/officeDocument/2006/relationships/hyperlink" Id="rId181" Target="https://doi.org/10.1097/JHM-D-24-00084" TargetMode="External" /><Relationship Type="http://schemas.openxmlformats.org/officeDocument/2006/relationships/hyperlink" Id="rId94" Target="https://doi.org/10.1108/13673270610650067" TargetMode="External" /><Relationship Type="http://schemas.openxmlformats.org/officeDocument/2006/relationships/hyperlink" Id="rId100" Target="https://doi.org/10.1108/JKM-02-2024-0203" TargetMode="External" /><Relationship Type="http://schemas.openxmlformats.org/officeDocument/2006/relationships/hyperlink" Id="rId98" Target="https://doi.org/10.1108/JKM-08-2016-0338" TargetMode="External" /><Relationship Type="http://schemas.openxmlformats.org/officeDocument/2006/relationships/hyperlink" Id="rId189" Target="https://doi.org/10.1109/BigData66926.2025.11402102" TargetMode="External" /><Relationship Type="http://schemas.openxmlformats.org/officeDocument/2006/relationships/hyperlink" Id="rId213" Target="https://doi.org/10.1109/MSPEC.2019.8678513" TargetMode="External" /><Relationship Type="http://schemas.openxmlformats.org/officeDocument/2006/relationships/hyperlink" Id="rId124" Target="https://doi.org/10.1109/TKDE.2018.2831214" TargetMode="External" /><Relationship Type="http://schemas.openxmlformats.org/officeDocument/2006/relationships/hyperlink" Id="rId133" Target="https://doi.org/10.1111/1475-6773.12002" TargetMode="External" /><Relationship Type="http://schemas.openxmlformats.org/officeDocument/2006/relationships/hyperlink" Id="rId102" Target="https://doi.org/10.1111/j.1540-5885.2010.00798.x" TargetMode="External" /><Relationship Type="http://schemas.openxmlformats.org/officeDocument/2006/relationships/hyperlink" Id="rId88" Target="https://doi.org/10.1145/1017114.1017118" TargetMode="External" /><Relationship Type="http://schemas.openxmlformats.org/officeDocument/2006/relationships/hyperlink" Id="rId173" Target="https://doi.org/10.1145/320251.320253" TargetMode="External" /><Relationship Type="http://schemas.openxmlformats.org/officeDocument/2006/relationships/hyperlink" Id="rId122" Target="https://doi.org/10.1145/3357223.3362726" TargetMode="External" /><Relationship Type="http://schemas.openxmlformats.org/officeDocument/2006/relationships/hyperlink" Id="rId80" Target="https://doi.org/10.1145/3366423.3380120" TargetMode="External" /><Relationship Type="http://schemas.openxmlformats.org/officeDocument/2006/relationships/hyperlink" Id="rId209" Target="https://doi.org/10.1145/3650114" TargetMode="External" /><Relationship Type="http://schemas.openxmlformats.org/officeDocument/2006/relationships/hyperlink" Id="rId64" Target="https://doi.org/10.1155/2024/5063998" TargetMode="External" /><Relationship Type="http://schemas.openxmlformats.org/officeDocument/2006/relationships/hyperlink" Id="rId108" Target="https://doi.org/10.1177/1350508407071859" TargetMode="External" /><Relationship Type="http://schemas.openxmlformats.org/officeDocument/2006/relationships/hyperlink" Id="rId84" Target="https://doi.org/10.1186/1478-4491-11-35" TargetMode="External" /><Relationship Type="http://schemas.openxmlformats.org/officeDocument/2006/relationships/hyperlink" Id="rId179" Target="https://doi.org/10.1186/s12913-023-09242-9" TargetMode="External" /><Relationship Type="http://schemas.openxmlformats.org/officeDocument/2006/relationships/hyperlink" Id="rId153" Target="https://doi.org/10.1186/s12913-025-12966-5" TargetMode="External" /><Relationship Type="http://schemas.openxmlformats.org/officeDocument/2006/relationships/hyperlink" Id="rId145" Target="https://doi.org/10.1186/s40537-019-0170-y" TargetMode="External" /><Relationship Type="http://schemas.openxmlformats.org/officeDocument/2006/relationships/hyperlink" Id="rId74" Target="https://doi.org/10.1287/mnsc.1040.0273" TargetMode="External" /><Relationship Type="http://schemas.openxmlformats.org/officeDocument/2006/relationships/hyperlink" Id="rId151" Target="https://doi.org/10.15446/innovar.v31n81.95582" TargetMode="External" /><Relationship Type="http://schemas.openxmlformats.org/officeDocument/2006/relationships/hyperlink" Id="rId177" Target="https://doi.org/10.2139/ssrn.5268176" TargetMode="External" /><Relationship Type="http://schemas.openxmlformats.org/officeDocument/2006/relationships/hyperlink" Id="rId139" Target="https://doi.org/10.2196/56316" TargetMode="External" /><Relationship Type="http://schemas.openxmlformats.org/officeDocument/2006/relationships/hyperlink" Id="rId135" Target="https://doi.org/10.2307/2393298" TargetMode="External" /><Relationship Type="http://schemas.openxmlformats.org/officeDocument/2006/relationships/hyperlink" Id="rId201" Target="https://doi.org/10.2308/isys-51579" TargetMode="External" /><Relationship Type="http://schemas.openxmlformats.org/officeDocument/2006/relationships/hyperlink" Id="rId159" Target="https://doi.org/10.24251/HICSS.2020.659" TargetMode="External" /><Relationship Type="http://schemas.openxmlformats.org/officeDocument/2006/relationships/hyperlink" Id="rId185" Target="https://doi.org/10.32628/CSEIT25111239" TargetMode="External" /><Relationship Type="http://schemas.openxmlformats.org/officeDocument/2006/relationships/hyperlink" Id="rId163" Target="https://doi.org/10.3389/fdata.2024.1371680" TargetMode="External" /><Relationship Type="http://schemas.openxmlformats.org/officeDocument/2006/relationships/hyperlink" Id="rId90" Target="https://doi.org/10.3389/fpsyg.2019.02730" TargetMode="External" /><Relationship Type="http://schemas.openxmlformats.org/officeDocument/2006/relationships/hyperlink" Id="rId161" Target="https://doi.org/10.3390/bdcc9100256" TargetMode="External" /><Relationship Type="http://schemas.openxmlformats.org/officeDocument/2006/relationships/hyperlink" Id="rId86" Target="https://doi.org/10.3414/ME5119" TargetMode="External" /><Relationship Type="http://schemas.openxmlformats.org/officeDocument/2006/relationships/hyperlink" Id="rId120" Target="https://doi.org/10.63282/3050-9262.IJAIDSML-V6I4P130" TargetMode="External" /><Relationship Type="http://schemas.openxmlformats.org/officeDocument/2006/relationships/hyperlink" Id="rId143" Target="https://doi.org/10.69554/RITW9729" TargetMode="External" /><Relationship Type="http://schemas.openxmlformats.org/officeDocument/2006/relationships/hyperlink" Id="rId205" Target="https://doi.org/10.7326/ANNALS-25-00739" TargetMode="External" /><Relationship Type="http://schemas.openxmlformats.org/officeDocument/2006/relationships/hyperlink" Id="rId78" Target="https://doi.org/10.7551/mitpress/9302.001.0001" TargetMode="External" /><Relationship Type="http://schemas.openxmlformats.org/officeDocument/2006/relationships/hyperlink" Id="rId92" Target="https://fac.flinders.edu.au/dspace/api/core/bitstreams/e94a96eb-0334-4300-8880-c836d4d9a676/content" TargetMode="External" /><Relationship Type="http://schemas.openxmlformats.org/officeDocument/2006/relationships/hyperlink" Id="rId112" Target="https://hdl.handle.net/10803/695722" TargetMode="External" /><Relationship Type="http://schemas.openxmlformats.org/officeDocument/2006/relationships/hyperlink" Id="rId211" Target="https://newsroom.ibm.com/2022-01-21-Francisco-Partners-to-Acquire-IBMs-Healthcare-Data-and-Analytics-Assets" TargetMode="External" /><Relationship Type="http://schemas.openxmlformats.org/officeDocument/2006/relationships/hyperlink" Id="rId193" Target="https://pages.himss.org/LP-HA-Case-Study-UC-Davis.html" TargetMode="External" /><Relationship Type="http://schemas.openxmlformats.org/officeDocument/2006/relationships/hyperlink" Id="rId167" Target="https://pmc.ncbi.nlm.nih.gov/articles/PMC10785918/" TargetMode="External" /><Relationship Type="http://schemas.openxmlformats.org/officeDocument/2006/relationships/hyperlink" Id="rId171" Target="https://resources.anthropic.com/code-modernization-playbook" TargetMode="External" /><Relationship Type="http://schemas.openxmlformats.org/officeDocument/2006/relationships/hyperlink" Id="rId155" Target="https://search.proquest.com/openview/9a3a9ef301c01ff0129d07f685b8643f/1" TargetMode="External" /><Relationship Type="http://schemas.openxmlformats.org/officeDocument/2006/relationships/hyperlink" Id="rId183" Target="https://search.proquest.com/openview/aa9acce88c488cbb8c6b3c8339062319/1" TargetMode="External" /><Relationship Type="http://schemas.openxmlformats.org/officeDocument/2006/relationships/hyperlink" Id="rId106" Target="https://wendyju.com/publications/18_ijee3593.pdf" TargetMode="External" /><Relationship Type="http://schemas.openxmlformats.org/officeDocument/2006/relationships/hyperlink" Id="rId175" Target="https://www.allmultidisciplinaryjournal.com/uploads/archives/20250306182550_MGE-2025-2-018.1.pdf" TargetMode="External" /><Relationship Type="http://schemas.openxmlformats.org/officeDocument/2006/relationships/hyperlink" Id="rId215" Target="https://www.cnbc.com/2021/01/04/haven-the-amazon-berkshire-jpmorgan-venture-to-disrupt-healthcare-is-disbanding-after-3-years.html" TargetMode="External" /><Relationship Type="http://schemas.openxmlformats.org/officeDocument/2006/relationships/hyperlink" Id="rId54" Target="https://www.healthcareitnews.com/news/asia/himss24-apac-adoption-model-analytics-maturity-gets-facelift" TargetMode="External" /><Relationship Type="http://schemas.openxmlformats.org/officeDocument/2006/relationships/hyperlink" Id="rId137" Target="https://www.healthcatalyst.com/learn/insights/healthcare-analytics-adoption-model-roadmap-analytic-maturity" TargetMode="External" /><Relationship Type="http://schemas.openxmlformats.org/officeDocument/2006/relationships/hyperlink" Id="rId52" Target="https://www.himss.org/maturity-models/amam/" TargetMode="External" /><Relationship Type="http://schemas.openxmlformats.org/officeDocument/2006/relationships/hyperlink" Id="rId104" Target="https://www.himss.org/resources/the-future-of-workforce/" TargetMode="External" /><Relationship Type="http://schemas.openxmlformats.org/officeDocument/2006/relationships/hyperlink" Id="rId187" Target="https://www.ijaidr.com/papers/2023/1/1299.pdf" TargetMode="External" /><Relationship Type="http://schemas.openxmlformats.org/officeDocument/2006/relationships/hyperlink" Id="rId96" Target="https://www.nsinursingsolutions.com/documents/library/nsi_national_health_care_retention_report.pdf" TargetMode="External" /><Relationship Type="http://schemas.openxmlformats.org/officeDocument/2006/relationships/hyperlink" Id="rId56" Target="https://www.nyulawreview.org/issues/volume-94-number-4/data-standardiz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institutional amnesia, medical informatics, socio-technical systems, query governance, natural language processing, knowledge management, personnel turnover, organizational resilience</cp:keywords>
  <dcterms:created xsi:type="dcterms:W3CDTF">2026-07-11T12:43:30Z</dcterms:created>
  <dcterms:modified xsi:type="dcterms:W3CDTF">2026-07-11T12:43:30Z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a “Triple Threat” of low analytics maturity, high workforce instability, and semantic technical barriers that together produce a crisis of “Institutional Amnesia.” Leadership turnover, workforce shortages, and widespread intent to leave among informatics specialists systematically erase the tacit knowledge required to navigate complex clinical data schemas, trapping organizations in a cycle where knowledge loss outpaces knowledge capture.Viewed through Nonaka’s SECI (Socialization, Externalization, Combination, Internalization)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to develop a socio-technical framework: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query workflow, the framework aims to convert ephemeral analytics into permanent institutional assets. The accompanying Three-Pillar Assessment Rubric enables organizations to identify compounding vulnerabilities across analytics maturity, workforce agility, and technical enablement.The “Validator Paradox” (who validates the AI when experts leave?) is addressed by reframing validation through Lean “Standard Work”: each validated query establishes the current known standard rather than eternal truth, functioning as a “knowledge ratchet” that prevents regression. Decoupling analytical capability from individual tenure lets analytics maturity advance even as the workforce evolves. This paper proposes and theoretically motivates the framework; empirical validation is deferred to a companion study.</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/app/citation-style-ama.csl</vt:lpwstr>
  </property>
  <property fmtid="{D5CDD505-2E9C-101B-9397-08002B2CF9AE}" pid="11" name="date">
    <vt:lpwstr>July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July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False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False</vt:lpwstr>
  </property>
  <property fmtid="{D5CDD505-2E9C-101B-9397-08002B2CF9AE}" pid="39" name="urlcolor">
    <vt:lpwstr>blue</vt:lpwstr>
  </property>
</Properties>
</file>