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substantial—and ultimately measured in patient care quality. Organizations continue investing in analytics infrastructure while struggling to realize value from their data assets. Analytics maturity gaps lead to suboptimal clinical decisions that directly affect patient outcomes. Workforce turnover causes loss of institutional knowledge critical to care continuity and safety. Technical barriers prevent clinical staff from answering care-focused questions with data, forcing reliance on intuition rather than evidence. These three interconnected challenges do not merely represent operational inefficiencies or unrealized competitive advantages; they represent ongoing harm to the primary mission of healthcare: delivering quality patient care.</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8"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64"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2" w:name="X79e53be5adb6b9863f8ca49c43cb7059ea634a1"/>
    <w:p>
      <w:pPr>
        <w:pStyle w:val="Heading2"/>
      </w:pPr>
      <w:r>
        <w:rPr>
          <w:rStyle w:val="SectionNumber"/>
        </w:rPr>
        <w:t xml:space="preserve">4.1</w:t>
      </w:r>
      <w:r>
        <w:tab/>
      </w:r>
      <w:r>
        <w:t xml:space="preserve">1. Current State of Natural Language to SQL Generation</w:t>
      </w:r>
    </w:p>
    <w:bookmarkStart w:id="39"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9"/>
    <w:bookmarkStart w:id="40"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0"/>
    <w:bookmarkStart w:id="41"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1"/>
    <w:bookmarkEnd w:id="42"/>
    <w:bookmarkStart w:id="46" w:name="state-of-healthcare-analytics-maturity"/>
    <w:p>
      <w:pPr>
        <w:pStyle w:val="Heading2"/>
      </w:pPr>
      <w:r>
        <w:rPr>
          <w:rStyle w:val="SectionNumber"/>
        </w:rPr>
        <w:t xml:space="preserve">4.2</w:t>
      </w:r>
      <w:r>
        <w:tab/>
      </w:r>
      <w:r>
        <w:t xml:space="preserve">2. State of Healthcare Analytics Maturity</w:t>
      </w:r>
    </w:p>
    <w:bookmarkStart w:id="43"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3"/>
    <w:bookmarkStart w:id="44"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4"/>
    <w:bookmarkStart w:id="45"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w:t>
      </w:r>
    </w:p>
    <w:bookmarkEnd w:id="45"/>
    <w:bookmarkEnd w:id="46"/>
    <w:bookmarkStart w:id="50" w:name="X033aaa01add75caa19416ed7b909f71ff5bd76d"/>
    <w:p>
      <w:pPr>
        <w:pStyle w:val="Heading2"/>
      </w:pPr>
      <w:r>
        <w:rPr>
          <w:rStyle w:val="SectionNumber"/>
        </w:rPr>
        <w:t xml:space="preserve">4.3</w:t>
      </w:r>
      <w:r>
        <w:tab/>
      </w:r>
      <w:r>
        <w:t xml:space="preserve">3. Healthcare Workforce Turnover and Knowledge Loss</w:t>
      </w:r>
    </w:p>
    <w:bookmarkStart w:id="4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7"/>
    <w:bookmarkStart w:id="4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8"/>
    <w:bookmarkStart w:id="49"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49"/>
    <w:bookmarkEnd w:id="50"/>
    <w:bookmarkStart w:id="54" w:name="X4fcdb465b5d130fc136a191f4ad96d06b004362"/>
    <w:p>
      <w:pPr>
        <w:pStyle w:val="Heading2"/>
      </w:pPr>
      <w:r>
        <w:rPr>
          <w:rStyle w:val="SectionNumber"/>
        </w:rPr>
        <w:t xml:space="preserve">4.4</w:t>
      </w:r>
      <w:r>
        <w:tab/>
      </w:r>
      <w:r>
        <w:t xml:space="preserve">4. Integration of Evidence: The Case for Conversational AI</w:t>
      </w:r>
    </w:p>
    <w:bookmarkStart w:id="5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1"/>
    <w:bookmarkStart w:id="52"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2"/>
    <w:bookmarkStart w:id="53"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3"/>
    <w:bookmarkEnd w:id="54"/>
    <w:bookmarkStart w:id="58" w:name="Xe532debb859e62ad2038db373f15ff8608a8c3a"/>
    <w:p>
      <w:pPr>
        <w:pStyle w:val="Heading2"/>
      </w:pPr>
      <w:r>
        <w:rPr>
          <w:rStyle w:val="SectionNumber"/>
        </w:rPr>
        <w:t xml:space="preserve">4.5</w:t>
      </w:r>
      <w:r>
        <w:tab/>
      </w:r>
      <w:r>
        <w:t xml:space="preserve">5. Implications for Healthcare Organizations</w:t>
      </w:r>
    </w:p>
    <w:bookmarkStart w:id="55"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5"/>
    <w:bookmarkStart w:id="56"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6"/>
    <w:bookmarkStart w:id="57"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7"/>
    <w:bookmarkEnd w:id="58"/>
    <w:bookmarkStart w:id="59"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59"/>
    <w:bookmarkStart w:id="63"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0"/>
    <w:bookmarkStart w:id="61"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1"/>
    <w:bookmarkStart w:id="62"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2"/>
    <w:bookmarkEnd w:id="63"/>
    <w:bookmarkEnd w:id="64"/>
    <w:bookmarkStart w:id="79"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The primary objective of implementing conversational AI platforms in healthcare is advancing the quality of patient care. Secondary benefits—staff productivity, operational insights, institutional knowledge preservation—serve this overarching mission. Funds saved through improved efficiency can be redirected to patient outcomes and system capacity.</w:t>
      </w:r>
    </w:p>
    <w:p>
      <w:pPr>
        <w:pStyle w:val="BodyText"/>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5"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5"/>
    <w:bookmarkStart w:id="70" w:name="core-capabilities"/>
    <w:p>
      <w:pPr>
        <w:pStyle w:val="Heading2"/>
      </w:pPr>
      <w:r>
        <w:rPr>
          <w:rStyle w:val="SectionNumber"/>
        </w:rPr>
        <w:t xml:space="preserve">5.2</w:t>
      </w:r>
      <w:r>
        <w:tab/>
      </w:r>
      <w:r>
        <w:t xml:space="preserve">Core Capabilities</w:t>
      </w:r>
    </w:p>
    <w:bookmarkStart w:id="66"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6"/>
    <w:bookmarkStart w:id="67"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7"/>
    <w:bookmarkStart w:id="68"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8"/>
    <w:bookmarkStart w:id="69"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9"/>
    <w:bookmarkEnd w:id="70"/>
    <w:bookmarkStart w:id="74" w:name="implementation-framework"/>
    <w:p>
      <w:pPr>
        <w:pStyle w:val="Heading2"/>
      </w:pPr>
      <w:r>
        <w:rPr>
          <w:rStyle w:val="SectionNumber"/>
        </w:rPr>
        <w:t xml:space="preserve">5.3</w:t>
      </w:r>
      <w:r>
        <w:tab/>
      </w:r>
      <w:r>
        <w:t xml:space="preserve">Implementation Framework</w:t>
      </w:r>
    </w:p>
    <w:bookmarkStart w:id="71"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1"/>
    <w:bookmarkStart w:id="72"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2"/>
    <w:bookmarkStart w:id="73"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3"/>
    <w:bookmarkEnd w:id="74"/>
    <w:bookmarkStart w:id="78" w:name="risk-mitigation-and-quality-assurance"/>
    <w:p>
      <w:pPr>
        <w:pStyle w:val="Heading2"/>
      </w:pPr>
      <w:r>
        <w:rPr>
          <w:rStyle w:val="SectionNumber"/>
        </w:rPr>
        <w:t xml:space="preserve">5.4</w:t>
      </w:r>
      <w:r>
        <w:tab/>
      </w:r>
      <w:r>
        <w:t xml:space="preserve">Risk Mitigation and Quality Assurance</w:t>
      </w:r>
    </w:p>
    <w:bookmarkStart w:id="75"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5"/>
    <w:bookmarkStart w:id="76"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6"/>
    <w:bookmarkStart w:id="77"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7"/>
    <w:bookmarkEnd w:id="78"/>
    <w:bookmarkEnd w:id="79"/>
    <w:bookmarkStart w:id="90"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4" w:name="academic-study-results"/>
    <w:p>
      <w:pPr>
        <w:pStyle w:val="Heading2"/>
      </w:pPr>
      <w:r>
        <w:rPr>
          <w:rStyle w:val="SectionNumber"/>
        </w:rPr>
        <w:t xml:space="preserve">6.1</w:t>
      </w:r>
      <w:r>
        <w:tab/>
      </w:r>
      <w:r>
        <w:t xml:space="preserve">Academic Study Results</w:t>
      </w:r>
    </w:p>
    <w:bookmarkStart w:id="80"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0"/>
    <w:bookmarkStart w:id="81"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1"/>
    <w:bookmarkStart w:id="82"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2"/>
    <w:bookmarkStart w:id="83"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3"/>
    <w:bookmarkEnd w:id="84"/>
    <w:bookmarkStart w:id="86" w:name="real-world-case-studies"/>
    <w:p>
      <w:pPr>
        <w:pStyle w:val="Heading2"/>
      </w:pPr>
      <w:r>
        <w:rPr>
          <w:rStyle w:val="SectionNumber"/>
        </w:rPr>
        <w:t xml:space="preserve">6.2</w:t>
      </w:r>
      <w:r>
        <w:tab/>
      </w:r>
      <w:r>
        <w:t xml:space="preserve">Real-World Case Studies</w:t>
      </w:r>
    </w:p>
    <w:bookmarkStart w:id="85"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5"/>
    <w:bookmarkEnd w:id="86"/>
    <w:bookmarkStart w:id="89" w:name="economic-impact-analysis"/>
    <w:p>
      <w:pPr>
        <w:pStyle w:val="Heading2"/>
      </w:pPr>
      <w:r>
        <w:rPr>
          <w:rStyle w:val="SectionNumber"/>
        </w:rPr>
        <w:t xml:space="preserve">6.3</w:t>
      </w:r>
      <w:r>
        <w:tab/>
      </w:r>
      <w:r>
        <w:t xml:space="preserve">Economic Impact Analysis</w:t>
      </w:r>
    </w:p>
    <w:bookmarkStart w:id="87"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7"/>
    <w:bookmarkStart w:id="88"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8"/>
    <w:bookmarkEnd w:id="89"/>
    <w:bookmarkEnd w:id="90"/>
    <w:bookmarkStart w:id="112" w:name="discussion"/>
    <w:p>
      <w:pPr>
        <w:pStyle w:val="Heading1"/>
      </w:pPr>
      <w:r>
        <w:rPr>
          <w:rStyle w:val="SectionNumber"/>
        </w:rPr>
        <w:t xml:space="preserve">7</w:t>
      </w:r>
      <w:r>
        <w:tab/>
      </w:r>
      <w:r>
        <w:t xml:space="preserve">Discussion</w:t>
      </w:r>
    </w:p>
    <w:bookmarkStart w:id="96"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1"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1"/>
    <w:bookmarkStart w:id="92"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2"/>
    <w:bookmarkStart w:id="93"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3"/>
    <w:bookmarkStart w:id="94"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4"/>
    <w:bookmarkStart w:id="95"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5"/>
    <w:bookmarkEnd w:id="96"/>
    <w:bookmarkStart w:id="103"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7"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7"/>
    <w:bookmarkStart w:id="98"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8"/>
    <w:bookmarkStart w:id="99"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9"/>
    <w:bookmarkStart w:id="100"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0"/>
    <w:bookmarkStart w:id="101"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1"/>
    <w:bookmarkStart w:id="102"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2"/>
    <w:bookmarkEnd w:id="103"/>
    <w:bookmarkStart w:id="107"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4"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4"/>
    <w:bookmarkStart w:id="105"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5"/>
    <w:bookmarkStart w:id="106"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6"/>
    <w:bookmarkEnd w:id="107"/>
    <w:bookmarkStart w:id="111"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8"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8"/>
    <w:bookmarkStart w:id="109"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09"/>
    <w:bookmarkStart w:id="110"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0"/>
    <w:bookmarkEnd w:id="111"/>
    <w:bookmarkEnd w:id="112"/>
    <w:bookmarkStart w:id="119"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3"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37"/>
        </w:numPr>
      </w:pPr>
      <w:r>
        <w:rPr>
          <w:b/>
          <w:bCs/>
        </w:rPr>
        <w:t xml:space="preserve">Workforce turnover</w:t>
      </w:r>
      <w:r>
        <w:t xml:space="preserve"> </w:t>
      </w:r>
      <w:r>
        <w:t xml:space="preserve">(34% annually for healthcare IT staff [A10]) causes institutional memory loss that disrupts care continuity and erodes the knowledge base essential for quality improvement</w:t>
      </w:r>
    </w:p>
    <w:p>
      <w:pPr>
        <w:pStyle w:val="Compact"/>
        <w:numPr>
          <w:ilvl w:val="0"/>
          <w:numId w:val="1037"/>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3"/>
    <w:bookmarkStart w:id="114"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4"/>
    <w:bookmarkStart w:id="115"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5"/>
    <w:bookmarkStart w:id="116"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6"/>
    <w:bookmarkStart w:id="117"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7"/>
    <w:bookmarkStart w:id="118"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8"/>
    <w:bookmarkEnd w:id="119"/>
    <w:bookmarkStart w:id="120"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0"/>
    <w:bookmarkStart w:id="121"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1"/>
    <w:bookmarkStart w:id="122"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2"/>
    <w:bookmarkStart w:id="123"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3"/>
    <w:bookmarkStart w:id="124"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4"/>
    <w:bookmarkStart w:id="125"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5"/>
    <w:bookmarkStart w:id="128" w:name="references"/>
    <w:p>
      <w:pPr>
        <w:pStyle w:val="Heading1"/>
      </w:pPr>
      <w:r>
        <w:rPr>
          <w:rStyle w:val="SectionNumber"/>
        </w:rPr>
        <w:t xml:space="preserve">15</w:t>
      </w:r>
      <w:r>
        <w:tab/>
      </w:r>
      <w:r>
        <w:t xml:space="preserve">References</w:t>
      </w:r>
    </w:p>
    <w:bookmarkStart w:id="126"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bookmarkEnd w:id="126"/>
    <w:bookmarkStart w:id="127"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7"/>
    <w:bookmarkEnd w:id="128"/>
    <w:bookmarkStart w:id="135" w:name="appendices"/>
    <w:p>
      <w:pPr>
        <w:pStyle w:val="Heading1"/>
      </w:pPr>
      <w:r>
        <w:rPr>
          <w:rStyle w:val="SectionNumber"/>
        </w:rPr>
        <w:t xml:space="preserve">16</w:t>
      </w:r>
      <w:r>
        <w:tab/>
      </w:r>
      <w:r>
        <w:t xml:space="preserve">Appendices</w:t>
      </w:r>
    </w:p>
    <w:bookmarkStart w:id="129"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9"/>
    <w:bookmarkStart w:id="130"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0"/>
    <w:bookmarkStart w:id="134" w:name="Xbfd30549e6247e2f3e5132a039875af0e2849bb"/>
    <w:p>
      <w:pPr>
        <w:pStyle w:val="Heading2"/>
      </w:pPr>
      <w:r>
        <w:rPr>
          <w:rStyle w:val="SectionNumber"/>
        </w:rPr>
        <w:t xml:space="preserve">16.3</w:t>
      </w:r>
      <w:r>
        <w:tab/>
      </w:r>
      <w:r>
        <w:t xml:space="preserve">Appendix C: Healthcare NL2SQL Query Examples</w:t>
      </w:r>
    </w:p>
    <w:bookmarkStart w:id="131"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1"/>
    <w:bookmarkStart w:id="132"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2"/>
    <w:bookmarkStart w:id="133"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2025-12-16T04:13:15Z</dcterms:created>
  <dcterms:modified xsi:type="dcterms:W3CDTF">2025-12-16T04:13:15Z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