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37" w:name="methodology"/>
    <w:p>
      <w:pPr>
        <w:pStyle w:val="Heading1"/>
      </w:pPr>
      <w:r>
        <w:rPr>
          <w:rStyle w:val="SectionNumber"/>
        </w:rPr>
        <w:t xml:space="preserve">3</w:t>
      </w:r>
      <w:r>
        <w:tab/>
      </w:r>
      <w:r>
        <w:t xml:space="preserve">Methodology</w:t>
      </w:r>
    </w:p>
    <w:bookmarkStart w:id="32"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3"/>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3"/>
        </w:numPr>
      </w:pPr>
      <w:r>
        <w:rPr>
          <w:b/>
          <w:bCs/>
        </w:rPr>
        <w:t xml:space="preserve">Original analytical framework</w:t>
      </w:r>
      <w:r>
        <w:t xml:space="preserve">: The three-pillar framework emerged iteratively from the literature rather than being pre-specified</w:t>
      </w:r>
    </w:p>
    <w:p>
      <w:pPr>
        <w:pStyle w:val="Compact"/>
        <w:numPr>
          <w:ilvl w:val="0"/>
          <w:numId w:val="1003"/>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4"/>
        </w:numPr>
      </w:pPr>
      <w:r>
        <w:t xml:space="preserve">PubMed/MEDLINE: Clinical informatics, healthcare workforce, medical administration</w:t>
      </w:r>
    </w:p>
    <w:p>
      <w:pPr>
        <w:pStyle w:val="Compact"/>
        <w:numPr>
          <w:ilvl w:val="0"/>
          <w:numId w:val="1004"/>
        </w:numPr>
      </w:pPr>
      <w:r>
        <w:t xml:space="preserve">IEEE Xplore and ACM Digital Library: Natural language to SQL, text-to-SQL systems</w:t>
      </w:r>
    </w:p>
    <w:p>
      <w:pPr>
        <w:pStyle w:val="Compact"/>
        <w:numPr>
          <w:ilvl w:val="0"/>
          <w:numId w:val="1004"/>
        </w:numPr>
      </w:pPr>
      <w:r>
        <w:t xml:space="preserve">arXiv: Machine learning and NLP preprints, benchmark studies</w:t>
      </w:r>
    </w:p>
    <w:p>
      <w:pPr>
        <w:pStyle w:val="Compact"/>
        <w:numPr>
          <w:ilvl w:val="0"/>
          <w:numId w:val="1004"/>
        </w:numPr>
      </w:pPr>
      <w:r>
        <w:t xml:space="preserve">Google Scholar: Cross-disciplinary search and citation tracing</w:t>
      </w:r>
    </w:p>
    <w:p>
      <w:pPr>
        <w:pStyle w:val="FirstParagraph"/>
      </w:pPr>
      <w:r>
        <w:rPr>
          <w:b/>
          <w:bCs/>
        </w:rPr>
        <w:t xml:space="preserve">Industry Sources:</w:t>
      </w:r>
    </w:p>
    <w:p>
      <w:pPr>
        <w:pStyle w:val="Compact"/>
        <w:numPr>
          <w:ilvl w:val="0"/>
          <w:numId w:val="1005"/>
        </w:numPr>
      </w:pPr>
      <w:r>
        <w:t xml:space="preserve">HIMSS publications and Analytics Maturity Model documentation</w:t>
      </w:r>
    </w:p>
    <w:p>
      <w:pPr>
        <w:pStyle w:val="Compact"/>
        <w:numPr>
          <w:ilvl w:val="0"/>
          <w:numId w:val="1005"/>
        </w:numPr>
      </w:pPr>
      <w:r>
        <w:t xml:space="preserve">Healthcare IT vendor case studies and implementation reports</w:t>
      </w:r>
    </w:p>
    <w:p>
      <w:pPr>
        <w:pStyle w:val="Compact"/>
        <w:numPr>
          <w:ilvl w:val="0"/>
          <w:numId w:val="1005"/>
        </w:numPr>
      </w:pPr>
      <w:r>
        <w:t xml:space="preserve">Market research reports (Precedence Research, Forrester)</w:t>
      </w:r>
    </w:p>
    <w:p>
      <w:pPr>
        <w:pStyle w:val="Compact"/>
        <w:numPr>
          <w:ilvl w:val="0"/>
          <w:numId w:val="1005"/>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3"/>
    <w:bookmarkStart w:id="34"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6"/>
        </w:numPr>
      </w:pPr>
      <w:r>
        <w:t xml:space="preserve">Peer-reviewed publications in healthcare informatics, medical informatics, computer science, or health services research</w:t>
      </w:r>
    </w:p>
    <w:p>
      <w:pPr>
        <w:pStyle w:val="Compact"/>
        <w:numPr>
          <w:ilvl w:val="0"/>
          <w:numId w:val="1006"/>
        </w:numPr>
      </w:pPr>
      <w:r>
        <w:t xml:space="preserve">Industry reports from established healthcare IT organizations (HIMSS, AHIMA, AMIA)</w:t>
      </w:r>
    </w:p>
    <w:p>
      <w:pPr>
        <w:pStyle w:val="Compact"/>
        <w:numPr>
          <w:ilvl w:val="0"/>
          <w:numId w:val="1006"/>
        </w:numPr>
      </w:pPr>
      <w:r>
        <w:t xml:space="preserve">Publications from 2015-2024, with emphasis on 2020-2024 for rapidly evolving NL2SQL technologies</w:t>
      </w:r>
    </w:p>
    <w:p>
      <w:pPr>
        <w:pStyle w:val="Compact"/>
        <w:numPr>
          <w:ilvl w:val="0"/>
          <w:numId w:val="1006"/>
        </w:numPr>
      </w:pPr>
      <w:r>
        <w:t xml:space="preserve">English language publications</w:t>
      </w:r>
    </w:p>
    <w:p>
      <w:pPr>
        <w:pStyle w:val="Compact"/>
        <w:numPr>
          <w:ilvl w:val="0"/>
          <w:numId w:val="1006"/>
        </w:numPr>
      </w:pPr>
      <w:r>
        <w:t xml:space="preserve">Sources with verifiable DOIs, URLs, or institutional attribution</w:t>
      </w:r>
    </w:p>
    <w:p>
      <w:pPr>
        <w:pStyle w:val="FirstParagraph"/>
      </w:pPr>
      <w:r>
        <w:rPr>
          <w:b/>
          <w:bCs/>
        </w:rPr>
        <w:t xml:space="preserve">Exclusion Criteria:</w:t>
      </w:r>
    </w:p>
    <w:p>
      <w:pPr>
        <w:pStyle w:val="Compact"/>
        <w:numPr>
          <w:ilvl w:val="0"/>
          <w:numId w:val="1007"/>
        </w:numPr>
      </w:pPr>
      <w:r>
        <w:t xml:space="preserve">Sources without verifiable attribution or institutional backing</w:t>
      </w:r>
    </w:p>
    <w:p>
      <w:pPr>
        <w:pStyle w:val="Compact"/>
        <w:numPr>
          <w:ilvl w:val="0"/>
          <w:numId w:val="1007"/>
        </w:numPr>
      </w:pPr>
      <w:r>
        <w:t xml:space="preserve">Vendor marketing materials without independent validation</w:t>
      </w:r>
    </w:p>
    <w:p>
      <w:pPr>
        <w:pStyle w:val="Compact"/>
        <w:numPr>
          <w:ilvl w:val="0"/>
          <w:numId w:val="1007"/>
        </w:numPr>
      </w:pPr>
      <w:r>
        <w:t xml:space="preserve">Preprints without subsequent peer-reviewed publication (exception: foundational NL2SQL benchmarks where peer review is pending)</w:t>
      </w:r>
    </w:p>
    <w:p>
      <w:pPr>
        <w:pStyle w:val="Compact"/>
        <w:numPr>
          <w:ilvl w:val="0"/>
          <w:numId w:val="1007"/>
        </w:numPr>
      </w:pPr>
      <w:r>
        <w:t xml:space="preserve">Studies with unverifiable statistics or methodological concerns</w:t>
      </w:r>
    </w:p>
    <w:bookmarkEnd w:id="34"/>
    <w:bookmarkStart w:id="35"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8"/>
        </w:numPr>
      </w:pPr>
      <w:r>
        <w:rPr>
          <w:b/>
          <w:bCs/>
        </w:rPr>
        <w:t xml:space="preserve">Analytics maturity</w:t>
      </w:r>
      <w:r>
        <w:t xml:space="preserve">: Evidence on HIMSS AMAM adoption, healthcare analytics capabilities, and organizational readiness</w:t>
      </w:r>
    </w:p>
    <w:p>
      <w:pPr>
        <w:pStyle w:val="Compact"/>
        <w:numPr>
          <w:ilvl w:val="0"/>
          <w:numId w:val="1008"/>
        </w:numPr>
      </w:pPr>
      <w:r>
        <w:rPr>
          <w:b/>
          <w:bCs/>
        </w:rPr>
        <w:t xml:space="preserve">Workforce turnover</w:t>
      </w:r>
      <w:r>
        <w:t xml:space="preserve">: Evidence on nursing and IT staff turnover rates, institutional memory loss, and knowledge transfer challenges</w:t>
      </w:r>
    </w:p>
    <w:p>
      <w:pPr>
        <w:pStyle w:val="Compact"/>
        <w:numPr>
          <w:ilvl w:val="0"/>
          <w:numId w:val="1008"/>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5"/>
    <w:bookmarkStart w:id="36"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09"/>
        </w:numPr>
      </w:pPr>
      <w:r>
        <w:rPr>
          <w:b/>
          <w:bCs/>
        </w:rPr>
        <w:t xml:space="preserve">Non-exhaustive search</w:t>
      </w:r>
      <w:r>
        <w:t xml:space="preserve">: Literature identification was selective rather than exhaustive; relevant studies may have been missed</w:t>
      </w:r>
    </w:p>
    <w:p>
      <w:pPr>
        <w:pStyle w:val="Compact"/>
        <w:numPr>
          <w:ilvl w:val="0"/>
          <w:numId w:val="1009"/>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09"/>
        </w:numPr>
      </w:pPr>
      <w:r>
        <w:rPr>
          <w:b/>
          <w:bCs/>
        </w:rPr>
        <w:t xml:space="preserve">Single author synthesis</w:t>
      </w:r>
      <w:r>
        <w:t xml:space="preserve">: Evidence synthesis reflects a single author’s interpretation, which may introduce perspective bias</w:t>
      </w:r>
    </w:p>
    <w:p>
      <w:pPr>
        <w:pStyle w:val="Compact"/>
        <w:numPr>
          <w:ilvl w:val="0"/>
          <w:numId w:val="1009"/>
        </w:numPr>
      </w:pPr>
      <w:r>
        <w:rPr>
          <w:b/>
          <w:bCs/>
        </w:rPr>
        <w:t xml:space="preserve">Post-hoc selection criteria</w:t>
      </w:r>
      <w:r>
        <w:t xml:space="preserve">: Inclusion and exclusion criteria were refined during the review process rather than pre-registered</w:t>
      </w:r>
    </w:p>
    <w:p>
      <w:pPr>
        <w:pStyle w:val="Compact"/>
        <w:numPr>
          <w:ilvl w:val="0"/>
          <w:numId w:val="1009"/>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6"/>
    <w:bookmarkEnd w:id="37"/>
    <w:bookmarkStart w:id="63"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1" w:name="X79e53be5adb6b9863f8ca49c43cb7059ea634a1"/>
    <w:p>
      <w:pPr>
        <w:pStyle w:val="Heading2"/>
      </w:pPr>
      <w:r>
        <w:rPr>
          <w:rStyle w:val="SectionNumber"/>
        </w:rPr>
        <w:t xml:space="preserve">4.1</w:t>
      </w:r>
      <w:r>
        <w:tab/>
      </w:r>
      <w:r>
        <w:t xml:space="preserve">1. Current State of Natural Language to SQL Generation</w:t>
      </w:r>
    </w:p>
    <w:bookmarkStart w:id="38"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8"/>
    <w:bookmarkStart w:id="39"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39"/>
    <w:bookmarkStart w:id="40"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0"/>
    <w:bookmarkEnd w:id="41"/>
    <w:bookmarkStart w:id="45" w:name="state-of-healthcare-analytics-maturity"/>
    <w:p>
      <w:pPr>
        <w:pStyle w:val="Heading2"/>
      </w:pPr>
      <w:r>
        <w:rPr>
          <w:rStyle w:val="SectionNumber"/>
        </w:rPr>
        <w:t xml:space="preserve">4.2</w:t>
      </w:r>
      <w:r>
        <w:tab/>
      </w:r>
      <w:r>
        <w:t xml:space="preserve">2. State of Healthcare Analytics Maturity</w:t>
      </w:r>
    </w:p>
    <w:bookmarkStart w:id="42"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2"/>
    <w:bookmarkStart w:id="43"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0"/>
        </w:numPr>
      </w:pPr>
      <w:r>
        <w:t xml:space="preserve">Fragmented data sources without integration</w:t>
      </w:r>
    </w:p>
    <w:p>
      <w:pPr>
        <w:pStyle w:val="Compact"/>
        <w:numPr>
          <w:ilvl w:val="0"/>
          <w:numId w:val="1010"/>
        </w:numPr>
      </w:pPr>
      <w:r>
        <w:t xml:space="preserve">Limited automated reporting capabilities</w:t>
      </w:r>
    </w:p>
    <w:p>
      <w:pPr>
        <w:pStyle w:val="Compact"/>
        <w:numPr>
          <w:ilvl w:val="0"/>
          <w:numId w:val="1010"/>
        </w:numPr>
      </w:pPr>
      <w:r>
        <w:t xml:space="preserve">Lack of standardized data governance</w:t>
      </w:r>
    </w:p>
    <w:p>
      <w:pPr>
        <w:pStyle w:val="Compact"/>
        <w:numPr>
          <w:ilvl w:val="0"/>
          <w:numId w:val="1010"/>
        </w:numPr>
      </w:pPr>
      <w:r>
        <w:t xml:space="preserve">Minimal predictive or prescriptive analytics</w:t>
      </w:r>
    </w:p>
    <w:p>
      <w:pPr>
        <w:pStyle w:val="Compact"/>
        <w:numPr>
          <w:ilvl w:val="0"/>
          <w:numId w:val="1010"/>
        </w:numPr>
      </w:pPr>
      <w:r>
        <w:t xml:space="preserve">Absence of real-time decision support</w:t>
      </w:r>
    </w:p>
    <w:bookmarkEnd w:id="43"/>
    <w:bookmarkStart w:id="44"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w:t>
      </w:r>
    </w:p>
    <w:bookmarkEnd w:id="44"/>
    <w:bookmarkEnd w:id="45"/>
    <w:bookmarkStart w:id="49" w:name="X033aaa01add75caa19416ed7b909f71ff5bd76d"/>
    <w:p>
      <w:pPr>
        <w:pStyle w:val="Heading2"/>
      </w:pPr>
      <w:r>
        <w:rPr>
          <w:rStyle w:val="SectionNumber"/>
        </w:rPr>
        <w:t xml:space="preserve">4.3</w:t>
      </w:r>
      <w:r>
        <w:tab/>
      </w:r>
      <w:r>
        <w:t xml:space="preserve">3. Healthcare Workforce Turnover and Knowledge Loss</w:t>
      </w:r>
    </w:p>
    <w:bookmarkStart w:id="46"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6"/>
    <w:bookmarkStart w:id="47"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7"/>
    <w:bookmarkStart w:id="48"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1"/>
        </w:numPr>
      </w:pPr>
      <w:r>
        <w:t xml:space="preserve">Traditional knowledge transfer mechanisms show limited effectiveness</w:t>
      </w:r>
    </w:p>
    <w:p>
      <w:pPr>
        <w:pStyle w:val="Compact"/>
        <w:numPr>
          <w:ilvl w:val="0"/>
          <w:numId w:val="1011"/>
        </w:numPr>
      </w:pPr>
      <w:r>
        <w:t xml:space="preserve">Organizations struggle to capture and maintain analytical expertise</w:t>
      </w:r>
    </w:p>
    <w:p>
      <w:pPr>
        <w:pStyle w:val="Compact"/>
        <w:numPr>
          <w:ilvl w:val="0"/>
          <w:numId w:val="1011"/>
        </w:numPr>
      </w:pPr>
      <w:r>
        <w:t xml:space="preserve">Security concerns and employee resistance to change slow the pace of information system acceptance [A18]</w:t>
      </w:r>
    </w:p>
    <w:p>
      <w:pPr>
        <w:pStyle w:val="Compact"/>
        <w:numPr>
          <w:ilvl w:val="0"/>
          <w:numId w:val="1011"/>
        </w:numPr>
      </w:pPr>
      <w:r>
        <w:t xml:space="preserve">Person-to-person knowledge transfer fails during rapid turnover cycles</w:t>
      </w:r>
    </w:p>
    <w:bookmarkEnd w:id="48"/>
    <w:bookmarkEnd w:id="49"/>
    <w:bookmarkStart w:id="53" w:name="X4fcdb465b5d130fc136a191f4ad96d06b004362"/>
    <w:p>
      <w:pPr>
        <w:pStyle w:val="Heading2"/>
      </w:pPr>
      <w:r>
        <w:rPr>
          <w:rStyle w:val="SectionNumber"/>
        </w:rPr>
        <w:t xml:space="preserve">4.4</w:t>
      </w:r>
      <w:r>
        <w:tab/>
      </w:r>
      <w:r>
        <w:t xml:space="preserve">4. Integration of Evidence: The Case for Conversational AI</w:t>
      </w:r>
    </w:p>
    <w:bookmarkStart w:id="50"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0"/>
    <w:bookmarkStart w:id="51"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2"/>
        </w:numPr>
      </w:pPr>
      <w:r>
        <w:t xml:space="preserve">Capturing decision-making patterns through usage</w:t>
      </w:r>
    </w:p>
    <w:p>
      <w:pPr>
        <w:pStyle w:val="Compact"/>
        <w:numPr>
          <w:ilvl w:val="0"/>
          <w:numId w:val="1012"/>
        </w:numPr>
      </w:pPr>
      <w:r>
        <w:t xml:space="preserve">Encoding best practices in accessible formats</w:t>
      </w:r>
    </w:p>
    <w:p>
      <w:pPr>
        <w:pStyle w:val="Compact"/>
        <w:numPr>
          <w:ilvl w:val="0"/>
          <w:numId w:val="1012"/>
        </w:numPr>
      </w:pPr>
      <w:r>
        <w:t xml:space="preserve">Providing context-aware guidance to new users</w:t>
      </w:r>
    </w:p>
    <w:p>
      <w:pPr>
        <w:pStyle w:val="Compact"/>
        <w:numPr>
          <w:ilvl w:val="0"/>
          <w:numId w:val="1012"/>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1"/>
    <w:bookmarkStart w:id="52"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2"/>
    <w:bookmarkEnd w:id="53"/>
    <w:bookmarkStart w:id="57" w:name="Xe532debb859e62ad2038db373f15ff8608a8c3a"/>
    <w:p>
      <w:pPr>
        <w:pStyle w:val="Heading2"/>
      </w:pPr>
      <w:r>
        <w:rPr>
          <w:rStyle w:val="SectionNumber"/>
        </w:rPr>
        <w:t xml:space="preserve">4.5</w:t>
      </w:r>
      <w:r>
        <w:tab/>
      </w:r>
      <w:r>
        <w:t xml:space="preserve">5. Implications for Healthcare Organizations</w:t>
      </w:r>
    </w:p>
    <w:bookmarkStart w:id="54"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4"/>
    <w:bookmarkStart w:id="55"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5"/>
    <w:bookmarkStart w:id="56"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6"/>
    <w:bookmarkEnd w:id="57"/>
    <w:bookmarkStart w:id="58"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3"/>
        </w:numPr>
      </w:pPr>
      <w:r>
        <w:rPr>
          <w:b/>
          <w:bCs/>
        </w:rPr>
        <w:t xml:space="preserve">Long-term outcomes</w:t>
      </w:r>
      <w:r>
        <w:t xml:space="preserve">: Most studies examine 6-24 month implementations; multi-year impacts remain understudied</w:t>
      </w:r>
    </w:p>
    <w:p>
      <w:pPr>
        <w:pStyle w:val="Compact"/>
        <w:numPr>
          <w:ilvl w:val="0"/>
          <w:numId w:val="1013"/>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3"/>
        </w:numPr>
      </w:pPr>
      <w:r>
        <w:rPr>
          <w:b/>
          <w:bCs/>
        </w:rPr>
        <w:t xml:space="preserve">Governance frameworks</w:t>
      </w:r>
      <w:r>
        <w:t xml:space="preserve">: Limited research on optimal governance models for democratized analytics</w:t>
      </w:r>
    </w:p>
    <w:p>
      <w:pPr>
        <w:pStyle w:val="Compact"/>
        <w:numPr>
          <w:ilvl w:val="0"/>
          <w:numId w:val="1013"/>
        </w:numPr>
      </w:pPr>
      <w:r>
        <w:rPr>
          <w:b/>
          <w:bCs/>
        </w:rPr>
        <w:t xml:space="preserve">Training methodologies</w:t>
      </w:r>
      <w:r>
        <w:t xml:space="preserve">: Best practices for transitioning from traditional to conversational analytics lack empirical validation</w:t>
      </w:r>
    </w:p>
    <w:p>
      <w:pPr>
        <w:pStyle w:val="Compact"/>
        <w:numPr>
          <w:ilvl w:val="0"/>
          <w:numId w:val="1013"/>
        </w:numPr>
      </w:pPr>
      <w:r>
        <w:rPr>
          <w:b/>
          <w:bCs/>
        </w:rPr>
        <w:t xml:space="preserve">Integration patterns</w:t>
      </w:r>
      <w:r>
        <w:t xml:space="preserve">: Architectural guidance for incorporating conversational AI into existing healthcare IT ecosystems remains sparse</w:t>
      </w:r>
    </w:p>
    <w:bookmarkEnd w:id="58"/>
    <w:bookmarkStart w:id="62"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9"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9"/>
    <w:bookmarkStart w:id="60"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0"/>
    <w:bookmarkStart w:id="61"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1"/>
    <w:bookmarkEnd w:id="62"/>
    <w:bookmarkEnd w:id="63"/>
    <w:bookmarkStart w:id="78"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4"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4"/>
        </w:numPr>
      </w:pPr>
      <w:r>
        <w:rPr>
          <w:b/>
          <w:bCs/>
        </w:rPr>
        <w:t xml:space="preserve">Technical Barrier Elimination</w:t>
      </w:r>
      <w:r>
        <w:t xml:space="preserve">: Natural language interfaces replace SQL requirements</w:t>
      </w:r>
    </w:p>
    <w:p>
      <w:pPr>
        <w:pStyle w:val="Compact"/>
        <w:numPr>
          <w:ilvl w:val="0"/>
          <w:numId w:val="1014"/>
        </w:numPr>
      </w:pPr>
      <w:r>
        <w:rPr>
          <w:b/>
          <w:bCs/>
        </w:rPr>
        <w:t xml:space="preserve">Analytics Maturity Acceleration</w:t>
      </w:r>
      <w:r>
        <w:t xml:space="preserve">: Democratized access enables broader organizational capability</w:t>
      </w:r>
    </w:p>
    <w:p>
      <w:pPr>
        <w:pStyle w:val="Compact"/>
        <w:numPr>
          <w:ilvl w:val="0"/>
          <w:numId w:val="1014"/>
        </w:numPr>
      </w:pPr>
      <w:r>
        <w:rPr>
          <w:b/>
          <w:bCs/>
        </w:rPr>
        <w:t xml:space="preserve">Institutional Memory Preservation</w:t>
      </w:r>
      <w:r>
        <w:t xml:space="preserve">: AI models embed organizational knowledge and expertise</w:t>
      </w:r>
    </w:p>
    <w:bookmarkEnd w:id="64"/>
    <w:bookmarkStart w:id="69" w:name="core-capabilities"/>
    <w:p>
      <w:pPr>
        <w:pStyle w:val="Heading2"/>
      </w:pPr>
      <w:r>
        <w:rPr>
          <w:rStyle w:val="SectionNumber"/>
        </w:rPr>
        <w:t xml:space="preserve">5.2</w:t>
      </w:r>
      <w:r>
        <w:tab/>
      </w:r>
      <w:r>
        <w:t xml:space="preserve">Core Capabilities</w:t>
      </w:r>
    </w:p>
    <w:bookmarkStart w:id="65"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5"/>
        </w:numPr>
      </w:pPr>
      <w:r>
        <w:rPr>
          <w:b/>
          <w:bCs/>
        </w:rPr>
        <w:t xml:space="preserve">Medical Terminology Recognition</w:t>
      </w:r>
      <w:r>
        <w:t xml:space="preserve">: Integration with ICD-10, CPT, RxNorm, and SNOMED vocabularies</w:t>
      </w:r>
    </w:p>
    <w:p>
      <w:pPr>
        <w:pStyle w:val="Compact"/>
        <w:numPr>
          <w:ilvl w:val="0"/>
          <w:numId w:val="1015"/>
        </w:numPr>
      </w:pPr>
      <w:r>
        <w:rPr>
          <w:b/>
          <w:bCs/>
        </w:rPr>
        <w:t xml:space="preserve">Context-Aware Processing</w:t>
      </w:r>
      <w:r>
        <w:t xml:space="preserve">: Understanding of clinical workflows and temporal relationships</w:t>
      </w:r>
    </w:p>
    <w:p>
      <w:pPr>
        <w:pStyle w:val="Compact"/>
        <w:numPr>
          <w:ilvl w:val="0"/>
          <w:numId w:val="1015"/>
        </w:numPr>
      </w:pPr>
      <w:r>
        <w:rPr>
          <w:b/>
          <w:bCs/>
        </w:rPr>
        <w:t xml:space="preserve">Ambiguity Resolution</w:t>
      </w:r>
      <w:r>
        <w:t xml:space="preserve">: Intelligent disambiguation of medical terms based on organizational usage patterns</w:t>
      </w:r>
    </w:p>
    <w:p>
      <w:pPr>
        <w:pStyle w:val="Compact"/>
        <w:numPr>
          <w:ilvl w:val="0"/>
          <w:numId w:val="1015"/>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5"/>
    <w:bookmarkStart w:id="66" w:name="X98880b287a44233e5bbd8ef010c0f1e1c4f6bdc"/>
    <w:p>
      <w:pPr>
        <w:pStyle w:val="Heading3"/>
      </w:pPr>
      <w:r>
        <w:rPr>
          <w:rStyle w:val="SectionNumber"/>
        </w:rPr>
        <w:t xml:space="preserve">5.2.2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16"/>
        </w:numPr>
      </w:pPr>
      <w:r>
        <w:rPr>
          <w:b/>
          <w:bCs/>
        </w:rPr>
        <w:t xml:space="preserve">Usage Pattern Learning</w:t>
      </w:r>
      <w:r>
        <w:t xml:space="preserve">: AI models continuously learn from successful query patterns and analytical approaches</w:t>
      </w:r>
    </w:p>
    <w:p>
      <w:pPr>
        <w:pStyle w:val="Compact"/>
        <w:numPr>
          <w:ilvl w:val="0"/>
          <w:numId w:val="1016"/>
        </w:numPr>
      </w:pPr>
      <w:r>
        <w:rPr>
          <w:b/>
          <w:bCs/>
        </w:rPr>
        <w:t xml:space="preserve">Best Practice Encoding</w:t>
      </w:r>
      <w:r>
        <w:t xml:space="preserve">: Organizational standards and preferred methodologies embedded in response generation</w:t>
      </w:r>
    </w:p>
    <w:p>
      <w:pPr>
        <w:pStyle w:val="Compact"/>
        <w:numPr>
          <w:ilvl w:val="0"/>
          <w:numId w:val="1016"/>
        </w:numPr>
      </w:pPr>
      <w:r>
        <w:rPr>
          <w:b/>
          <w:bCs/>
        </w:rPr>
        <w:t xml:space="preserve">Context Memory</w:t>
      </w:r>
      <w:r>
        <w:t xml:space="preserve">: Retention of organizational data definitions, business rules, and analytical conventions</w:t>
      </w:r>
    </w:p>
    <w:p>
      <w:pPr>
        <w:pStyle w:val="Compact"/>
        <w:numPr>
          <w:ilvl w:val="0"/>
          <w:numId w:val="1016"/>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6"/>
    <w:bookmarkStart w:id="67"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7"/>
        </w:numPr>
      </w:pPr>
      <w:r>
        <w:rPr>
          <w:b/>
          <w:bCs/>
        </w:rPr>
        <w:t xml:space="preserve">Guided Discovery</w:t>
      </w:r>
      <w:r>
        <w:t xml:space="preserve">: AI-assisted exploration of data relationships and analytical opportunities</w:t>
      </w:r>
    </w:p>
    <w:p>
      <w:pPr>
        <w:pStyle w:val="Compact"/>
        <w:numPr>
          <w:ilvl w:val="0"/>
          <w:numId w:val="1017"/>
        </w:numPr>
      </w:pPr>
      <w:r>
        <w:rPr>
          <w:b/>
          <w:bCs/>
        </w:rPr>
        <w:t xml:space="preserve">Self-Service Analytics</w:t>
      </w:r>
      <w:r>
        <w:t xml:space="preserve">: Clinical staff independently performing complex analyses without technical training</w:t>
      </w:r>
    </w:p>
    <w:p>
      <w:pPr>
        <w:pStyle w:val="Compact"/>
        <w:numPr>
          <w:ilvl w:val="0"/>
          <w:numId w:val="1017"/>
        </w:numPr>
      </w:pPr>
      <w:r>
        <w:rPr>
          <w:b/>
          <w:bCs/>
        </w:rPr>
        <w:t xml:space="preserve">Governance Integration</w:t>
      </w:r>
      <w:r>
        <w:t xml:space="preserve">: Automated compliance with organizational data policies and access controls</w:t>
      </w:r>
    </w:p>
    <w:p>
      <w:pPr>
        <w:pStyle w:val="Compact"/>
        <w:numPr>
          <w:ilvl w:val="0"/>
          <w:numId w:val="1017"/>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7"/>
    <w:bookmarkStart w:id="68"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8"/>
        </w:numPr>
      </w:pPr>
      <w:r>
        <w:rPr>
          <w:b/>
          <w:bCs/>
        </w:rPr>
        <w:t xml:space="preserve">Schema-Aware Generation</w:t>
      </w:r>
      <w:r>
        <w:t xml:space="preserve">: Deep understanding of healthcare data warehouse structures and relationships</w:t>
      </w:r>
    </w:p>
    <w:p>
      <w:pPr>
        <w:pStyle w:val="Compact"/>
        <w:numPr>
          <w:ilvl w:val="0"/>
          <w:numId w:val="1018"/>
        </w:numPr>
      </w:pPr>
      <w:r>
        <w:rPr>
          <w:b/>
          <w:bCs/>
        </w:rPr>
        <w:t xml:space="preserve">Performance Optimization</w:t>
      </w:r>
      <w:r>
        <w:t xml:space="preserve">: Query efficiency optimization for large healthcare datasets</w:t>
      </w:r>
    </w:p>
    <w:p>
      <w:pPr>
        <w:pStyle w:val="Compact"/>
        <w:numPr>
          <w:ilvl w:val="0"/>
          <w:numId w:val="1018"/>
        </w:numPr>
      </w:pPr>
      <w:r>
        <w:rPr>
          <w:b/>
          <w:bCs/>
        </w:rPr>
        <w:t xml:space="preserve">Error Detection and Correction</w:t>
      </w:r>
      <w:r>
        <w:t xml:space="preserve">: Intelligent validation and suggestion of query improvements</w:t>
      </w:r>
    </w:p>
    <w:p>
      <w:pPr>
        <w:pStyle w:val="Compact"/>
        <w:numPr>
          <w:ilvl w:val="0"/>
          <w:numId w:val="1018"/>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8"/>
    <w:bookmarkEnd w:id="69"/>
    <w:bookmarkStart w:id="73" w:name="implementation-framework"/>
    <w:p>
      <w:pPr>
        <w:pStyle w:val="Heading2"/>
      </w:pPr>
      <w:r>
        <w:rPr>
          <w:rStyle w:val="SectionNumber"/>
        </w:rPr>
        <w:t xml:space="preserve">5.3</w:t>
      </w:r>
      <w:r>
        <w:tab/>
      </w:r>
      <w:r>
        <w:t xml:space="preserve">Implementation Framework</w:t>
      </w:r>
    </w:p>
    <w:bookmarkStart w:id="70"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9"/>
        </w:numPr>
      </w:pPr>
      <w:r>
        <w:t xml:space="preserve">Healthcare data warehouse connectivity and schema mapping</w:t>
      </w:r>
    </w:p>
    <w:p>
      <w:pPr>
        <w:pStyle w:val="Compact"/>
        <w:numPr>
          <w:ilvl w:val="0"/>
          <w:numId w:val="1019"/>
        </w:numPr>
      </w:pPr>
      <w:r>
        <w:t xml:space="preserve">Integration with electronic health record systems and clinical data repositories</w:t>
      </w:r>
    </w:p>
    <w:p>
      <w:pPr>
        <w:pStyle w:val="Compact"/>
        <w:numPr>
          <w:ilvl w:val="0"/>
          <w:numId w:val="1019"/>
        </w:numPr>
      </w:pPr>
      <w:r>
        <w:t xml:space="preserve">Implementation of healthcare terminology vocabularies (ICD-10, CPT, SNOMED)</w:t>
      </w:r>
    </w:p>
    <w:p>
      <w:pPr>
        <w:pStyle w:val="Compact"/>
        <w:numPr>
          <w:ilvl w:val="0"/>
          <w:numId w:val="1019"/>
        </w:numPr>
      </w:pPr>
      <w:r>
        <w:t xml:space="preserve">Basic natural language processing capability deployment</w:t>
      </w:r>
    </w:p>
    <w:p>
      <w:pPr>
        <w:pStyle w:val="Compact"/>
        <w:numPr>
          <w:ilvl w:val="0"/>
          <w:numId w:val="1019"/>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0"/>
        </w:numPr>
      </w:pPr>
      <w:r>
        <w:t xml:space="preserve">Successful connectivity to organizational data sources</w:t>
      </w:r>
    </w:p>
    <w:p>
      <w:pPr>
        <w:pStyle w:val="Compact"/>
        <w:numPr>
          <w:ilvl w:val="0"/>
          <w:numId w:val="1020"/>
        </w:numPr>
      </w:pPr>
      <w:r>
        <w:t xml:space="preserve">Accurate interpretation of basic clinical terminology</w:t>
      </w:r>
    </w:p>
    <w:p>
      <w:pPr>
        <w:pStyle w:val="Compact"/>
        <w:numPr>
          <w:ilvl w:val="0"/>
          <w:numId w:val="1020"/>
        </w:numPr>
      </w:pPr>
      <w:r>
        <w:t xml:space="preserve">Compliance with healthcare data governance policies</w:t>
      </w:r>
    </w:p>
    <w:p>
      <w:pPr>
        <w:pStyle w:val="Compact"/>
        <w:numPr>
          <w:ilvl w:val="0"/>
          <w:numId w:val="1020"/>
        </w:numPr>
      </w:pPr>
      <w:r>
        <w:t xml:space="preserve">User authentication and role-based access functioning</w:t>
      </w:r>
    </w:p>
    <w:bookmarkEnd w:id="70"/>
    <w:bookmarkStart w:id="71"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1"/>
        </w:numPr>
      </w:pPr>
      <w:r>
        <w:t xml:space="preserve">Deployment with limited user groups (data analysts, clinical informatics staff)</w:t>
      </w:r>
    </w:p>
    <w:p>
      <w:pPr>
        <w:pStyle w:val="Compact"/>
        <w:numPr>
          <w:ilvl w:val="0"/>
          <w:numId w:val="1021"/>
        </w:numPr>
      </w:pPr>
      <w:r>
        <w:t xml:space="preserve">Capture of organizational data definitions and business rules</w:t>
      </w:r>
    </w:p>
    <w:p>
      <w:pPr>
        <w:pStyle w:val="Compact"/>
        <w:numPr>
          <w:ilvl w:val="0"/>
          <w:numId w:val="1021"/>
        </w:numPr>
      </w:pPr>
      <w:r>
        <w:t xml:space="preserve">Learning from existing analytical patterns and reporting requirements</w:t>
      </w:r>
    </w:p>
    <w:p>
      <w:pPr>
        <w:pStyle w:val="Compact"/>
        <w:numPr>
          <w:ilvl w:val="0"/>
          <w:numId w:val="1021"/>
        </w:numPr>
      </w:pPr>
      <w:r>
        <w:t xml:space="preserve">Development of organization-specific query templates and best practices</w:t>
      </w:r>
    </w:p>
    <w:p>
      <w:pPr>
        <w:pStyle w:val="Compact"/>
        <w:numPr>
          <w:ilvl w:val="0"/>
          <w:numId w:val="1021"/>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2"/>
        </w:numPr>
      </w:pPr>
      <w:r>
        <w:t xml:space="preserve">80% accuracy in interpreting organizational data requests</w:t>
      </w:r>
    </w:p>
    <w:p>
      <w:pPr>
        <w:pStyle w:val="Compact"/>
        <w:numPr>
          <w:ilvl w:val="0"/>
          <w:numId w:val="1022"/>
        </w:numPr>
      </w:pPr>
      <w:r>
        <w:t xml:space="preserve">Successful capture of existing analytical workflows</w:t>
      </w:r>
    </w:p>
    <w:p>
      <w:pPr>
        <w:pStyle w:val="Compact"/>
        <w:numPr>
          <w:ilvl w:val="0"/>
          <w:numId w:val="1022"/>
        </w:numPr>
      </w:pPr>
      <w:r>
        <w:t xml:space="preserve">Positive user feedback from limited deployment groups</w:t>
      </w:r>
    </w:p>
    <w:p>
      <w:pPr>
        <w:pStyle w:val="Compact"/>
        <w:numPr>
          <w:ilvl w:val="0"/>
          <w:numId w:val="1022"/>
        </w:numPr>
      </w:pPr>
      <w:r>
        <w:t xml:space="preserve">Establishment of continuous learning feedback loops</w:t>
      </w:r>
    </w:p>
    <w:bookmarkEnd w:id="71"/>
    <w:bookmarkStart w:id="72"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3"/>
        </w:numPr>
      </w:pPr>
      <w:r>
        <w:t xml:space="preserve">Broader deployment to clinical departments and operational teams</w:t>
      </w:r>
    </w:p>
    <w:p>
      <w:pPr>
        <w:pStyle w:val="Compact"/>
        <w:numPr>
          <w:ilvl w:val="0"/>
          <w:numId w:val="1023"/>
        </w:numPr>
      </w:pPr>
      <w:r>
        <w:t xml:space="preserve">Advanced analytical capability development (predictive analytics, population health)</w:t>
      </w:r>
    </w:p>
    <w:p>
      <w:pPr>
        <w:pStyle w:val="Compact"/>
        <w:numPr>
          <w:ilvl w:val="0"/>
          <w:numId w:val="1023"/>
        </w:numPr>
      </w:pPr>
      <w:r>
        <w:t xml:space="preserve">Self-service analytics enablement for non-technical users</w:t>
      </w:r>
    </w:p>
    <w:p>
      <w:pPr>
        <w:pStyle w:val="Compact"/>
        <w:numPr>
          <w:ilvl w:val="0"/>
          <w:numId w:val="1023"/>
        </w:numPr>
      </w:pPr>
      <w:r>
        <w:t xml:space="preserve">Advanced visualization and reporting capability implementation</w:t>
      </w:r>
    </w:p>
    <w:p>
      <w:pPr>
        <w:pStyle w:val="Compact"/>
        <w:numPr>
          <w:ilvl w:val="0"/>
          <w:numId w:val="1023"/>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4"/>
        </w:numPr>
      </w:pPr>
      <w:r>
        <w:t xml:space="preserve">Significant reduction in time-to-insight for clinical users</w:t>
      </w:r>
    </w:p>
    <w:p>
      <w:pPr>
        <w:pStyle w:val="Compact"/>
        <w:numPr>
          <w:ilvl w:val="0"/>
          <w:numId w:val="1024"/>
        </w:numPr>
      </w:pPr>
      <w:r>
        <w:t xml:space="preserve">Substantial reduction in query development time</w:t>
      </w:r>
    </w:p>
    <w:p>
      <w:pPr>
        <w:pStyle w:val="Compact"/>
        <w:numPr>
          <w:ilvl w:val="0"/>
          <w:numId w:val="1024"/>
        </w:numPr>
      </w:pPr>
      <w:r>
        <w:t xml:space="preserve">High success rate for clinical users completing analyses independently</w:t>
      </w:r>
    </w:p>
    <w:p>
      <w:pPr>
        <w:pStyle w:val="Compact"/>
        <w:numPr>
          <w:ilvl w:val="0"/>
          <w:numId w:val="1024"/>
        </w:numPr>
      </w:pPr>
      <w:r>
        <w:t xml:space="preserve">Measurable advancement in HIMSS AMAM maturity assessment [I1]</w:t>
      </w:r>
    </w:p>
    <w:bookmarkEnd w:id="72"/>
    <w:bookmarkEnd w:id="73"/>
    <w:bookmarkStart w:id="77" w:name="risk-mitigation-and-quality-assurance"/>
    <w:p>
      <w:pPr>
        <w:pStyle w:val="Heading2"/>
      </w:pPr>
      <w:r>
        <w:rPr>
          <w:rStyle w:val="SectionNumber"/>
        </w:rPr>
        <w:t xml:space="preserve">5.4</w:t>
      </w:r>
      <w:r>
        <w:tab/>
      </w:r>
      <w:r>
        <w:t xml:space="preserve">Risk Mitigation and Quality Assurance</w:t>
      </w:r>
    </w:p>
    <w:bookmarkStart w:id="74"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5"/>
        </w:numPr>
      </w:pPr>
      <w:r>
        <w:t xml:space="preserve">Multi-layer validation including semantic checking, statistical validation, and clinical review</w:t>
      </w:r>
    </w:p>
    <w:p>
      <w:pPr>
        <w:pStyle w:val="Compact"/>
        <w:numPr>
          <w:ilvl w:val="0"/>
          <w:numId w:val="1025"/>
        </w:numPr>
      </w:pPr>
      <w:r>
        <w:t xml:space="preserve">Confidence scoring for AI-generated queries with human review thresholds</w:t>
      </w:r>
    </w:p>
    <w:p>
      <w:pPr>
        <w:pStyle w:val="Compact"/>
        <w:numPr>
          <w:ilvl w:val="0"/>
          <w:numId w:val="1025"/>
        </w:numPr>
      </w:pPr>
      <w:r>
        <w:t xml:space="preserve">Audit trails for all analytical outputs enabling traceability and verification</w:t>
      </w:r>
    </w:p>
    <w:p>
      <w:pPr>
        <w:pStyle w:val="Compact"/>
        <w:numPr>
          <w:ilvl w:val="0"/>
          <w:numId w:val="1025"/>
        </w:numPr>
      </w:pPr>
      <w:r>
        <w:t xml:space="preserve">Integration with clinical decision support systems for context validation</w:t>
      </w:r>
    </w:p>
    <w:bookmarkEnd w:id="74"/>
    <w:bookmarkStart w:id="75"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6"/>
        </w:numPr>
      </w:pPr>
      <w:r>
        <w:t xml:space="preserve">Gradual deployment beginning with analytics-savvy early adopters</w:t>
      </w:r>
    </w:p>
    <w:p>
      <w:pPr>
        <w:pStyle w:val="Compact"/>
        <w:numPr>
          <w:ilvl w:val="0"/>
          <w:numId w:val="1026"/>
        </w:numPr>
      </w:pPr>
      <w:r>
        <w:t xml:space="preserve">Comprehensive training programs tailored to clinical workflows</w:t>
      </w:r>
    </w:p>
    <w:p>
      <w:pPr>
        <w:pStyle w:val="Compact"/>
        <w:numPr>
          <w:ilvl w:val="0"/>
          <w:numId w:val="1026"/>
        </w:numPr>
      </w:pPr>
      <w:r>
        <w:t xml:space="preserve">Champions program utilizing domain experts as internal advocates</w:t>
      </w:r>
    </w:p>
    <w:p>
      <w:pPr>
        <w:pStyle w:val="Compact"/>
        <w:numPr>
          <w:ilvl w:val="0"/>
          <w:numId w:val="1026"/>
        </w:numPr>
      </w:pPr>
      <w:r>
        <w:t xml:space="preserve">Demonstration of quick wins and tangible value through pilot projects</w:t>
      </w:r>
    </w:p>
    <w:bookmarkEnd w:id="75"/>
    <w:bookmarkStart w:id="76"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7"/>
        </w:numPr>
      </w:pPr>
      <w:r>
        <w:t xml:space="preserve">Role-based access controls integrated with existing identity management systems</w:t>
      </w:r>
    </w:p>
    <w:p>
      <w:pPr>
        <w:pStyle w:val="Compact"/>
        <w:numPr>
          <w:ilvl w:val="0"/>
          <w:numId w:val="1027"/>
        </w:numPr>
      </w:pPr>
      <w:r>
        <w:t xml:space="preserve">Audit logging of all data access and analytical activities</w:t>
      </w:r>
    </w:p>
    <w:p>
      <w:pPr>
        <w:pStyle w:val="Compact"/>
        <w:numPr>
          <w:ilvl w:val="0"/>
          <w:numId w:val="1027"/>
        </w:numPr>
      </w:pPr>
      <w:r>
        <w:t xml:space="preserve">Data de-identification and anonymization capabilities for research and training</w:t>
      </w:r>
    </w:p>
    <w:p>
      <w:pPr>
        <w:pStyle w:val="Compact"/>
        <w:numPr>
          <w:ilvl w:val="0"/>
          <w:numId w:val="1027"/>
        </w:numPr>
      </w:pPr>
      <w:r>
        <w:t xml:space="preserve">Regular security assessments and compliance validation</w:t>
      </w:r>
    </w:p>
    <w:bookmarkEnd w:id="76"/>
    <w:bookmarkEnd w:id="77"/>
    <w:bookmarkEnd w:id="78"/>
    <w:bookmarkStart w:id="89"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3" w:name="academic-study-results"/>
    <w:p>
      <w:pPr>
        <w:pStyle w:val="Heading2"/>
      </w:pPr>
      <w:r>
        <w:rPr>
          <w:rStyle w:val="SectionNumber"/>
        </w:rPr>
        <w:t xml:space="preserve">6.1</w:t>
      </w:r>
      <w:r>
        <w:tab/>
      </w:r>
      <w:r>
        <w:t xml:space="preserve">Academic Study Results</w:t>
      </w:r>
    </w:p>
    <w:bookmarkStart w:id="79"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9"/>
    <w:bookmarkStart w:id="80"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0"/>
    <w:bookmarkStart w:id="81"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1"/>
    <w:bookmarkStart w:id="82"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2"/>
    <w:bookmarkEnd w:id="83"/>
    <w:bookmarkStart w:id="85" w:name="real-world-case-studies"/>
    <w:p>
      <w:pPr>
        <w:pStyle w:val="Heading2"/>
      </w:pPr>
      <w:r>
        <w:rPr>
          <w:rStyle w:val="SectionNumber"/>
        </w:rPr>
        <w:t xml:space="preserve">6.2</w:t>
      </w:r>
      <w:r>
        <w:tab/>
      </w:r>
      <w:r>
        <w:t xml:space="preserve">Real-World Case Studies</w:t>
      </w:r>
    </w:p>
    <w:bookmarkStart w:id="84"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8"/>
        </w:numPr>
      </w:pPr>
      <w:r>
        <w:rPr>
          <w:b/>
          <w:bCs/>
        </w:rPr>
        <w:t xml:space="preserve">Platform</w:t>
      </w:r>
      <w:r>
        <w:t xml:space="preserve">: Microsoft Power Platform (low-code)</w:t>
      </w:r>
    </w:p>
    <w:p>
      <w:pPr>
        <w:pStyle w:val="Compact"/>
        <w:numPr>
          <w:ilvl w:val="0"/>
          <w:numId w:val="1028"/>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8"/>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9"/>
        </w:numPr>
      </w:pPr>
      <w:r>
        <w:t xml:space="preserve">Healthcare professionals without IT expertise now create custom solutions and apps</w:t>
      </w:r>
    </w:p>
    <w:p>
      <w:pPr>
        <w:pStyle w:val="Compact"/>
        <w:numPr>
          <w:ilvl w:val="0"/>
          <w:numId w:val="1029"/>
        </w:numPr>
      </w:pPr>
      <w:r>
        <w:t xml:space="preserve">Streamlined operations and enabled data-driven decisions</w:t>
      </w:r>
    </w:p>
    <w:p>
      <w:pPr>
        <w:pStyle w:val="Compact"/>
        <w:numPr>
          <w:ilvl w:val="0"/>
          <w:numId w:val="1029"/>
        </w:numPr>
      </w:pPr>
      <w:r>
        <w:t xml:space="preserve">Over 65,000 observations recorded through Power Apps in patient wards</w:t>
      </w:r>
    </w:p>
    <w:p>
      <w:pPr>
        <w:pStyle w:val="Compact"/>
        <w:numPr>
          <w:ilvl w:val="0"/>
          <w:numId w:val="1029"/>
        </w:numPr>
      </w:pPr>
      <w:r>
        <w:t xml:space="preserve">Significant improvement in data accuracy and time given back to clinical service</w:t>
      </w:r>
    </w:p>
    <w:p>
      <w:pPr>
        <w:pStyle w:val="Compact"/>
        <w:numPr>
          <w:ilvl w:val="0"/>
          <w:numId w:val="1029"/>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4"/>
    <w:bookmarkEnd w:id="85"/>
    <w:bookmarkStart w:id="88" w:name="economic-impact-analysis"/>
    <w:p>
      <w:pPr>
        <w:pStyle w:val="Heading2"/>
      </w:pPr>
      <w:r>
        <w:rPr>
          <w:rStyle w:val="SectionNumber"/>
        </w:rPr>
        <w:t xml:space="preserve">6.3</w:t>
      </w:r>
      <w:r>
        <w:tab/>
      </w:r>
      <w:r>
        <w:t xml:space="preserve">Economic Impact Analysis</w:t>
      </w:r>
    </w:p>
    <w:bookmarkStart w:id="86"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0"/>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0"/>
        </w:numPr>
      </w:pPr>
      <w:r>
        <w:rPr>
          <w:b/>
          <w:bCs/>
        </w:rPr>
        <w:t xml:space="preserve">Revenue Cycle Improvements</w:t>
      </w:r>
      <w:r>
        <w:t xml:space="preserve">: Pennington [A22] documented payment cycle acceleration from 90 to 40 days with AI implementation</w:t>
      </w:r>
    </w:p>
    <w:p>
      <w:pPr>
        <w:pStyle w:val="Compact"/>
        <w:numPr>
          <w:ilvl w:val="0"/>
          <w:numId w:val="1030"/>
        </w:numPr>
      </w:pPr>
      <w:r>
        <w:rPr>
          <w:b/>
          <w:bCs/>
        </w:rPr>
        <w:t xml:space="preserve">Reduced Overhead</w:t>
      </w:r>
      <w:r>
        <w:t xml:space="preserve">: Sezgin et al. [A19] demonstrated chatbot implementations that reduce clinic administrative burden</w:t>
      </w:r>
    </w:p>
    <w:p>
      <w:pPr>
        <w:pStyle w:val="Compact"/>
        <w:numPr>
          <w:ilvl w:val="0"/>
          <w:numId w:val="1030"/>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6"/>
    <w:bookmarkStart w:id="87"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1"/>
        </w:numPr>
      </w:pPr>
      <w:r>
        <w:rPr>
          <w:b/>
          <w:bCs/>
        </w:rPr>
        <w:t xml:space="preserve">Current Market</w:t>
      </w:r>
      <w:r>
        <w:t xml:space="preserve">: $64.49 billion (2025) healthcare analytics market</w:t>
      </w:r>
    </w:p>
    <w:p>
      <w:pPr>
        <w:pStyle w:val="Compact"/>
        <w:numPr>
          <w:ilvl w:val="0"/>
          <w:numId w:val="1031"/>
        </w:numPr>
      </w:pPr>
      <w:r>
        <w:rPr>
          <w:b/>
          <w:bCs/>
        </w:rPr>
        <w:t xml:space="preserve">Projected Growth</w:t>
      </w:r>
      <w:r>
        <w:t xml:space="preserve">: $369.66 billion by 2034</w:t>
      </w:r>
    </w:p>
    <w:p>
      <w:pPr>
        <w:pStyle w:val="Compact"/>
        <w:numPr>
          <w:ilvl w:val="0"/>
          <w:numId w:val="1031"/>
        </w:numPr>
      </w:pPr>
      <w:r>
        <w:rPr>
          <w:b/>
          <w:bCs/>
        </w:rPr>
        <w:t xml:space="preserve">CAGR</w:t>
      </w:r>
      <w:r>
        <w:t xml:space="preserve">: 21.41% from 2025 to 2034</w:t>
      </w:r>
    </w:p>
    <w:p>
      <w:pPr>
        <w:pStyle w:val="Compact"/>
        <w:numPr>
          <w:ilvl w:val="0"/>
          <w:numId w:val="1031"/>
        </w:numPr>
      </w:pPr>
      <w:r>
        <w:rPr>
          <w:b/>
          <w:bCs/>
        </w:rPr>
        <w:t xml:space="preserve">North America Share</w:t>
      </w:r>
      <w:r>
        <w:t xml:space="preserve">: 48.62% of market in 2024</w:t>
      </w:r>
    </w:p>
    <w:p>
      <w:pPr>
        <w:pStyle w:val="Compact"/>
        <w:numPr>
          <w:ilvl w:val="0"/>
          <w:numId w:val="1031"/>
        </w:numPr>
      </w:pPr>
      <w:r>
        <w:rPr>
          <w:b/>
          <w:bCs/>
        </w:rPr>
        <w:t xml:space="preserve">U.S. Market</w:t>
      </w:r>
      <w:r>
        <w:t xml:space="preserve">: Expected to reach $152.03 billion by 2034</w:t>
      </w:r>
    </w:p>
    <w:bookmarkEnd w:id="87"/>
    <w:bookmarkEnd w:id="88"/>
    <w:bookmarkEnd w:id="89"/>
    <w:bookmarkStart w:id="111" w:name="discussion"/>
    <w:p>
      <w:pPr>
        <w:pStyle w:val="Heading1"/>
      </w:pPr>
      <w:r>
        <w:rPr>
          <w:rStyle w:val="SectionNumber"/>
        </w:rPr>
        <w:t xml:space="preserve">7</w:t>
      </w:r>
      <w:r>
        <w:tab/>
      </w:r>
      <w:r>
        <w:t xml:space="preserve">Discussion</w:t>
      </w:r>
    </w:p>
    <w:bookmarkStart w:id="95"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0"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0"/>
    <w:bookmarkStart w:id="91"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1"/>
    <w:bookmarkStart w:id="92"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2"/>
    <w:bookmarkStart w:id="93"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3"/>
    <w:bookmarkStart w:id="94"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4"/>
    <w:bookmarkEnd w:id="95"/>
    <w:bookmarkStart w:id="102"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6"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6"/>
    <w:bookmarkStart w:id="97"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7"/>
    <w:bookmarkStart w:id="98"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8"/>
    <w:bookmarkStart w:id="99"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9"/>
    <w:bookmarkStart w:id="100"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0"/>
    <w:bookmarkStart w:id="101"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1"/>
    <w:bookmarkEnd w:id="102"/>
    <w:bookmarkStart w:id="106"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3"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2"/>
        </w:numPr>
      </w:pPr>
      <w:r>
        <w:rPr>
          <w:b/>
          <w:bCs/>
        </w:rPr>
        <w:t xml:space="preserve">Specialty Domain Validation</w:t>
      </w:r>
      <w:r>
        <w:t xml:space="preserve">: Empirical studies in specialized clinical areas to validate generalizability</w:t>
      </w:r>
    </w:p>
    <w:p>
      <w:pPr>
        <w:pStyle w:val="Compact"/>
        <w:numPr>
          <w:ilvl w:val="0"/>
          <w:numId w:val="1032"/>
        </w:numPr>
      </w:pPr>
      <w:r>
        <w:rPr>
          <w:b/>
          <w:bCs/>
        </w:rPr>
        <w:t xml:space="preserve">Governance Framework Development</w:t>
      </w:r>
      <w:r>
        <w:t xml:space="preserve">: Research on optimal governance models for democratized analytics</w:t>
      </w:r>
    </w:p>
    <w:p>
      <w:pPr>
        <w:pStyle w:val="Compact"/>
        <w:numPr>
          <w:ilvl w:val="0"/>
          <w:numId w:val="1032"/>
        </w:numPr>
      </w:pPr>
      <w:r>
        <w:rPr>
          <w:b/>
          <w:bCs/>
        </w:rPr>
        <w:t xml:space="preserve">Integration Pattern Analysis</w:t>
      </w:r>
      <w:r>
        <w:t xml:space="preserve">: Technical research on architectural patterns for healthcare IT ecosystem integration</w:t>
      </w:r>
    </w:p>
    <w:bookmarkEnd w:id="103"/>
    <w:bookmarkStart w:id="104"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3"/>
        </w:numPr>
      </w:pPr>
      <w:r>
        <w:rPr>
          <w:b/>
          <w:bCs/>
        </w:rPr>
        <w:t xml:space="preserve">Longitudinal Outcome Studies</w:t>
      </w:r>
      <w:r>
        <w:t xml:space="preserve">: Multi-year implementations to assess sustained benefits and organizational evolution</w:t>
      </w:r>
    </w:p>
    <w:p>
      <w:pPr>
        <w:pStyle w:val="Compact"/>
        <w:numPr>
          <w:ilvl w:val="0"/>
          <w:numId w:val="1033"/>
        </w:numPr>
      </w:pPr>
      <w:r>
        <w:rPr>
          <w:b/>
          <w:bCs/>
        </w:rPr>
        <w:t xml:space="preserve">Comparative Effectiveness Research</w:t>
      </w:r>
      <w:r>
        <w:t xml:space="preserve">: Head-to-head comparisons of different conversational AI approaches</w:t>
      </w:r>
    </w:p>
    <w:p>
      <w:pPr>
        <w:pStyle w:val="Compact"/>
        <w:numPr>
          <w:ilvl w:val="0"/>
          <w:numId w:val="1033"/>
        </w:numPr>
      </w:pPr>
      <w:r>
        <w:rPr>
          <w:b/>
          <w:bCs/>
        </w:rPr>
        <w:t xml:space="preserve">Training Methodology Optimization</w:t>
      </w:r>
      <w:r>
        <w:t xml:space="preserve">: Evidence-based approaches for transitioning from traditional to conversational analytics</w:t>
      </w:r>
    </w:p>
    <w:bookmarkEnd w:id="104"/>
    <w:bookmarkStart w:id="105"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4"/>
        </w:numPr>
      </w:pPr>
      <w:r>
        <w:rPr>
          <w:b/>
          <w:bCs/>
        </w:rPr>
        <w:t xml:space="preserve">Organizational Transformation Studies</w:t>
      </w:r>
      <w:r>
        <w:t xml:space="preserve">: Research on how conversational AI platforms reshape healthcare organizational capabilities</w:t>
      </w:r>
    </w:p>
    <w:p>
      <w:pPr>
        <w:pStyle w:val="Compact"/>
        <w:numPr>
          <w:ilvl w:val="0"/>
          <w:numId w:val="1034"/>
        </w:numPr>
      </w:pPr>
      <w:r>
        <w:rPr>
          <w:b/>
          <w:bCs/>
        </w:rPr>
        <w:t xml:space="preserve">Clinical Outcome Impact Assessment</w:t>
      </w:r>
      <w:r>
        <w:t xml:space="preserve">: Studies linking improved analytics access to patient care outcomes</w:t>
      </w:r>
    </w:p>
    <w:p>
      <w:pPr>
        <w:pStyle w:val="Compact"/>
        <w:numPr>
          <w:ilvl w:val="0"/>
          <w:numId w:val="1034"/>
        </w:numPr>
      </w:pPr>
      <w:r>
        <w:rPr>
          <w:b/>
          <w:bCs/>
        </w:rPr>
        <w:t xml:space="preserve">Predictive Analytics Integration</w:t>
      </w:r>
      <w:r>
        <w:t xml:space="preserve">: Research on combining conversational interfaces with advanced predictive modeling</w:t>
      </w:r>
    </w:p>
    <w:bookmarkEnd w:id="105"/>
    <w:bookmarkEnd w:id="106"/>
    <w:bookmarkStart w:id="110"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7"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7"/>
    <w:bookmarkStart w:id="108"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5"/>
        </w:numPr>
      </w:pPr>
      <w:r>
        <w:rPr>
          <w:b/>
          <w:bCs/>
        </w:rPr>
        <w:t xml:space="preserve">Executive Commitment</w:t>
      </w:r>
      <w:r>
        <w:t xml:space="preserve">: Strong leadership support throughout the 18-month average implementation timeline</w:t>
      </w:r>
    </w:p>
    <w:p>
      <w:pPr>
        <w:pStyle w:val="Compact"/>
        <w:numPr>
          <w:ilvl w:val="0"/>
          <w:numId w:val="1035"/>
        </w:numPr>
      </w:pPr>
      <w:r>
        <w:rPr>
          <w:b/>
          <w:bCs/>
        </w:rPr>
        <w:t xml:space="preserve">Change Management Investment</w:t>
      </w:r>
      <w:r>
        <w:t xml:space="preserve">: Comprehensive training and support programs to ensure user adoption</w:t>
      </w:r>
    </w:p>
    <w:p>
      <w:pPr>
        <w:pStyle w:val="Compact"/>
        <w:numPr>
          <w:ilvl w:val="0"/>
          <w:numId w:val="1035"/>
        </w:numPr>
      </w:pPr>
      <w:r>
        <w:rPr>
          <w:b/>
          <w:bCs/>
        </w:rPr>
        <w:t xml:space="preserve">Phased Deployment</w:t>
      </w:r>
      <w:r>
        <w:t xml:space="preserve">: Gradual rollout beginning with analytics-savvy early adopters</w:t>
      </w:r>
    </w:p>
    <w:p>
      <w:pPr>
        <w:pStyle w:val="Compact"/>
        <w:numPr>
          <w:ilvl w:val="0"/>
          <w:numId w:val="1035"/>
        </w:numPr>
      </w:pPr>
      <w:r>
        <w:rPr>
          <w:b/>
          <w:bCs/>
        </w:rPr>
        <w:t xml:space="preserve">Governance Framework Development</w:t>
      </w:r>
      <w:r>
        <w:t xml:space="preserve">: New policies and procedures for democratized analytics</w:t>
      </w:r>
    </w:p>
    <w:bookmarkEnd w:id="108"/>
    <w:bookmarkStart w:id="109"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9"/>
    <w:bookmarkEnd w:id="110"/>
    <w:bookmarkEnd w:id="111"/>
    <w:bookmarkStart w:id="115" w:name="conclusion"/>
    <w:p>
      <w:pPr>
        <w:pStyle w:val="Heading1"/>
      </w:pPr>
      <w:r>
        <w:rPr>
          <w:rStyle w:val="SectionNumber"/>
        </w:rPr>
        <w:t xml:space="preserve">8</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12" w:name="key-findings"/>
    <w:p>
      <w:pPr>
        <w:pStyle w:val="Heading2"/>
      </w:pPr>
      <w:r>
        <w:rPr>
          <w:rStyle w:val="SectionNumber"/>
        </w:rPr>
        <w:t xml:space="preserve">8.1</w:t>
      </w:r>
      <w:r>
        <w:tab/>
      </w:r>
      <w:r>
        <w:t xml:space="preserve">Key Findings</w:t>
      </w:r>
    </w:p>
    <w:p>
      <w:pPr>
        <w:pStyle w:val="FirstParagraph"/>
      </w:pPr>
      <w:r>
        <w:t xml:space="preserve">This review of academic and industry sources establishes several critical findings:</w:t>
      </w:r>
    </w:p>
    <w:p>
      <w:pPr>
        <w:numPr>
          <w:ilvl w:val="0"/>
          <w:numId w:val="103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6"/>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2"/>
    <w:bookmarkStart w:id="113" w:name="strategic-implications"/>
    <w:p>
      <w:pPr>
        <w:pStyle w:val="Heading2"/>
      </w:pPr>
      <w:r>
        <w:rPr>
          <w:rStyle w:val="SectionNumber"/>
        </w:rPr>
        <w:t xml:space="preserve">8.2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academic research documenting cost savings through reduced administrative overhead, accelerated payment cycles, and improved operational efficiency [A19, A20, A21], alongside a healthcare analytics market growing to $369.66 billion by 2034 [I7]. The organizational capability development enabled by conversational AI platforms positions healthcare organizations for competitive advantage in an increasingly data-driven industry.</w:t>
      </w:r>
    </w:p>
    <w:bookmarkEnd w:id="113"/>
    <w:bookmarkStart w:id="114" w:name="call-to-action"/>
    <w:p>
      <w:pPr>
        <w:pStyle w:val="Heading2"/>
      </w:pPr>
      <w:r>
        <w:rPr>
          <w:rStyle w:val="SectionNumber"/>
        </w:rPr>
        <w:t xml:space="preserve">8.3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14"/>
    <w:bookmarkEnd w:id="115"/>
    <w:bookmarkStart w:id="116"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16"/>
    <w:bookmarkStart w:id="117"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17"/>
    <w:bookmarkStart w:id="118"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18"/>
    <w:bookmarkStart w:id="119"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9"/>
    <w:bookmarkStart w:id="120"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0"/>
    <w:bookmarkStart w:id="121"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1"/>
    <w:bookmarkStart w:id="124" w:name="references"/>
    <w:p>
      <w:pPr>
        <w:pStyle w:val="Heading1"/>
      </w:pPr>
      <w:r>
        <w:rPr>
          <w:rStyle w:val="SectionNumber"/>
        </w:rPr>
        <w:t xml:space="preserve">15</w:t>
      </w:r>
      <w:r>
        <w:tab/>
      </w:r>
      <w:r>
        <w:t xml:space="preserve">References</w:t>
      </w:r>
    </w:p>
    <w:bookmarkStart w:id="122"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bookmarkEnd w:id="122"/>
    <w:bookmarkStart w:id="123"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3"/>
    <w:bookmarkEnd w:id="124"/>
    <w:bookmarkStart w:id="131" w:name="appendices"/>
    <w:p>
      <w:pPr>
        <w:pStyle w:val="Heading1"/>
      </w:pPr>
      <w:r>
        <w:rPr>
          <w:rStyle w:val="SectionNumber"/>
        </w:rPr>
        <w:t xml:space="preserve">16</w:t>
      </w:r>
      <w:r>
        <w:tab/>
      </w:r>
      <w:r>
        <w:t xml:space="preserve">Appendices</w:t>
      </w:r>
    </w:p>
    <w:bookmarkStart w:id="125"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5"/>
    <w:bookmarkStart w:id="126"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26"/>
    <w:bookmarkStart w:id="130" w:name="Xbfd30549e6247e2f3e5132a039875af0e2849bb"/>
    <w:p>
      <w:pPr>
        <w:pStyle w:val="Heading2"/>
      </w:pPr>
      <w:r>
        <w:rPr>
          <w:rStyle w:val="SectionNumber"/>
        </w:rPr>
        <w:t xml:space="preserve">16.3</w:t>
      </w:r>
      <w:r>
        <w:tab/>
      </w:r>
      <w:r>
        <w:t xml:space="preserve">Appendix C: Healthcare NL2SQL Query Examples</w:t>
      </w:r>
    </w:p>
    <w:bookmarkStart w:id="127"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27"/>
    <w:bookmarkStart w:id="128"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8"/>
    <w:bookmarkStart w:id="129"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2025-12-15T05:53:33Z</dcterms:created>
  <dcterms:modified xsi:type="dcterms:W3CDTF">2025-12-15T05:53:33Z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