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f9cde52cae18c80403e7f765c2257be074f33d"/>
    <w:p>
      <w:pPr>
        <w:pStyle w:val="Heading1"/>
      </w:pPr>
      <w:r>
        <w:t xml:space="preserve">Cover Letter for JMIR Medical Informatics Submission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January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Editor-in-Chief, JMIR Medical Informatics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Manuscript Submission - Review Article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the manuscript titled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Healthcare Analytics Challenges: A Three-Pillar Framework Connecting Analytics Maturity, Workforce Agility, and Technical Enablement</w:t>
      </w:r>
      <w:r>
        <w:rPr>
          <w:b/>
          <w:bCs/>
        </w:rPr>
        <w:t xml:space="preserve">”</w:t>
      </w:r>
      <w:r>
        <w:t xml:space="preserve"> </w:t>
      </w:r>
      <w:r>
        <w:t xml:space="preserve">for consideration as a Review article in JMIR Medical Informatics.</w:t>
      </w:r>
    </w:p>
    <w:bookmarkStart w:id="20" w:name="background-and-significance"/>
    <w:p>
      <w:pPr>
        <w:pStyle w:val="Heading2"/>
      </w:pPr>
      <w:r>
        <w:t xml:space="preserve">Background and Significance</w:t>
      </w:r>
    </w:p>
    <w:p>
      <w:pPr>
        <w:pStyle w:val="FirstParagraph"/>
      </w:pPr>
      <w:r>
        <w:t xml:space="preserve">Healthcare organizations face three interconnected challenges that create a compounding cycle threatening data-driven transformation: low analytics maturity (only 39 organizations globally have achieved HIMSS AMAM Stage 6-7), systemic workforce instability, and technical barriers in natural language to SQL generation. This review identifies a critical gap in the literature: while single-domain studies exist for each challenge, few analyze how they interconnect to create institutional memory loss.</w:t>
      </w:r>
    </w:p>
    <w:bookmarkEnd w:id="20"/>
    <w:bookmarkStart w:id="21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This narrative review synthesizes peer-reviewed studies and industry reports from Crossref, PubMed, arXiv, and Semantic Scholar. Grey literature sources were assessed using the AACODS checklist. Evidence was integrated through an original three-pillar analytical framework examining how these challenges interconnect and compound each other.</w:t>
      </w:r>
    </w:p>
    <w:bookmarkEnd w:id="21"/>
    <w:bookmarkStart w:id="2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The review contributes an original three-pillar analytical framework revealing a self-reinforcing cycle: (1)</w:t>
      </w:r>
      <w:r>
        <w:t xml:space="preserve"> </w:t>
      </w:r>
      <w:r>
        <w:rPr>
          <w:b/>
          <w:bCs/>
        </w:rPr>
        <w:t xml:space="preserve">Analytics Maturity</w:t>
      </w:r>
      <w:r>
        <w:t xml:space="preserve">: Low maturity leaves clinical decisions unsupported, correlating with higher turnover; (2)</w:t>
      </w:r>
      <w:r>
        <w:t xml:space="preserve"> </w:t>
      </w:r>
      <w:r>
        <w:rPr>
          <w:b/>
          <w:bCs/>
        </w:rPr>
        <w:t xml:space="preserve">Workforce Impact</w:t>
      </w:r>
      <w:r>
        <w:t xml:space="preserve">: Turnover (~34% implied annual rate) causes institutional memory loss that further degrades capabilities; and (3)</w:t>
      </w:r>
      <w:r>
        <w:t xml:space="preserve"> </w:t>
      </w:r>
      <w:r>
        <w:rPr>
          <w:b/>
          <w:bCs/>
        </w:rPr>
        <w:t xml:space="preserve">Technical Enablement</w:t>
      </w:r>
      <w:r>
        <w:t xml:space="preserve">: Technical barriers prevent the capture of this knowledge, blocking recovery. The review also identifies</w:t>
      </w:r>
      <w:r>
        <w:t xml:space="preserve"> </w:t>
      </w:r>
      <w:r>
        <w:rPr>
          <w:b/>
          <w:bCs/>
        </w:rPr>
        <w:t xml:space="preserve">Governance Necessity</w:t>
      </w:r>
      <w:r>
        <w:t xml:space="preserve"> </w:t>
      </w:r>
      <w:r>
        <w:t xml:space="preserve">as a critical finding, arguing that democratization through NL2SQL requires stricter governance (</w:t>
      </w:r>
      <w:r>
        <w:t xml:space="preserve">“</w:t>
      </w:r>
      <w:r>
        <w:t xml:space="preserve">Golden Queries</w:t>
      </w:r>
      <w:r>
        <w:t xml:space="preserve">”</w:t>
      </w:r>
      <w:r>
        <w:t xml:space="preserve">) to move from ad-hoc reporting to trusted AI deployment.</w:t>
      </w:r>
    </w:p>
    <w:bookmarkEnd w:id="22"/>
    <w:bookmarkStart w:id="2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declares competing interests: Samuel T Harrold is a contract product advisor at Yuimedi, Inc., which develops healthcare analytics software, and is employed as a Data Scientist at Indiana University Health. This paper presents an analytical framework derived from published literature and does not evaluate or recommend specific commercial products.</w:t>
      </w:r>
    </w:p>
    <w:bookmarkEnd w:id="23"/>
    <w:bookmarkStart w:id="24" w:name="generative-ai-disclosure"/>
    <w:p>
      <w:pPr>
        <w:pStyle w:val="Heading2"/>
      </w:pPr>
      <w:r>
        <w:t xml:space="preserve">Generative AI Disclosure</w:t>
      </w:r>
    </w:p>
    <w:p>
      <w:pPr>
        <w:pStyle w:val="FirstParagraph"/>
      </w:pPr>
      <w:r>
        <w:t xml:space="preserve">Gemini CLI (Gemini 3, Google) assisted with manuscript editing and refinement. The author takes full responsibility for the final content.</w:t>
      </w:r>
    </w:p>
    <w:bookmarkEnd w:id="24"/>
    <w:bookmarkStart w:id="25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Samuel T Harrold</w:t>
      </w:r>
      <w:r>
        <w:t xml:space="preserve"> </w:t>
      </w:r>
      <w:r>
        <w:t xml:space="preserve">Email: samuel.harrold@yuimedi.com</w:t>
      </w:r>
      <w:r>
        <w:t xml:space="preserve"> </w:t>
      </w:r>
      <w:r>
        <w:t xml:space="preserve">Contact: https://us.yuimedi.com/contact-us/</w:t>
      </w:r>
    </w:p>
    <w:bookmarkEnd w:id="25"/>
    <w:bookmarkStart w:id="26" w:name="article-processing-fee"/>
    <w:p>
      <w:pPr>
        <w:pStyle w:val="Heading2"/>
      </w:pPr>
      <w:r>
        <w:t xml:space="preserve">Article Processing Fee</w:t>
      </w:r>
    </w:p>
    <w:p>
      <w:pPr>
        <w:pStyle w:val="FirstParagraph"/>
      </w:pPr>
      <w:r>
        <w:t xml:space="preserve">I acknowledge the applicable article processing fee (APF) if this manuscript is accepted after peer review.</w:t>
      </w:r>
    </w:p>
    <w:bookmarkEnd w:id="26"/>
    <w:bookmarkStart w:id="27" w:name="transfer-preference"/>
    <w:p>
      <w:pPr>
        <w:pStyle w:val="Heading2"/>
      </w:pPr>
      <w:r>
        <w:t xml:space="preserve">Transfer Preference</w:t>
      </w:r>
    </w:p>
    <w:p>
      <w:pPr>
        <w:pStyle w:val="FirstParagraph"/>
      </w:pPr>
      <w:r>
        <w:t xml:space="preserve">If this manuscript is not suitable for JMIR Medical Informatics, I would welcome consideration for transfer to JMIR AI or JMIR Formative Research.</w:t>
      </w:r>
    </w:p>
    <w:p>
      <w:pPr>
        <w:pStyle w:val="BodyText"/>
      </w:pPr>
      <w:r>
        <w:t xml:space="preserve">Thank you for considering this manuscript. I believe it will be of significant interest to JMIR Medical Informatics readers working in healthcare informatics, clinical decision support, and healthcare analytics.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 Harrold</w:t>
      </w:r>
      <w:r>
        <w:t xml:space="preserve"> </w:t>
      </w:r>
      <w:r>
        <w:t xml:space="preserve">Yuimedi, Inc.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2026-01-15T06:43:03Z</dcterms:created>
  <dcterms:modified xsi:type="dcterms:W3CDTF">2026-01-15T06:43:03Z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