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Mitigating Institutional Amnesia: A Design Science Framework for Socio-Technical Query Governance in Healthcare</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Recent data underscores the severity: 53% of healthcare CIOs have held their roles for less than three years, and 55% of informatics specialists intend to leave their positions. This churn systematically erases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(2024-2025 workforce and NL2SQL literature) to develop a socio-technical framework called Human-in-the-Loop Semantic Governance (HiL-SG).</w:t>
      </w:r>
    </w:p>
    <w:p>
      <w:pPr>
        <w:pStyle w:val="Abstract"/>
      </w:pPr>
      <w:r>
        <w:t xml:space="preserve">HiL-SG shifts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converts the ephemeral act of analytics into permanent institutional assets. The accompanying Analytics Resilience Index (ARI) provides a measurement instrument that replaces static maturity checklists with dynamic resilience metrics, quantifying an organization’s ability to sustain analytical capability despite staff churn.</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with 30% of new healthcare employees leaving within their first year</w:t>
      </w:r>
      <w:r>
        <w:t xml:space="preserve"> </w:t>
      </w:r>
      <w:r>
        <w:t xml:space="preserve">(</w:t>
      </w:r>
      <w:hyperlink w:anchor="ref-nsi2025">
        <w:r>
          <w:rPr>
            <w:rStyle w:val="Hyperlink"/>
          </w:rPr>
          <w:t xml:space="preserve">16</w:t>
        </w:r>
      </w:hyperlink>
      <w:r>
        <w:t xml:space="preserve">)</w:t>
      </w:r>
      <w:r>
        <w:t xml:space="preserve"> </w:t>
      </w:r>
      <w:r>
        <w:t xml:space="preserve">and 55% of informatics specialists intending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Using a Design Science Research (DSR) approach, we developed the HiL-SG framework through three steps: (1) a narrative review of the literature (n=139 sources)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(2) theoretical grounding in Nonaka’s SECI model of knowledge creation</w:t>
      </w:r>
      <w:r>
        <w:t xml:space="preserve"> </w:t>
      </w:r>
      <w:r>
        <w:t xml:space="preserve">(</w:t>
      </w:r>
      <w:hyperlink w:anchor="ref-farnese2019">
        <w:r>
          <w:rPr>
            <w:rStyle w:val="Hyperlink"/>
          </w:rPr>
          <w:t xml:space="preserve">18</w:t>
        </w:r>
      </w:hyperlink>
      <w:r>
        <w:t xml:space="preserve">)</w:t>
      </w:r>
      <w:r>
        <w:t xml:space="preserve">, mapping workforce turnover data to specific failure modes in knowledge transfer; and (3) artifact design of the HiL-SG framework and the</w:t>
      </w:r>
      <w:r>
        <w:t xml:space="preserve"> </w:t>
      </w:r>
      <w:r>
        <w:t xml:space="preserve">“Validated Query Triple”</w:t>
      </w:r>
      <w:r>
        <w:t xml:space="preserve"> </w:t>
      </w:r>
      <w:r>
        <w:t xml:space="preserve">as socio-technical solutions to the identified</w:t>
      </w:r>
      <w:r>
        <w:t xml:space="preserve"> </w:t>
      </w:r>
      <w:r>
        <w:t xml:space="preserve">“Socialization Failure,”</w:t>
      </w:r>
      <w:r>
        <w:t xml:space="preserve"> </w:t>
      </w:r>
      <w:r>
        <w:t xml:space="preserve">adhering to</w:t>
      </w:r>
      <w:r>
        <w:t xml:space="preserve"> </w:t>
      </w:r>
      <w:r>
        <w:t xml:space="preserve">“Human-on-the-Loop”</w:t>
      </w:r>
      <w:r>
        <w:t xml:space="preserve"> </w:t>
      </w:r>
      <w:r>
        <w:t xml:space="preserve">principles for AI safety</w:t>
      </w:r>
      <w:r>
        <w:t xml:space="preserve"> </w:t>
      </w:r>
      <w:r>
        <w:t xml:space="preserve">(</w:t>
      </w:r>
      <w:hyperlink w:anchor="ref-bravorocca2023">
        <w:r>
          <w:rPr>
            <w:rStyle w:val="Hyperlink"/>
          </w:rPr>
          <w:t xml:space="preserve">19</w:t>
        </w:r>
      </w:hyperlink>
      <w:r>
        <w:t xml:space="preserve">)</w:t>
      </w:r>
      <w:r>
        <w:t xml:space="preserve">.</w:t>
      </w:r>
    </w:p>
    <w:p>
      <w:pPr>
        <w:pStyle w:val="BodyText"/>
      </w:pPr>
      <w:r>
        <w:t xml:space="preserve">We ground our approach in Nonaka’s SECI Model of knowledge creation</w:t>
      </w:r>
      <w:r>
        <w:t xml:space="preserve"> </w:t>
      </w:r>
      <w:r>
        <w:t xml:space="preserve">(</w:t>
      </w:r>
      <w:hyperlink w:anchor="ref-farnese2019">
        <w:r>
          <w:rPr>
            <w:rStyle w:val="Hyperlink"/>
          </w:rPr>
          <w:t xml:space="preserve">18</w:t>
        </w:r>
      </w:hyperlink>
      <w:r>
        <w:t xml:space="preserve">)</w:t>
      </w:r>
      <w:r>
        <w:t xml:space="preserve">, which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18</w:t>
        </w:r>
      </w:hyperlink>
      <w:r>
        <w:t xml:space="preserve">)</w:t>
      </w:r>
      <w:r>
        <w:t xml:space="preserve">. When any mode breaks down, the spiral stalls. In healthcare analytics, the breakdown is at the very first stage.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18</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20</w:t>
        </w:r>
      </w:hyperlink>
      <w:r>
        <w:t xml:space="preserve">)</w:t>
      </w:r>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r>
        <w:t xml:space="preserve"> </w:t>
      </w:r>
      <w:r>
        <w:t xml:space="preserve">(</w:t>
      </w:r>
      <w:hyperlink w:anchor="ref-wittkieffer2024">
        <w:r>
          <w:rPr>
            <w:rStyle w:val="Hyperlink"/>
          </w:rPr>
          <w:t xml:space="preserve">5</w:t>
        </w:r>
      </w:hyperlink>
      <w:r>
        <w:t xml:space="preserve">)</w:t>
      </w:r>
      <w:r>
        <w:t xml:space="preserve">, strategic knowledge at the leadership level turns over before it can be transmitted. At the operational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and 30% of new employees depart within their first year</w:t>
      </w:r>
      <w:r>
        <w:t xml:space="preserve"> </w:t>
      </w:r>
      <w:r>
        <w:t xml:space="preserve">(</w:t>
      </w:r>
      <w:hyperlink w:anchor="ref-nsi2025">
        <w:r>
          <w:rPr>
            <w:rStyle w:val="Hyperlink"/>
          </w:rPr>
          <w:t xml:space="preserve">16</w:t>
        </w:r>
      </w:hyperlink>
      <w:r>
        <w:t xml:space="preserve">)</w:t>
      </w:r>
      <w:r>
        <w:t xml:space="preserve">. Meanwhile,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22</w:t>
        </w:r>
      </w:hyperlink>
      <w:r>
        <w:t xml:space="preserve">,</w:t>
      </w:r>
      <w:hyperlink w:anchor="ref-ren2024">
        <w:r>
          <w:rPr>
            <w:rStyle w:val="Hyperlink"/>
          </w:rPr>
          <w:t xml:space="preserve">23</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20</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27</w:t>
        </w:r>
      </w:hyperlink>
      <w:r>
        <w:t xml:space="preserve">)</w:t>
      </w:r>
      <w:r>
        <w:t xml:space="preserve">.</w:t>
      </w:r>
    </w:p>
    <w:bookmarkEnd w:id="11"/>
    <w:bookmarkEnd w:id="12"/>
    <w:bookmarkStart w:id="21" w:name="human-in-the-loop-semantic-governance"/>
    <w:p>
      <w:pPr>
        <w:pStyle w:val="Heading1"/>
      </w:pPr>
      <w:r>
        <w:rPr>
          <w:rStyle w:val="SectionNumber"/>
        </w:rPr>
        <w:t xml:space="preserve">3</w:t>
      </w:r>
      <w:r>
        <w:tab/>
      </w:r>
      <w:r>
        <w:t xml:space="preserve">Human-in-the-Loop Semantic Governance</w:t>
      </w:r>
    </w:p>
    <w:p>
      <w:pPr>
        <w:pStyle w:val="FirstParagraph"/>
      </w:pPr>
      <w:r>
        <w:t xml:space="preserve">We rename the traditional</w:t>
      </w:r>
      <w:r>
        <w:t xml:space="preserve"> </w:t>
      </w:r>
      <w:r>
        <w:t xml:space="preserve">“Validated Query Cycle”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19" w:name="the-hil-sg-architecture"/>
    <w:p>
      <w:pPr>
        <w:pStyle w:val="Heading2"/>
      </w:pPr>
      <w:r>
        <w:rPr>
          <w:rStyle w:val="SectionNumber"/>
        </w:rPr>
        <w:t xml:space="preserve">3.1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4936394"/>
            <wp:effectExtent b="0" l="0" r="0" t="0"/>
            <wp:docPr descr="Healthcare Analytics Architecture as a Socio-Technical System. The architecture flows from Clinical Users through a Conversational AI interface to a healthcare NLP engine for context-aware SQL generation. Bi-directional arrows represent the iterative ‘Query &amp; Refine’ loop. The critical validation step (dotted line) shows domain experts confirming SQL before results flow to ‘Organizational Memory’ (dashed line), where they persist independent of staff ten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as a Socio-Technical System. The architecture flows from Clinical Users through a Conversational AI interface to a healthcare NLP engine for context-aware SQL generation. Bi-directional arrows represent the iterative</w:t>
      </w:r>
      <w:r>
        <w:t xml:space="preserve"> </w:t>
      </w:r>
      <w:r>
        <w:t xml:space="preserve">‘Query &amp; Refine’</w:t>
      </w:r>
      <w:r>
        <w:t xml:space="preserve"> </w:t>
      </w:r>
      <w:r>
        <w:t xml:space="preserve">loop. The critical validation step (dotted line) shows domain experts confirming SQL before results flow to</w:t>
      </w:r>
      <w:r>
        <w:t xml:space="preserve"> </w:t>
      </w:r>
      <w:r>
        <w:t xml:space="preserve">‘Organizational Memory’</w:t>
      </w:r>
      <w:r>
        <w:t xml:space="preserve"> </w:t>
      </w:r>
      <w:r>
        <w:t xml:space="preserve">(dashed line), where they persist independent of staff tenure.</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8798350"/>
            <wp:effectExtent b="0" l="0" r="0" t="0"/>
            <wp:docPr descr="Six step validated query cycle for Human-in-the-Loop Semantic Governance. The cycle progresses from Natural Language Intent to AI-generated SQL, expert review and correction, creation of a Validated Query Triple, storage in organizational memory, and reuse for future querie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8798350"/>
                    </a:xfrm>
                    <a:prstGeom prst="rect">
                      <a:avLst/>
                    </a:prstGeom>
                    <a:noFill/>
                    <a:ln w="9525">
                      <a:noFill/>
                      <a:headEnd/>
                      <a:tailEnd/>
                    </a:ln>
                  </pic:spPr>
                </pic:pic>
              </a:graphicData>
            </a:graphic>
          </wp:inline>
        </w:drawing>
      </w:r>
    </w:p>
    <w:p>
      <w:pPr>
        <w:pStyle w:val="ImageCaption"/>
      </w:pPr>
      <w:r>
        <w:t xml:space="preserve">Six step validated query cycle for Human-in-the-Loop Semantic Governance. The cycle progresses from Natural Language Intent to AI-generated SQL, expert review and correction, creation of a Validated Query Triple, storage in organizational memory, and reuse for future queries.</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28</w:t>
        </w:r>
      </w:hyperlink>
      <w:r>
        <w:t xml:space="preserve">)</w:t>
      </w:r>
      <w:r>
        <w:t xml:space="preserve">.</w:t>
      </w:r>
    </w:p>
    <w:p>
      <w:pPr>
        <w:pStyle w:val="Compact"/>
        <w:numPr>
          <w:ilvl w:val="0"/>
          <w:numId w:val="1002"/>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29</w:t>
        </w:r>
      </w:hyperlink>
      <w:r>
        <w:t xml:space="preserve">)</w:t>
      </w:r>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“Human-on-the-Loop”</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19</w:t>
        </w:r>
      </w:hyperlink>
      <w:r>
        <w:t xml:space="preserve">,</w:t>
      </w:r>
      <w:hyperlink w:anchor="ref-mosqueirarey2023">
        <w:r>
          <w:rPr>
            <w:rStyle w:val="Hyperlink"/>
          </w:rPr>
          <w:t xml:space="preserve">30</w:t>
        </w:r>
      </w:hyperlink>
      <w:r>
        <w:t xml:space="preserve">)</w:t>
      </w:r>
      <w:r>
        <w:t xml:space="preserve">.</w:t>
      </w:r>
    </w:p>
    <w:p>
      <w:pPr>
        <w:pStyle w:val="Compact"/>
        <w:numPr>
          <w:ilvl w:val="0"/>
          <w:numId w:val="1002"/>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32</w:t>
        </w:r>
      </w:hyperlink>
      <w:r>
        <w:t xml:space="preserve">)</w:t>
      </w:r>
      <w:r>
        <w:t xml:space="preserve">.</w:t>
      </w:r>
    </w:p>
    <w:bookmarkEnd w:id="20"/>
    <w:bookmarkEnd w:id="21"/>
    <w:bookmarkStart w:id="25" w:name="the-evidence-base-three-pillars"/>
    <w:p>
      <w:pPr>
        <w:pStyle w:val="Heading1"/>
      </w:pPr>
      <w:r>
        <w:rPr>
          <w:rStyle w:val="SectionNumber"/>
        </w:rPr>
        <w:t xml:space="preserve">4</w:t>
      </w:r>
      <w:r>
        <w:tab/>
      </w:r>
      <w:r>
        <w:t xml:space="preserve">The Evidence Base: Three Pillars</w:t>
      </w:r>
    </w:p>
    <w:p>
      <w:pPr>
        <w:pStyle w:val="FirstParagraph"/>
      </w:pPr>
      <w:r>
        <w:t xml:space="preserve">The HiL-SG framework is supported by three pillars of empirical evidence synthesized from over 130 sources.</w:t>
      </w:r>
    </w:p>
    <w:bookmarkStart w:id="22"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34</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36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r>
        <w:t xml:space="preserve"> </w:t>
      </w:r>
      <w:r>
        <w:t xml:space="preserve">(</w:t>
      </w:r>
      <w:hyperlink w:anchor="ref-latrella2024">
        <w:r>
          <w:rPr>
            <w:rStyle w:val="Hyperlink"/>
          </w:rPr>
          <w:t xml:space="preserve">37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38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39</w:t>
        </w:r>
      </w:hyperlink>
      <w:r>
        <w:t xml:space="preserve">,</w:t>
      </w:r>
      <w:hyperlink w:anchor="ref-kamble2019">
        <w:r>
          <w:rPr>
            <w:rStyle w:val="Hyperlink"/>
          </w:rPr>
          <w:t xml:space="preserve">40</w:t>
        </w:r>
      </w:hyperlink>
      <w:r>
        <w:t xml:space="preserve">)</w:t>
      </w:r>
      <w:r>
        <w:t xml:space="preserve">. The low-maturity trap thus compounds over time: each year of delayed investment widens the gap between what the organization could know and what it actually knows.</w:t>
      </w:r>
    </w:p>
    <w:bookmarkEnd w:id="22"/>
    <w:bookmarkStart w:id="23"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oracle2024">
        <w:r>
          <w:rPr>
            <w:rStyle w:val="Hyperlink"/>
          </w:rPr>
          <w:t xml:space="preserve">41</w:t>
        </w:r>
      </w:hyperlink>
      <w:r>
        <w:t xml:space="preserve">)</w:t>
      </w:r>
      <w:r>
        <w:t xml:space="preserve">. With 30% of new employees leaving within their first year</w:t>
      </w:r>
      <w:r>
        <w:t xml:space="preserve"> </w:t>
      </w:r>
      <w:r>
        <w:t xml:space="preserve">(</w:t>
      </w:r>
      <w:hyperlink w:anchor="ref-nsi2025">
        <w:r>
          <w:rPr>
            <w:rStyle w:val="Hyperlink"/>
          </w:rPr>
          <w:t xml:space="preserve">16</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At the strategic level, 53% of healthcare CIOs have tenures of less than three years</w:t>
      </w:r>
      <w:r>
        <w:t xml:space="preserve"> </w:t>
      </w:r>
      <w:r>
        <w:t xml:space="preserve">(</w:t>
      </w:r>
      <w:hyperlink w:anchor="ref-wittkieffer2024">
        <w:r>
          <w:rPr>
            <w:rStyle w:val="Hyperlink"/>
          </w:rPr>
          <w:t xml:space="preserve">5</w:t>
        </w:r>
      </w:hyperlink>
      <w:r>
        <w:t xml:space="preserve">)</w:t>
      </w:r>
      <w:r>
        <w:t xml:space="preserve">, producing recurring shifts in analytics strategy that destabilize long-term initiatives. At the operational level,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At the foundational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draining the specialized talent needed to maintain analytics infrastructure. This multi-level instability directly undermines the SECI Socialization mode discussed in the Theoretical Grounding section: sustained mentorship requires temporal overlap between experienced practitioners and newcomers, yet the revolving door at every organizational tier ensures that overlap rarely materializes.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That this two-decade-old benchmark remains a primary reference point is itself evidence of the crisis: the field has lacked the stability even to systematically track its own attrition over the intervening decades.</w:t>
      </w:r>
    </w:p>
    <w:bookmarkEnd w:id="23"/>
    <w:bookmarkStart w:id="24"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has reached a productivity tipping point. Natural language interfaces report a 63% increase in self-service adoption and 37% reduction in retrieval time</w:t>
      </w:r>
      <w:r>
        <w:t xml:space="preserve"> </w:t>
      </w:r>
      <w:r>
        <w:t xml:space="preserve">(</w:t>
      </w:r>
      <w:hyperlink w:anchor="ref-dadi2025">
        <w:r>
          <w:rPr>
            <w:rStyle w:val="Hyperlink"/>
          </w:rPr>
          <w:t xml:space="preserve">42</w:t>
        </w:r>
      </w:hyperlink>
      <w:r>
        <w:t xml:space="preserve">)</w:t>
      </w:r>
      <w:r>
        <w:t xml:space="preserve">. Precision medicine platforms achieve 92.5% accuracy in parsing complex queries</w:t>
      </w:r>
      <w:r>
        <w:t xml:space="preserve"> </w:t>
      </w:r>
      <w:r>
        <w:t xml:space="preserve">(</w:t>
      </w:r>
      <w:hyperlink w:anchor="ref-yang2025">
        <w:r>
          <w:rPr>
            <w:rStyle w:val="Hyperlink"/>
          </w:rPr>
          <w:t xml:space="preserve">43</w:t>
        </w:r>
      </w:hyperlink>
      <w:r>
        <w:t xml:space="preserve">)</w:t>
      </w:r>
      <w:r>
        <w:t xml:space="preserve">. While current models are</w:t>
      </w:r>
      <w:r>
        <w:t xml:space="preserve"> </w:t>
      </w:r>
      <w:r>
        <w:t xml:space="preserve">“not yet sufficiently accurate for unsupervised use”</w:t>
      </w:r>
      <w:r>
        <w:t xml:space="preserve"> </w:t>
      </w:r>
      <w:r>
        <w:t xml:space="preserve">(</w:t>
      </w:r>
      <w:hyperlink w:anchor="ref-ziletti2024">
        <w:r>
          <w:rPr>
            <w:rStyle w:val="Hyperlink"/>
          </w:rPr>
          <w:t xml:space="preserve">29</w:t>
        </w:r>
      </w:hyperlink>
      <w:r>
        <w:t xml:space="preserve">)</w:t>
      </w:r>
      <w:r>
        <w:t xml:space="preserve">, domain-adapted systems like MedT5SQL reach 80% accuracy on benchmarks</w:t>
      </w:r>
      <w:r>
        <w:t xml:space="preserve"> </w:t>
      </w:r>
      <w:r>
        <w:t xml:space="preserve">(</w:t>
      </w:r>
      <w:hyperlink w:anchor="ref-marshan2024">
        <w:r>
          <w:rPr>
            <w:rStyle w:val="Hyperlink"/>
          </w:rPr>
          <w:t xml:space="preserve">44</w:t>
        </w:r>
      </w:hyperlink>
      <w:r>
        <w:t xml:space="preserve">)</w:t>
      </w:r>
      <w:r>
        <w:t xml:space="preserve">. These tools function as the</w:t>
      </w:r>
      <w:r>
        <w:t xml:space="preserve"> </w:t>
      </w:r>
      <w:r>
        <w:t xml:space="preserve">“externalization engine”</w:t>
      </w:r>
      <w:r>
        <w:t xml:space="preserve"> </w:t>
      </w:r>
      <w:r>
        <w:t xml:space="preserve">required for the HiL-SG framework.</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HiL-SG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45</w:t>
        </w:r>
      </w:hyperlink>
      <w:r>
        <w:t xml:space="preserve">–</w:t>
      </w:r>
      <w:hyperlink w:anchor="ref-arora2025">
        <w:r>
          <w:rPr>
            <w:rStyle w:val="Hyperlink"/>
          </w:rPr>
          <w:t xml:space="preserve">48</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4"/>
    <w:bookmarkEnd w:id="25"/>
    <w:bookmarkStart w:id="28" w:name="the-analytics-resilience-index"/>
    <w:p>
      <w:pPr>
        <w:pStyle w:val="Heading1"/>
      </w:pPr>
      <w:r>
        <w:rPr>
          <w:rStyle w:val="SectionNumber"/>
        </w:rPr>
        <w:t xml:space="preserve">5</w:t>
      </w:r>
      <w:r>
        <w:tab/>
      </w:r>
      <w:r>
        <w:t xml:space="preserve">The Analytics Resilience Index</w:t>
      </w:r>
    </w:p>
    <w:p>
      <w:pPr>
        <w:pStyle w:val="FirstParagraph"/>
      </w:pPr>
      <w:r>
        <w:t xml:space="preserve">To measure success, we propose the</w:t>
      </w:r>
      <w:r>
        <w:t xml:space="preserve"> </w:t>
      </w:r>
      <w:r>
        <w:rPr>
          <w:b/>
          <w:bCs/>
        </w:rPr>
        <w:t xml:space="preserve">Analytics Resilience Index (ARI)</w:t>
      </w:r>
      <w:r>
        <w:t xml:space="preserve">, replacing static checklists with dynamic resilience metrics.</w:t>
      </w:r>
    </w:p>
    <w:bookmarkStart w:id="26" w:name="why-resilience-not-maturity"/>
    <w:p>
      <w:pPr>
        <w:pStyle w:val="Heading2"/>
      </w:pPr>
      <w:r>
        <w:rPr>
          <w:rStyle w:val="SectionNumber"/>
        </w:rPr>
        <w:t xml:space="preserve">5.1</w:t>
      </w:r>
      <w:r>
        <w:tab/>
      </w:r>
      <w:r>
        <w:t xml:space="preserve">Why Resilience, Not Maturity</w:t>
      </w:r>
    </w:p>
    <w:p>
      <w:pPr>
        <w:pStyle w:val="FirstParagraph"/>
      </w:pPr>
      <w:r>
        <w:t xml:space="preserve">Existing maturity models such as the HIMSS Analytics Maturity Assessment Model (AMAM) assume linear progression through discrete stages and implicitly presuppose a stable workforce capable of sustaining each level once achieved</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this assumption is violated routinely. An organization that reaches AMAM Stage 5 but regresses to Stage 3 after the departure of two senior analysts has not failed to mature; it has failed to be</w:t>
      </w:r>
      <w:r>
        <w:t xml:space="preserve"> </w:t>
      </w:r>
      <w:r>
        <w:rPr>
          <w:i/>
          <w:iCs/>
        </w:rPr>
        <w:t xml:space="preserve">resilient</w:t>
      </w:r>
      <w:r>
        <w:t xml:space="preserve">. Static maturity scores capture a snapshot of peak capability but reveal nothing about the organization’s ability to sustain that capability through disruption. The ARI addresses this gap by shifting the measurement focus from</w:t>
      </w:r>
      <w:r>
        <w:t xml:space="preserve"> </w:t>
      </w:r>
      <w:r>
        <w:t xml:space="preserve">“where you are”</w:t>
      </w:r>
      <w:r>
        <w:t xml:space="preserve"> </w:t>
      </w:r>
      <w:r>
        <w:t xml:space="preserve">to</w:t>
      </w:r>
      <w:r>
        <w:t xml:space="preserve"> </w:t>
      </w:r>
      <w:r>
        <w:t xml:space="preserve">“how far you fall when someone leaves.”</w:t>
      </w:r>
    </w:p>
    <w:bookmarkEnd w:id="26"/>
    <w:bookmarkStart w:id="27" w:name="operationalizing-the-ari"/>
    <w:p>
      <w:pPr>
        <w:pStyle w:val="Heading2"/>
      </w:pPr>
      <w:r>
        <w:rPr>
          <w:rStyle w:val="SectionNumber"/>
        </w:rPr>
        <w:t xml:space="preserve">5.2</w:t>
      </w:r>
      <w:r>
        <w:tab/>
      </w:r>
      <w:r>
        <w:t xml:space="preserve">Operationalizing the ARI</w:t>
      </w:r>
    </w:p>
    <w:p>
      <w:pPr>
        <w:pStyle w:val="FirstParagraph"/>
      </w:pPr>
      <w:r>
        <w:t xml:space="preserve">Each ARI dimension (Table 1) can be scored on a Likert-type scale from 1 (fragile) to 5 (antifragile). For example, the</w:t>
      </w:r>
      <w:r>
        <w:t xml:space="preserve"> </w:t>
      </w:r>
      <w:r>
        <w:t xml:space="preserve">“Knowledge Locus”</w:t>
      </w:r>
      <w:r>
        <w:t xml:space="preserve"> </w:t>
      </w:r>
      <w:r>
        <w:t xml:space="preserve">dimension would be scored by surveying whether key analytical queries are documented in a shared, version-controlled repository (score 5) or known only to named individuals who could leave at any time (score 1). Similarly,</w:t>
      </w:r>
      <w:r>
        <w:t xml:space="preserve"> </w:t>
      </w:r>
      <w:r>
        <w:t xml:space="preserve">“Turnover Impact”</w:t>
      </w:r>
      <w:r>
        <w:t xml:space="preserve"> </w:t>
      </w:r>
      <w:r>
        <w:t xml:space="preserve">could be assessed through scenario exercises that simulate the departure of a critical team member and measure the time required to restore reporting capability. An aggregate ARI score across all dimensions provides a composite indicator of organizational resilience posture, enabling longitudinal tracking and cross-institutional benchmarking.</w:t>
      </w:r>
    </w:p>
    <w:p>
      <w:pPr>
        <w:pStyle w:val="BodyText"/>
      </w:pPr>
      <w:r>
        <w:t xml:space="preserve">Critically, the ARI complements rather than replaces AMAM. Where AMAM measures the sophistication of an organization’s analytical capabilities at a point in time, the ARI measures the durability of those capabilities under workforce stress. An organization should aspire to high scores on both instruments: AMAM for capability and ARI for sustainability. Used together, they provide a two-dimensional view of analytics health that neither instrument offers alone.</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“Hero”</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31</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24</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27</w:t>
              </w:r>
            </w:hyperlink>
            <w:r>
              <w:t xml:space="preserve">,</w:t>
            </w:r>
            <w:hyperlink w:anchor="ref-mosqueirarey2023">
              <w:r>
                <w:rPr>
                  <w:rStyle w:val="Hyperlink"/>
                </w:rPr>
                <w:t xml:space="preserve">30</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49</w:t>
              </w:r>
            </w:hyperlink>
            <w:r>
              <w:t xml:space="preserve">,</w:t>
            </w:r>
            <w:hyperlink w:anchor="ref-battula2025">
              <w:r>
                <w:rPr>
                  <w:rStyle w:val="Hyperlink"/>
                </w:rPr>
                <w:t xml:space="preserve">50</w:t>
              </w:r>
            </w:hyperlink>
            <w:r>
              <w:t xml:space="preserve">)</w:t>
            </w:r>
          </w:p>
        </w:tc>
      </w:tr>
    </w:tbl>
    <w:bookmarkEnd w:id="27"/>
    <w:bookmarkEnd w:id="28"/>
    <w:bookmarkStart w:id="29"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HiL-SG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51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51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52</w:t>
        </w:r>
      </w:hyperlink>
      <w:r>
        <w:t xml:space="preserve">)</w:t>
      </w:r>
      <w:r>
        <w:t xml:space="preserve">. Those codified standards survived staff turnover precisely because they existed as organizational artifacts rather than as knowledge held solely by the individuals who created them. The HiL-SG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and understanding how organizational factors (training, supervision, query complexity) influence it, remains an open empirical question. Future work in this series (Paper 2) should measure this threshold via controlled hallucination injection studies, in which AI-generated queries containing deliberate errors are presented to validators of varying experience levels to determine the conditions under which validation ceases to be meaningful.</w:t>
      </w:r>
    </w:p>
    <w:bookmarkEnd w:id="29"/>
    <w:bookmarkStart w:id="30" w:name="safety-as-cognitive-forcing"/>
    <w:p>
      <w:pPr>
        <w:pStyle w:val="Heading1"/>
      </w:pPr>
      <w:r>
        <w:rPr>
          <w:rStyle w:val="SectionNumber"/>
        </w:rPr>
        <w:t xml:space="preserve">7</w:t>
      </w:r>
      <w:r>
        <w:tab/>
      </w:r>
      <w:r>
        <w:t xml:space="preserve">Safety as Cognitive Forcing</w:t>
      </w:r>
    </w:p>
    <w:p>
      <w:pPr>
        <w:pStyle w:val="FirstParagraph"/>
      </w:pPr>
      <w:r>
        <w:t xml:space="preserve">HiL-SG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HiL-SG mitigates this risk through</w:t>
      </w:r>
      <w:r>
        <w:t xml:space="preserve"> </w:t>
      </w:r>
      <w:r>
        <w:rPr>
          <w:b/>
          <w:bCs/>
        </w:rPr>
        <w:t xml:space="preserve">Cognitive Forcing Functions</w:t>
      </w:r>
      <w:r>
        <w:t xml:space="preserve"> </w:t>
      </w:r>
      <w:r>
        <w:t xml:space="preserve">(</w:t>
      </w:r>
      <w:hyperlink w:anchor="ref-ziletti2024">
        <w:r>
          <w:rPr>
            <w:rStyle w:val="Hyperlink"/>
          </w:rPr>
          <w:t xml:space="preserve">29</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53</w:t>
        </w:r>
      </w:hyperlink>
      <w:r>
        <w:t xml:space="preserve">)</w:t>
      </w:r>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HiL-SG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0"/>
    <w:bookmarkStart w:id="31"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54</w:t>
        </w:r>
      </w:hyperlink>
      <w:r>
        <w:t xml:space="preserve">,</w:t>
      </w:r>
      <w:hyperlink w:anchor="ref-strickland2019">
        <w:r>
          <w:rPr>
            <w:rStyle w:val="Hyperlink"/>
          </w:rPr>
          <w:t xml:space="preserve">55</w:t>
        </w:r>
      </w:hyperlink>
      <w:r>
        <w:t xml:space="preserve">)</w:t>
      </w:r>
      <w:r>
        <w:t xml:space="preserve">, Haven</w:t>
      </w:r>
      <w:r>
        <w:t xml:space="preserve"> </w:t>
      </w:r>
      <w:r>
        <w:t xml:space="preserve">(</w:t>
      </w:r>
      <w:hyperlink w:anchor="ref-lavito2021">
        <w:r>
          <w:rPr>
            <w:rStyle w:val="Hyperlink"/>
          </w:rPr>
          <w:t xml:space="preserve">56</w:t>
        </w:r>
      </w:hyperlink>
      <w:r>
        <w:t xml:space="preserve">,</w:t>
      </w:r>
      <w:hyperlink w:anchor="ref-acchiardo2021">
        <w:r>
          <w:rPr>
            <w:rStyle w:val="Hyperlink"/>
          </w:rPr>
          <w:t xml:space="preserve">57</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58</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1"/>
    <w:bookmarkStart w:id="32"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(2024–2025) workforce and NL2SQL studies, so findings may not capture all regional, specialty-specific, or technological contexts. The HiL-SG architecture and the proposed Analytics Resilience Index (ARI) are conceptual artifacts that require future implementation and validation in diverse health systems before their effectiveness and generalizability can be fully established.</w:t>
      </w:r>
    </w:p>
    <w:bookmarkEnd w:id="32"/>
    <w:bookmarkStart w:id="33"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HiL-SG framework and the proposed Analytics Resilience Index. Priority questions include: how ARI scores correlate with observed continuity of analytics performance during leadership and staff turnover; whether HiL-SG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3"/>
    <w:bookmarkStart w:id="34"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34"/>
    <w:bookmarkStart w:id="35" w:name="author-contributions"/>
    <w:p>
      <w:pPr>
        <w:pStyle w:val="Heading1"/>
      </w:pPr>
      <w:r>
        <w:rPr>
          <w:rStyle w:val="SectionNumber"/>
        </w:rPr>
        <w:t xml:space="preserve">12</w:t>
      </w:r>
      <w:r>
        <w:tab/>
      </w:r>
      <w:r>
        <w:t xml:space="preserve">Author Contributions</w:t>
      </w:r>
    </w:p>
    <w:p>
      <w:pPr>
        <w:pStyle w:val="FirstParagraph"/>
      </w:pPr>
      <w:r>
        <w:t xml:space="preserve">S.T.H. conceived the research, conducted the literature review, and wrote the manuscript.</w:t>
      </w:r>
    </w:p>
    <w:bookmarkEnd w:id="35"/>
    <w:bookmarkStart w:id="36"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6"/>
    <w:bookmarkStart w:id="37"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w:t>
      </w:r>
    </w:p>
    <w:bookmarkEnd w:id="37"/>
    <w:bookmarkStart w:id="38"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8"/>
    <w:bookmarkStart w:id="39"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39"/>
    <w:bookmarkStart w:id="156" w:name="references"/>
    <w:p>
      <w:pPr>
        <w:pStyle w:val="Heading1"/>
      </w:pPr>
      <w:r>
        <w:rPr>
          <w:rStyle w:val="SectionNumber"/>
        </w:rPr>
        <w:t xml:space="preserve">17</w:t>
      </w:r>
      <w:r>
        <w:tab/>
      </w:r>
      <w:r>
        <w:t xml:space="preserve">References</w:t>
      </w:r>
    </w:p>
    <w:bookmarkStart w:id="155" w:name="refs"/>
    <w:bookmarkStart w:id="41"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0">
        <w:r>
          <w:rPr>
            <w:rStyle w:val="Hyperlink"/>
          </w:rPr>
          <w:t xml:space="preserve">https://www.himss.org/maturity-models/amam/</w:t>
        </w:r>
      </w:hyperlink>
    </w:p>
    <w:bookmarkEnd w:id="41"/>
    <w:bookmarkStart w:id="43"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42">
        <w:r>
          <w:rPr>
            <w:rStyle w:val="Hyperlink"/>
          </w:rPr>
          <w:t xml:space="preserve">https://www.nyulawreview.org/issues/volume-94-number-4/data-standardization/</w:t>
        </w:r>
      </w:hyperlink>
    </w:p>
    <w:bookmarkEnd w:id="43"/>
    <w:bookmarkStart w:id="44"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44"/>
    <w:bookmarkStart w:id="46"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45">
        <w:r>
          <w:rPr>
            <w:rStyle w:val="Hyperlink"/>
          </w:rPr>
          <w:t xml:space="preserve">https://academic.oup.com/jpart/advance-article-abstract/doi/10.1093/jopart/muaf019/8162522</w:t>
        </w:r>
      </w:hyperlink>
    </w:p>
    <w:bookmarkEnd w:id="46"/>
    <w:bookmarkStart w:id="48"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7">
        <w:r>
          <w:rPr>
            <w:rStyle w:val="Hyperlink"/>
          </w:rPr>
          <w:t xml:space="preserve">https://api.wittkieffer.com/wp-content/uploads/2012/10/cio-insights-the-state-of-healthcare-it-leadership-wittkieffer-october-2024.pdf</w:t>
        </w:r>
      </w:hyperlink>
    </w:p>
    <w:bookmarkEnd w:id="48"/>
    <w:bookmarkStart w:id="50"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49">
        <w:r>
          <w:rPr>
            <w:rStyle w:val="Hyperlink"/>
          </w:rPr>
          <w:t xml:space="preserve">https://www.himss.org/resources/the-future-of-workforce/</w:t>
        </w:r>
      </w:hyperlink>
    </w:p>
    <w:bookmarkEnd w:id="50"/>
    <w:bookmarkStart w:id="52"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1">
        <w:r>
          <w:rPr>
            <w:rStyle w:val="Hyperlink"/>
          </w:rPr>
          <w:t xml:space="preserve">https://academic.oup.com/jpubhealth</w:t>
        </w:r>
      </w:hyperlink>
    </w:p>
    <w:bookmarkEnd w:id="52"/>
    <w:bookmarkStart w:id="54"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53">
        <w:r>
          <w:rPr>
            <w:rStyle w:val="Hyperlink"/>
          </w:rPr>
          <w:t xml:space="preserve">https://www.ahima.org/news-publications/press-room-press-releases/2023-press-releases/health-information-workforce-shortages-persist-as-ai-shows-promise-ahima-survey-reveals/</w:t>
        </w:r>
      </w:hyperlink>
    </w:p>
    <w:bookmarkEnd w:id="54"/>
    <w:bookmarkStart w:id="56"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55">
        <w:r>
          <w:rPr>
            <w:rStyle w:val="Hyperlink"/>
          </w:rPr>
          <w:t xml:space="preserve">https://www.sciencedirect.com/science/article/abs/pii/S0040162516000500</w:t>
        </w:r>
      </w:hyperlink>
    </w:p>
    <w:bookmarkEnd w:id="56"/>
    <w:bookmarkStart w:id="58"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57">
        <w:r>
          <w:rPr>
            <w:rStyle w:val="Hyperlink"/>
          </w:rPr>
          <w:t xml:space="preserve">https://arxiv.org/abs/1908.01839</w:t>
        </w:r>
      </w:hyperlink>
    </w:p>
    <w:bookmarkEnd w:id="58"/>
    <w:bookmarkStart w:id="60"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59">
        <w:r>
          <w:rPr>
            <w:rStyle w:val="Hyperlink"/>
          </w:rPr>
          <w:t xml:space="preserve">https://onlinelibrary.wiley.com/doi/abs/10.1057/palgrave.emr.1500057</w:t>
        </w:r>
      </w:hyperlink>
    </w:p>
    <w:bookmarkEnd w:id="60"/>
    <w:bookmarkStart w:id="62"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61">
        <w:r>
          <w:rPr>
            <w:rStyle w:val="Hyperlink"/>
          </w:rPr>
          <w:t xml:space="preserve">https://www.redjournal.org/article/S0360-3016(16)00260-1/fulltext</w:t>
        </w:r>
      </w:hyperlink>
    </w:p>
    <w:bookmarkEnd w:id="62"/>
    <w:bookmarkStart w:id="64"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63">
        <w:r>
          <w:rPr>
            <w:rStyle w:val="Hyperlink"/>
          </w:rPr>
          <w:t xml:space="preserve">https://human-resources-health.biomedcentral.com/articles/10.1186/1478-4491-11-35</w:t>
        </w:r>
      </w:hyperlink>
    </w:p>
    <w:bookmarkEnd w:id="64"/>
    <w:bookmarkStart w:id="66"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65">
        <w:r>
          <w:rPr>
            <w:rStyle w:val="Hyperlink"/>
          </w:rPr>
          <w:t xml:space="preserve">https://pubmed.ncbi.nlm.nih.gov/20054502/</w:t>
        </w:r>
      </w:hyperlink>
    </w:p>
    <w:bookmarkEnd w:id="66"/>
    <w:bookmarkStart w:id="68"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67">
        <w:r>
          <w:rPr>
            <w:rStyle w:val="Hyperlink"/>
          </w:rPr>
          <w:t xml:space="preserve">https://dl.acm.org/doi/10.1145/1017114.1017118</w:t>
        </w:r>
      </w:hyperlink>
    </w:p>
    <w:bookmarkEnd w:id="68"/>
    <w:bookmarkStart w:id="70" w:name="ref-nsi2025"/>
    <w:p>
      <w:pPr>
        <w:pStyle w:val="Bibliography"/>
      </w:pPr>
      <w:r>
        <w:t xml:space="preserve">16.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69">
        <w:r>
          <w:rPr>
            <w:rStyle w:val="Hyperlink"/>
          </w:rPr>
          <w:t xml:space="preserve">https://www.nsinursingsolutions.com/documents/library/nsi_national_health_care_retention_report.pdf</w:t>
        </w:r>
      </w:hyperlink>
    </w:p>
    <w:bookmarkEnd w:id="70"/>
    <w:bookmarkStart w:id="72"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71">
        <w:r>
          <w:rPr>
            <w:rStyle w:val="Hyperlink"/>
          </w:rPr>
          <w:t xml:space="preserve">https://dspace.flinders.edu.au/jspui/bitstream/2328/3326/4/AACODS_Checklist.pdf</w:t>
        </w:r>
      </w:hyperlink>
    </w:p>
    <w:bookmarkEnd w:id="72"/>
    <w:bookmarkStart w:id="74" w:name="ref-farnese2019"/>
    <w:p>
      <w:pPr>
        <w:pStyle w:val="Bibliography"/>
      </w:pPr>
      <w:r>
        <w:t xml:space="preserve">18.</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73">
        <w:r>
          <w:rPr>
            <w:rStyle w:val="Hyperlink"/>
          </w:rPr>
          <w:t xml:space="preserve">https://www.frontiersin.org/articles/10.3389/fpsyg.2019.02730</w:t>
        </w:r>
      </w:hyperlink>
    </w:p>
    <w:bookmarkEnd w:id="74"/>
    <w:bookmarkStart w:id="76" w:name="ref-bravorocca2023"/>
    <w:p>
      <w:pPr>
        <w:pStyle w:val="Bibliography"/>
      </w:pPr>
      <w:r>
        <w:t xml:space="preserve">19.</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75">
        <w:r>
          <w:rPr>
            <w:rStyle w:val="Hyperlink"/>
          </w:rPr>
          <w:t xml:space="preserve">https://www.tdx.cat/bitstream/handle/10803/695722/TGJBR1de1.pdf?sequence=1</w:t>
        </w:r>
      </w:hyperlink>
    </w:p>
    <w:bookmarkEnd w:id="76"/>
    <w:bookmarkStart w:id="78" w:name="ref-foos2006"/>
    <w:p>
      <w:pPr>
        <w:pStyle w:val="Bibliography"/>
      </w:pPr>
      <w:r>
        <w:t xml:space="preserve">20.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77">
        <w:r>
          <w:rPr>
            <w:rStyle w:val="Hyperlink"/>
          </w:rPr>
          <w:t xml:space="preserve">https://www.emerald.com/insight/content/doi/10.1108/13673270610650067/full/html</w:t>
        </w:r>
      </w:hyperlink>
    </w:p>
    <w:bookmarkEnd w:id="78"/>
    <w:bookmarkStart w:id="80" w:name="ref-konrad2022"/>
    <w:p>
      <w:pPr>
        <w:pStyle w:val="Bibliography"/>
      </w:pPr>
      <w:r>
        <w:t xml:space="preserve">21.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79">
        <w:r>
          <w:rPr>
            <w:rStyle w:val="Hyperlink"/>
          </w:rPr>
          <w:t xml:space="preserve">https://www.diva-portal.org/smash/record.jsf?pid=diva2:1684142</w:t>
        </w:r>
      </w:hyperlink>
    </w:p>
    <w:bookmarkEnd w:id="80"/>
    <w:bookmarkStart w:id="82" w:name="ref-wu2024"/>
    <w:p>
      <w:pPr>
        <w:pStyle w:val="Bibliography"/>
      </w:pPr>
      <w:r>
        <w:t xml:space="preserve">22.</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81">
        <w:r>
          <w:rPr>
            <w:rStyle w:val="Hyperlink"/>
          </w:rPr>
          <w:t xml:space="preserve">https://pmc.ncbi.nlm.nih.gov/articles/PMC10802134/</w:t>
        </w:r>
      </w:hyperlink>
    </w:p>
    <w:bookmarkEnd w:id="82"/>
    <w:bookmarkStart w:id="84" w:name="ref-ren2024"/>
    <w:p>
      <w:pPr>
        <w:pStyle w:val="Bibliography"/>
      </w:pPr>
      <w:r>
        <w:t xml:space="preserve">23.</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83">
        <w:r>
          <w:rPr>
            <w:rStyle w:val="Hyperlink"/>
          </w:rPr>
          <w:t xml:space="preserve">https://pmc.ncbi.nlm.nih.gov/articles/PMC11919231/</w:t>
        </w:r>
      </w:hyperlink>
    </w:p>
    <w:bookmarkEnd w:id="84"/>
    <w:bookmarkStart w:id="86"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85">
        <w:r>
          <w:rPr>
            <w:rStyle w:val="Hyperlink"/>
          </w:rPr>
          <w:t xml:space="preserve">https://doi.org/10.1108/JKM-08-2016-0338</w:t>
        </w:r>
      </w:hyperlink>
    </w:p>
    <w:bookmarkEnd w:id="86"/>
    <w:bookmarkStart w:id="88" w:name="ref-zhang2025"/>
    <w:p>
      <w:pPr>
        <w:pStyle w:val="Bibliography"/>
      </w:pPr>
      <w:r>
        <w:t xml:space="preserve">25.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87">
        <w:r>
          <w:rPr>
            <w:rStyle w:val="Hyperlink"/>
          </w:rPr>
          <w:t xml:space="preserve">https://www.emerald.com/insight/content/doi/10.1108/JKM-03-2024-0262/full/html</w:t>
        </w:r>
      </w:hyperlink>
    </w:p>
    <w:bookmarkEnd w:id="88"/>
    <w:bookmarkStart w:id="90" w:name="ref-goffin2011"/>
    <w:p>
      <w:pPr>
        <w:pStyle w:val="Bibliography"/>
      </w:pPr>
      <w:r>
        <w:t xml:space="preserve">26.</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89">
        <w:r>
          <w:rPr>
            <w:rStyle w:val="Hyperlink"/>
          </w:rPr>
          <w:t xml:space="preserve">https://onlinelibrary.wiley.com/doi/abs/10.1111/j.1540-5885.2010.00798.x</w:t>
        </w:r>
      </w:hyperlink>
    </w:p>
    <w:bookmarkEnd w:id="90"/>
    <w:bookmarkStart w:id="92" w:name="ref-moore2018"/>
    <w:p>
      <w:pPr>
        <w:pStyle w:val="Bibliography"/>
      </w:pPr>
      <w:r>
        <w:t xml:space="preserve">27.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91">
        <w:r>
          <w:rPr>
            <w:rStyle w:val="Hyperlink"/>
          </w:rPr>
          <w:t xml:space="preserve">https://wendyju.com/publications/18_ijee3593.pdf</w:t>
        </w:r>
      </w:hyperlink>
    </w:p>
    <w:bookmarkEnd w:id="92"/>
    <w:bookmarkStart w:id="94"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93">
        <w:r>
          <w:rPr>
            <w:rStyle w:val="Hyperlink"/>
          </w:rPr>
          <w:t xml:space="preserve">https://arxiv.org/abs/2301.07695</w:t>
        </w:r>
      </w:hyperlink>
    </w:p>
    <w:bookmarkEnd w:id="94"/>
    <w:bookmarkStart w:id="96"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95">
        <w:r>
          <w:rPr>
            <w:rStyle w:val="Hyperlink"/>
          </w:rPr>
          <w:t xml:space="preserve">https://arxiv.org/abs/2403.09226</w:t>
        </w:r>
      </w:hyperlink>
    </w:p>
    <w:bookmarkEnd w:id="96"/>
    <w:bookmarkStart w:id="98" w:name="ref-mosqueirarey2023"/>
    <w:p>
      <w:pPr>
        <w:pStyle w:val="Bibliography"/>
      </w:pPr>
      <w:r>
        <w:t xml:space="preserve">30.</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97">
        <w:r>
          <w:rPr>
            <w:rStyle w:val="Hyperlink"/>
          </w:rPr>
          <w:t xml:space="preserve">https://link.springer.com/content/pdf/10.1007/s10462-022-10246-w.pdf</w:t>
        </w:r>
      </w:hyperlink>
    </w:p>
    <w:bookmarkEnd w:id="98"/>
    <w:bookmarkStart w:id="100"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99">
        <w:r>
          <w:rPr>
            <w:rStyle w:val="Hyperlink"/>
          </w:rPr>
          <w:t xml:space="preserve">https://doi.org/10.1016/j.ijinfomgt.2003.12.012</w:t>
        </w:r>
      </w:hyperlink>
    </w:p>
    <w:bookmarkEnd w:id="100"/>
    <w:bookmarkStart w:id="102" w:name="ref-whittaker2008"/>
    <w:p>
      <w:pPr>
        <w:pStyle w:val="Bibliography"/>
      </w:pPr>
      <w:r>
        <w:t xml:space="preserve">32.</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01">
        <w:r>
          <w:rPr>
            <w:rStyle w:val="Hyperlink"/>
          </w:rPr>
          <w:t xml:space="preserve">https://www.academia.edu/download/41283190/Design_and_evaluation_of_systems_to_supp20160117-25708-98zc50.pdf</w:t>
        </w:r>
      </w:hyperlink>
    </w:p>
    <w:bookmarkEnd w:id="102"/>
    <w:bookmarkStart w:id="104" w:name="ref-himss2024news"/>
    <w:p>
      <w:pPr>
        <w:pStyle w:val="Bibliography"/>
      </w:pPr>
      <w:r>
        <w:t xml:space="preserve">33.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03">
        <w:r>
          <w:rPr>
            <w:rStyle w:val="Hyperlink"/>
          </w:rPr>
          <w:t xml:space="preserve">https://www.healthcareitnews.com/news/asia/himss24-apac-adoption-model-analytics-maturity-gets-facelift</w:t>
        </w:r>
      </w:hyperlink>
    </w:p>
    <w:bookmarkEnd w:id="104"/>
    <w:bookmarkStart w:id="106" w:name="ref-health2020"/>
    <w:p>
      <w:pPr>
        <w:pStyle w:val="Bibliography"/>
      </w:pPr>
      <w:r>
        <w:t xml:space="preserve">34.</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05">
        <w:r>
          <w:rPr>
            <w:rStyle w:val="Hyperlink"/>
          </w:rPr>
          <w:t xml:space="preserve">https://www.healthcatalyst.com/learn/insights/healthcare-analytics-adoption-model-roadmap-analytic-maturity</w:t>
        </w:r>
      </w:hyperlink>
    </w:p>
    <w:bookmarkEnd w:id="106"/>
    <w:bookmarkStart w:id="108"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07">
        <w:r>
          <w:rPr>
            <w:rStyle w:val="Hyperlink"/>
          </w:rPr>
          <w:t xml:space="preserve">https://www.jmir.org/2024/1/e56316</w:t>
        </w:r>
      </w:hyperlink>
    </w:p>
    <w:bookmarkEnd w:id="108"/>
    <w:bookmarkStart w:id="110" w:name="ref-yang2021"/>
    <w:p>
      <w:pPr>
        <w:pStyle w:val="Bibliography"/>
      </w:pPr>
      <w:r>
        <w:t xml:space="preserve">36.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09">
        <w:r>
          <w:rPr>
            <w:rStyle w:val="Hyperlink"/>
          </w:rPr>
          <w:t xml:space="preserve">https://jamanetwork.com/journals/jamanetworkopen/fullarticle/2777777</w:t>
        </w:r>
      </w:hyperlink>
    </w:p>
    <w:bookmarkEnd w:id="110"/>
    <w:bookmarkStart w:id="112" w:name="ref-latrella2024"/>
    <w:p>
      <w:pPr>
        <w:pStyle w:val="Bibliography"/>
      </w:pPr>
      <w:r>
        <w:t xml:space="preserve">37.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11">
        <w:r>
          <w:rPr>
            <w:rStyle w:val="Hyperlink"/>
          </w:rPr>
          <w:t xml:space="preserve">https://www.ingentaconnect.com/content/hsp/mih/2024/00000008/00000004/art00006</w:t>
        </w:r>
      </w:hyperlink>
    </w:p>
    <w:bookmarkEnd w:id="112"/>
    <w:bookmarkStart w:id="114" w:name="ref-nashid2023"/>
    <w:p>
      <w:pPr>
        <w:pStyle w:val="Bibliography"/>
      </w:pPr>
      <w:r>
        <w:t xml:space="preserve">38.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13">
        <w:r>
          <w:rPr>
            <w:rStyle w:val="Hyperlink"/>
          </w:rPr>
          <w:t xml:space="preserve">https://doi.org/10.25163/business.1110345</w:t>
        </w:r>
      </w:hyperlink>
    </w:p>
    <w:bookmarkEnd w:id="114"/>
    <w:bookmarkStart w:id="116" w:name="ref-shahbaz2019"/>
    <w:p>
      <w:pPr>
        <w:pStyle w:val="Bibliography"/>
      </w:pPr>
      <w:r>
        <w:t xml:space="preserve">39.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15">
        <w:r>
          <w:rPr>
            <w:rStyle w:val="Hyperlink"/>
          </w:rPr>
          <w:t xml:space="preserve">https://journalofbigdata.springeropen.com/articles/10.1186/s40537-019-0170-y</w:t>
        </w:r>
      </w:hyperlink>
    </w:p>
    <w:bookmarkEnd w:id="116"/>
    <w:bookmarkStart w:id="118" w:name="ref-kamble2019"/>
    <w:p>
      <w:pPr>
        <w:pStyle w:val="Bibliography"/>
      </w:pPr>
      <w:r>
        <w:t xml:space="preserve">40.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17">
        <w:r>
          <w:rPr>
            <w:rStyle w:val="Hyperlink"/>
          </w:rPr>
          <w:t xml:space="preserve">https://www.tandfonline.com/doi/full/10.1080/20479700.2018.1531606</w:t>
        </w:r>
      </w:hyperlink>
    </w:p>
    <w:bookmarkEnd w:id="118"/>
    <w:bookmarkStart w:id="120" w:name="ref-oracle2024"/>
    <w:p>
      <w:pPr>
        <w:pStyle w:val="Bibliography"/>
      </w:pPr>
      <w:r>
        <w:t xml:space="preserve">41.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19">
        <w:r>
          <w:rPr>
            <w:rStyle w:val="Hyperlink"/>
          </w:rPr>
          <w:t xml:space="preserve">https://www.oracle.com/human-capital-management/cost-employee-turnover-healthcare/</w:t>
        </w:r>
      </w:hyperlink>
    </w:p>
    <w:bookmarkEnd w:id="120"/>
    <w:bookmarkStart w:id="122" w:name="ref-dadi2025"/>
    <w:p>
      <w:pPr>
        <w:pStyle w:val="Bibliography"/>
      </w:pPr>
      <w:r>
        <w:t xml:space="preserve">42.</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21">
        <w:r>
          <w:rPr>
            <w:rStyle w:val="Hyperlink"/>
          </w:rPr>
          <w:t xml:space="preserve">https://al-kindipublisher.com/index.php/jcsts/article/view/9694</w:t>
        </w:r>
      </w:hyperlink>
    </w:p>
    <w:bookmarkEnd w:id="122"/>
    <w:bookmarkStart w:id="124" w:name="ref-yang2025"/>
    <w:p>
      <w:pPr>
        <w:pStyle w:val="Bibliography"/>
      </w:pPr>
      <w:r>
        <w:t xml:space="preserve">43.</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23">
        <w:r>
          <w:rPr>
            <w:rStyle w:val="Hyperlink"/>
          </w:rPr>
          <w:t xml:space="preserve">https://bioinform.jmir.org/2025/1/e63139</w:t>
        </w:r>
      </w:hyperlink>
    </w:p>
    <w:bookmarkEnd w:id="124"/>
    <w:bookmarkStart w:id="126" w:name="ref-marshan2024"/>
    <w:p>
      <w:pPr>
        <w:pStyle w:val="Bibliography"/>
      </w:pPr>
      <w:r>
        <w:t xml:space="preserve">44.</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25">
        <w:r>
          <w:rPr>
            <w:rStyle w:val="Hyperlink"/>
          </w:rPr>
          <w:t xml:space="preserve">https://www.frontiersin.org/articles/10.3389/fdata.2024.1371680</w:t>
        </w:r>
      </w:hyperlink>
    </w:p>
    <w:bookmarkEnd w:id="126"/>
    <w:bookmarkStart w:id="128" w:name="ref-anthropic2025"/>
    <w:p>
      <w:pPr>
        <w:pStyle w:val="Bibliography"/>
      </w:pPr>
      <w:r>
        <w:t xml:space="preserve">45.</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46.</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47.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48.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mannapur2025"/>
    <w:p>
      <w:pPr>
        <w:pStyle w:val="Bibliography"/>
      </w:pPr>
      <w:r>
        <w:t xml:space="preserve">49.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35">
        <w:r>
          <w:rPr>
            <w:rStyle w:val="Hyperlink"/>
          </w:rPr>
          <w:t xml:space="preserve">https://www.quantbeckman.com/api/v1/file/5b240742-bf0d-4f8c-a0f9-cb29fab42611.pdf</w:t>
        </w:r>
      </w:hyperlink>
    </w:p>
    <w:bookmarkEnd w:id="136"/>
    <w:bookmarkStart w:id="138" w:name="ref-battula2025"/>
    <w:p>
      <w:pPr>
        <w:pStyle w:val="Bibliography"/>
      </w:pPr>
      <w:r>
        <w:t xml:space="preserve">50.</w:t>
      </w:r>
      <w:r>
        <w:t xml:space="preserve"> </w:t>
      </w:r>
      <w:r>
        <w:t xml:space="preserve">	</w:t>
      </w:r>
      <w:r>
        <w:t xml:space="preserve">Battula SKY.</w:t>
      </w:r>
      <w:r>
        <w:t xml:space="preserve"> </w:t>
      </w:r>
      <w:hyperlink r:id="rId13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38"/>
    <w:bookmarkStart w:id="140" w:name="ref-alukal2006"/>
    <w:p>
      <w:pPr>
        <w:pStyle w:val="Bibliography"/>
      </w:pPr>
      <w:r>
        <w:t xml:space="preserve">51.</w:t>
      </w:r>
      <w:r>
        <w:t xml:space="preserve"> </w:t>
      </w:r>
      <w:r>
        <w:t xml:space="preserve">	</w:t>
      </w:r>
      <w:r>
        <w:t xml:space="preserve">Alukal VG, Manos A. Lean kaizen: A simplified approach to process improvement [Internet]. Milwaukee, WI: ASQ Quality Press; 2006. Available from:</w:t>
      </w:r>
      <w:r>
        <w:t xml:space="preserve"> </w:t>
      </w:r>
      <w:hyperlink r:id="rId139">
        <w:r>
          <w:rPr>
            <w:rStyle w:val="Hyperlink"/>
          </w:rPr>
          <w:t xml:space="preserve">https://books.google.com/books?id=9uqiEAAAQBAJ</w:t>
        </w:r>
      </w:hyperlink>
    </w:p>
    <w:bookmarkEnd w:id="140"/>
    <w:bookmarkStart w:id="142" w:name="ref-himss2025ucdavis"/>
    <w:p>
      <w:pPr>
        <w:pStyle w:val="Bibliography"/>
      </w:pPr>
      <w:r>
        <w:t xml:space="preserve">52.</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41">
        <w:r>
          <w:rPr>
            <w:rStyle w:val="Hyperlink"/>
          </w:rPr>
          <w:t xml:space="preserve">https://pages.himss.org/LP-HA-Case-Study-UC-Davis.html</w:t>
        </w:r>
      </w:hyperlink>
    </w:p>
    <w:bookmarkEnd w:id="142"/>
    <w:bookmarkStart w:id="144" w:name="ref-ipeirotis2025"/>
    <w:p>
      <w:pPr>
        <w:pStyle w:val="Bibliography"/>
      </w:pPr>
      <w:r>
        <w:t xml:space="preserve">53.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43">
        <w:r>
          <w:rPr>
            <w:rStyle w:val="Hyperlink"/>
          </w:rPr>
          <w:t xml:space="preserve">https://arxiv.org/abs/2511.14718</w:t>
        </w:r>
      </w:hyperlink>
    </w:p>
    <w:bookmarkEnd w:id="144"/>
    <w:bookmarkStart w:id="146" w:name="ref-ibm2022"/>
    <w:p>
      <w:pPr>
        <w:pStyle w:val="Bibliography"/>
      </w:pPr>
      <w:r>
        <w:t xml:space="preserve">54.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45">
        <w:r>
          <w:rPr>
            <w:rStyle w:val="Hyperlink"/>
          </w:rPr>
          <w:t xml:space="preserve">https://newsroom.ibm.com/2022-01-21-Francisco-Partners-to-Acquire-IBMs-Healthcare-Data-and-Analytics-Assets</w:t>
        </w:r>
      </w:hyperlink>
    </w:p>
    <w:bookmarkEnd w:id="146"/>
    <w:bookmarkStart w:id="148" w:name="ref-strickland2019"/>
    <w:p>
      <w:pPr>
        <w:pStyle w:val="Bibliography"/>
      </w:pPr>
      <w:r>
        <w:t xml:space="preserve">55.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47">
        <w:r>
          <w:rPr>
            <w:rStyle w:val="Hyperlink"/>
          </w:rPr>
          <w:t xml:space="preserve">https://ieeexplore.ieee.org/abstract/document/8678513/</w:t>
        </w:r>
      </w:hyperlink>
    </w:p>
    <w:bookmarkEnd w:id="148"/>
    <w:bookmarkStart w:id="150" w:name="ref-lavito2021"/>
    <w:p>
      <w:pPr>
        <w:pStyle w:val="Bibliography"/>
      </w:pPr>
      <w:r>
        <w:t xml:space="preserve">56.</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49">
        <w:r>
          <w:rPr>
            <w:rStyle w:val="Hyperlink"/>
          </w:rPr>
          <w:t xml:space="preserve">https://www.cnbc.com/2021/01/04/haven-the-amazon-berkshire-jpmorgan-venture-to-disrupt-healthcare-is-disbanding-after-3-years.html</w:t>
        </w:r>
      </w:hyperlink>
    </w:p>
    <w:bookmarkEnd w:id="150"/>
    <w:bookmarkStart w:id="152" w:name="ref-acchiardo2021"/>
    <w:p>
      <w:pPr>
        <w:pStyle w:val="Bibliography"/>
      </w:pPr>
      <w:r>
        <w:t xml:space="preserve">57.</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51">
        <w:r>
          <w:rPr>
            <w:rStyle w:val="Hyperlink"/>
          </w:rPr>
          <w:t xml:space="preserve">https://www.academicradiology.org/article/S1076-6332(21)00140-9/abstract</w:t>
        </w:r>
      </w:hyperlink>
    </w:p>
    <w:bookmarkEnd w:id="152"/>
    <w:bookmarkStart w:id="154" w:name="ref-yang2020"/>
    <w:p>
      <w:pPr>
        <w:pStyle w:val="Bibliography"/>
      </w:pPr>
      <w:r>
        <w:t xml:space="preserve">58.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53">
        <w:r>
          <w:rPr>
            <w:rStyle w:val="Hyperlink"/>
          </w:rPr>
          <w:t xml:space="preserve">https://oulurepo.oulu.fi/bitstream/handle/10024/27921/nbnfi-fe2020050424858.pdf</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5" Target="https://academic.oup.com/jpart/advance-article-abstract/doi/10.1093/jopart/muaf019/8162522" TargetMode="External" /><Relationship Type="http://schemas.openxmlformats.org/officeDocument/2006/relationships/hyperlink" Id="rId51" Target="https://academic.oup.com/jpubhealth" TargetMode="External" /><Relationship Type="http://schemas.openxmlformats.org/officeDocument/2006/relationships/hyperlink" Id="rId121" Target="https://al-kindipublisher.com/index.php/jcsts/article/view/9694" TargetMode="External" /><Relationship Type="http://schemas.openxmlformats.org/officeDocument/2006/relationships/hyperlink" Id="rId47" Target="https://api.wittkieffer.com/wp-content/uploads/2012/10/cio-insights-the-state-of-healthcare-it-leadership-wittkieffer-october-2024.pdf" TargetMode="External" /><Relationship Type="http://schemas.openxmlformats.org/officeDocument/2006/relationships/hyperlink" Id="rId57" Target="https://arxiv.org/abs/1908.01839" TargetMode="External" /><Relationship Type="http://schemas.openxmlformats.org/officeDocument/2006/relationships/hyperlink" Id="rId93" Target="https://arxiv.org/abs/2301.07695" TargetMode="External" /><Relationship Type="http://schemas.openxmlformats.org/officeDocument/2006/relationships/hyperlink" Id="rId95" Target="https://arxiv.org/abs/2403.09226" TargetMode="External" /><Relationship Type="http://schemas.openxmlformats.org/officeDocument/2006/relationships/hyperlink" Id="rId143" Target="https://arxiv.org/abs/2511.14718" TargetMode="External" /><Relationship Type="http://schemas.openxmlformats.org/officeDocument/2006/relationships/hyperlink" Id="rId123" Target="https://bioinform.jmir.org/2025/1/e63139" TargetMode="External" /><Relationship Type="http://schemas.openxmlformats.org/officeDocument/2006/relationships/hyperlink" Id="rId139" Target="https://books.google.com/books?id=9uqiEAAAQBAJ" TargetMode="External" /><Relationship Type="http://schemas.openxmlformats.org/officeDocument/2006/relationships/hyperlink" Id="rId67"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99" Target="https://doi.org/10.1016/j.ijinfomgt.2003.12.012" TargetMode="External" /><Relationship Type="http://schemas.openxmlformats.org/officeDocument/2006/relationships/hyperlink" Id="rId85" Target="https://doi.org/10.1108/JKM-08-2016-0338" TargetMode="External" /><Relationship Type="http://schemas.openxmlformats.org/officeDocument/2006/relationships/hyperlink" Id="rId113" Target="https://doi.org/10.25163/business.1110345" TargetMode="External" /><Relationship Type="http://schemas.openxmlformats.org/officeDocument/2006/relationships/hyperlink" Id="rId137" Target="https://doi.org/10.63282/3050-9262.IJAIDSML-V6I4P130" TargetMode="External" /><Relationship Type="http://schemas.openxmlformats.org/officeDocument/2006/relationships/hyperlink" Id="rId71" Target="https://dspace.flinders.edu.au/jspui/bitstream/2328/3326/4/AACODS_Checklist.pdf" TargetMode="External" /><Relationship Type="http://schemas.openxmlformats.org/officeDocument/2006/relationships/hyperlink" Id="rId63" Target="https://human-resources-health.biomedcentral.com/articles/10.1186/1478-4491-11-35" TargetMode="External" /><Relationship Type="http://schemas.openxmlformats.org/officeDocument/2006/relationships/hyperlink" Id="rId147" Target="https://ieeexplore.ieee.org/abstract/document/8678513/" TargetMode="External" /><Relationship Type="http://schemas.openxmlformats.org/officeDocument/2006/relationships/hyperlink" Id="rId109" Target="https://jamanetwork.com/journals/jamanetworkopen/fullarticle/2777777" TargetMode="External" /><Relationship Type="http://schemas.openxmlformats.org/officeDocument/2006/relationships/hyperlink" Id="rId115" Target="https://journalofbigdata.springeropen.com/articles/10.1186/s40537-019-0170-y" TargetMode="External" /><Relationship Type="http://schemas.openxmlformats.org/officeDocument/2006/relationships/hyperlink" Id="rId97" Target="https://link.springer.com/content/pdf/10.1007/s10462-022-10246-w.pdf" TargetMode="External" /><Relationship Type="http://schemas.openxmlformats.org/officeDocument/2006/relationships/hyperlink" Id="rId145" Target="https://newsroom.ibm.com/2022-01-21-Francisco-Partners-to-Acquire-IBMs-Healthcare-Data-and-Analytics-Assets" TargetMode="External" /><Relationship Type="http://schemas.openxmlformats.org/officeDocument/2006/relationships/hyperlink" Id="rId59" Target="https://onlinelibrary.wiley.com/doi/abs/10.1057/palgrave.emr.1500057" TargetMode="External" /><Relationship Type="http://schemas.openxmlformats.org/officeDocument/2006/relationships/hyperlink" Id="rId89" Target="https://onlinelibrary.wiley.com/doi/abs/10.1111/j.1540-5885.2010.00798.x" TargetMode="External" /><Relationship Type="http://schemas.openxmlformats.org/officeDocument/2006/relationships/hyperlink" Id="rId153" Target="https://oulurepo.oulu.fi/bitstream/handle/10024/27921/nbnfi-fe2020050424858.pdf" TargetMode="External" /><Relationship Type="http://schemas.openxmlformats.org/officeDocument/2006/relationships/hyperlink" Id="rId141"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81" Target="https://pmc.ncbi.nlm.nih.gov/articles/PMC10802134/" TargetMode="External" /><Relationship Type="http://schemas.openxmlformats.org/officeDocument/2006/relationships/hyperlink" Id="rId83" Target="https://pmc.ncbi.nlm.nih.gov/articles/PMC11919231/" TargetMode="External" /><Relationship Type="http://schemas.openxmlformats.org/officeDocument/2006/relationships/hyperlink" Id="rId65" Target="https://pubmed.ncbi.nlm.nih.gov/20054502/"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91" Target="https://wendyju.com/publications/18_ijee3593.pdf" TargetMode="External" /><Relationship Type="http://schemas.openxmlformats.org/officeDocument/2006/relationships/hyperlink" Id="rId101" Target="https://www.academia.edu/download/41283190/Design_and_evaluation_of_systems_to_supp20160117-25708-98zc50.pdf" TargetMode="External" /><Relationship Type="http://schemas.openxmlformats.org/officeDocument/2006/relationships/hyperlink" Id="rId151" Target="https://www.academicradiology.org/article/S1076-6332(21)00140-9/abstract" TargetMode="External" /><Relationship Type="http://schemas.openxmlformats.org/officeDocument/2006/relationships/hyperlink" Id="rId53"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149" Target="https://www.cnbc.com/2021/01/04/haven-the-amazon-berkshire-jpmorgan-venture-to-disrupt-healthcare-is-disbanding-after-3-years.html" TargetMode="External" /><Relationship Type="http://schemas.openxmlformats.org/officeDocument/2006/relationships/hyperlink" Id="rId79" Target="https://www.diva-portal.org/smash/record.jsf?pid=diva2:1684142" TargetMode="External" /><Relationship Type="http://schemas.openxmlformats.org/officeDocument/2006/relationships/hyperlink" Id="rId77" Target="https://www.emerald.com/insight/content/doi/10.1108/13673270610650067/full/html" TargetMode="External" /><Relationship Type="http://schemas.openxmlformats.org/officeDocument/2006/relationships/hyperlink" Id="rId87" Target="https://www.emerald.com/insight/content/doi/10.1108/JKM-03-2024-0262/full/html" TargetMode="External" /><Relationship Type="http://schemas.openxmlformats.org/officeDocument/2006/relationships/hyperlink" Id="rId125" Target="https://www.frontiersin.org/articles/10.3389/fdata.2024.1371680" TargetMode="External" /><Relationship Type="http://schemas.openxmlformats.org/officeDocument/2006/relationships/hyperlink" Id="rId73" Target="https://www.frontiersin.org/articles/10.3389/fpsyg.2019.02730" TargetMode="External" /><Relationship Type="http://schemas.openxmlformats.org/officeDocument/2006/relationships/hyperlink" Id="rId103" Target="https://www.healthcareitnews.com/news/asia/himss24-apac-adoption-model-analytics-maturity-gets-facelift" TargetMode="External" /><Relationship Type="http://schemas.openxmlformats.org/officeDocument/2006/relationships/hyperlink" Id="rId105"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9" Target="https://www.himss.org/resources/the-future-of-workforce/" TargetMode="External" /><Relationship Type="http://schemas.openxmlformats.org/officeDocument/2006/relationships/hyperlink" Id="rId111" Target="https://www.ingentaconnect.com/content/hsp/mih/2024/00000008/00000004/art00006" TargetMode="External" /><Relationship Type="http://schemas.openxmlformats.org/officeDocument/2006/relationships/hyperlink" Id="rId107" Target="https://www.jmir.org/2024/1/e56316" TargetMode="External" /><Relationship Type="http://schemas.openxmlformats.org/officeDocument/2006/relationships/hyperlink" Id="rId69" Target="https://www.nsinursingsolutions.com/documents/library/nsi_national_health_care_retention_report.pdf" TargetMode="External" /><Relationship Type="http://schemas.openxmlformats.org/officeDocument/2006/relationships/hyperlink" Id="rId42" Target="https://www.nyulawreview.org/issues/volume-94-number-4/data-standardization/" TargetMode="External" /><Relationship Type="http://schemas.openxmlformats.org/officeDocument/2006/relationships/hyperlink" Id="rId119" Target="https://www.oracle.com/human-capital-management/cost-employee-turnover-healthcare/" TargetMode="External" /><Relationship Type="http://schemas.openxmlformats.org/officeDocument/2006/relationships/hyperlink" Id="rId135" Target="https://www.quantbeckman.com/api/v1/file/5b240742-bf0d-4f8c-a0f9-cb29fab42611.pdf" TargetMode="External" /><Relationship Type="http://schemas.openxmlformats.org/officeDocument/2006/relationships/hyperlink" Id="rId61" Target="https://www.redjournal.org/article/S0360-3016(16)00260-1/fulltext" TargetMode="External" /><Relationship Type="http://schemas.openxmlformats.org/officeDocument/2006/relationships/hyperlink" Id="rId55" Target="https://www.sciencedirect.com/science/article/abs/pii/S0040162516000500" TargetMode="External" /><Relationship Type="http://schemas.openxmlformats.org/officeDocument/2006/relationships/hyperlink" Id="rId117" Target="https://www.tandfonline.com/doi/full/10.1080/20479700.2018.1531606" TargetMode="External" /><Relationship Type="http://schemas.openxmlformats.org/officeDocument/2006/relationships/hyperlink" Id="rId75"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5" Target="https://academic.oup.com/jpart/advance-article-abstract/doi/10.1093/jopart/muaf019/8162522" TargetMode="External" /><Relationship Type="http://schemas.openxmlformats.org/officeDocument/2006/relationships/hyperlink" Id="rId51" Target="https://academic.oup.com/jpubhealth" TargetMode="External" /><Relationship Type="http://schemas.openxmlformats.org/officeDocument/2006/relationships/hyperlink" Id="rId121" Target="https://al-kindipublisher.com/index.php/jcsts/article/view/9694" TargetMode="External" /><Relationship Type="http://schemas.openxmlformats.org/officeDocument/2006/relationships/hyperlink" Id="rId47" Target="https://api.wittkieffer.com/wp-content/uploads/2012/10/cio-insights-the-state-of-healthcare-it-leadership-wittkieffer-october-2024.pdf" TargetMode="External" /><Relationship Type="http://schemas.openxmlformats.org/officeDocument/2006/relationships/hyperlink" Id="rId57" Target="https://arxiv.org/abs/1908.01839" TargetMode="External" /><Relationship Type="http://schemas.openxmlformats.org/officeDocument/2006/relationships/hyperlink" Id="rId93" Target="https://arxiv.org/abs/2301.07695" TargetMode="External" /><Relationship Type="http://schemas.openxmlformats.org/officeDocument/2006/relationships/hyperlink" Id="rId95" Target="https://arxiv.org/abs/2403.09226" TargetMode="External" /><Relationship Type="http://schemas.openxmlformats.org/officeDocument/2006/relationships/hyperlink" Id="rId143" Target="https://arxiv.org/abs/2511.14718" TargetMode="External" /><Relationship Type="http://schemas.openxmlformats.org/officeDocument/2006/relationships/hyperlink" Id="rId123" Target="https://bioinform.jmir.org/2025/1/e63139" TargetMode="External" /><Relationship Type="http://schemas.openxmlformats.org/officeDocument/2006/relationships/hyperlink" Id="rId139" Target="https://books.google.com/books?id=9uqiEAAAQBAJ" TargetMode="External" /><Relationship Type="http://schemas.openxmlformats.org/officeDocument/2006/relationships/hyperlink" Id="rId67"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99" Target="https://doi.org/10.1016/j.ijinfomgt.2003.12.012" TargetMode="External" /><Relationship Type="http://schemas.openxmlformats.org/officeDocument/2006/relationships/hyperlink" Id="rId85" Target="https://doi.org/10.1108/JKM-08-2016-0338" TargetMode="External" /><Relationship Type="http://schemas.openxmlformats.org/officeDocument/2006/relationships/hyperlink" Id="rId113" Target="https://doi.org/10.25163/business.1110345" TargetMode="External" /><Relationship Type="http://schemas.openxmlformats.org/officeDocument/2006/relationships/hyperlink" Id="rId137" Target="https://doi.org/10.63282/3050-9262.IJAIDSML-V6I4P130" TargetMode="External" /><Relationship Type="http://schemas.openxmlformats.org/officeDocument/2006/relationships/hyperlink" Id="rId71" Target="https://dspace.flinders.edu.au/jspui/bitstream/2328/3326/4/AACODS_Checklist.pdf" TargetMode="External" /><Relationship Type="http://schemas.openxmlformats.org/officeDocument/2006/relationships/hyperlink" Id="rId63" Target="https://human-resources-health.biomedcentral.com/articles/10.1186/1478-4491-11-35" TargetMode="External" /><Relationship Type="http://schemas.openxmlformats.org/officeDocument/2006/relationships/hyperlink" Id="rId147" Target="https://ieeexplore.ieee.org/abstract/document/8678513/" TargetMode="External" /><Relationship Type="http://schemas.openxmlformats.org/officeDocument/2006/relationships/hyperlink" Id="rId109" Target="https://jamanetwork.com/journals/jamanetworkopen/fullarticle/2777777" TargetMode="External" /><Relationship Type="http://schemas.openxmlformats.org/officeDocument/2006/relationships/hyperlink" Id="rId115" Target="https://journalofbigdata.springeropen.com/articles/10.1186/s40537-019-0170-y" TargetMode="External" /><Relationship Type="http://schemas.openxmlformats.org/officeDocument/2006/relationships/hyperlink" Id="rId97" Target="https://link.springer.com/content/pdf/10.1007/s10462-022-10246-w.pdf" TargetMode="External" /><Relationship Type="http://schemas.openxmlformats.org/officeDocument/2006/relationships/hyperlink" Id="rId145" Target="https://newsroom.ibm.com/2022-01-21-Francisco-Partners-to-Acquire-IBMs-Healthcare-Data-and-Analytics-Assets" TargetMode="External" /><Relationship Type="http://schemas.openxmlformats.org/officeDocument/2006/relationships/hyperlink" Id="rId59" Target="https://onlinelibrary.wiley.com/doi/abs/10.1057/palgrave.emr.1500057" TargetMode="External" /><Relationship Type="http://schemas.openxmlformats.org/officeDocument/2006/relationships/hyperlink" Id="rId89" Target="https://onlinelibrary.wiley.com/doi/abs/10.1111/j.1540-5885.2010.00798.x" TargetMode="External" /><Relationship Type="http://schemas.openxmlformats.org/officeDocument/2006/relationships/hyperlink" Id="rId153" Target="https://oulurepo.oulu.fi/bitstream/handle/10024/27921/nbnfi-fe2020050424858.pdf" TargetMode="External" /><Relationship Type="http://schemas.openxmlformats.org/officeDocument/2006/relationships/hyperlink" Id="rId141"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81" Target="https://pmc.ncbi.nlm.nih.gov/articles/PMC10802134/" TargetMode="External" /><Relationship Type="http://schemas.openxmlformats.org/officeDocument/2006/relationships/hyperlink" Id="rId83" Target="https://pmc.ncbi.nlm.nih.gov/articles/PMC11919231/" TargetMode="External" /><Relationship Type="http://schemas.openxmlformats.org/officeDocument/2006/relationships/hyperlink" Id="rId65" Target="https://pubmed.ncbi.nlm.nih.gov/20054502/"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91" Target="https://wendyju.com/publications/18_ijee3593.pdf" TargetMode="External" /><Relationship Type="http://schemas.openxmlformats.org/officeDocument/2006/relationships/hyperlink" Id="rId101" Target="https://www.academia.edu/download/41283190/Design_and_evaluation_of_systems_to_supp20160117-25708-98zc50.pdf" TargetMode="External" /><Relationship Type="http://schemas.openxmlformats.org/officeDocument/2006/relationships/hyperlink" Id="rId151" Target="https://www.academicradiology.org/article/S1076-6332(21)00140-9/abstract" TargetMode="External" /><Relationship Type="http://schemas.openxmlformats.org/officeDocument/2006/relationships/hyperlink" Id="rId53"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149" Target="https://www.cnbc.com/2021/01/04/haven-the-amazon-berkshire-jpmorgan-venture-to-disrupt-healthcare-is-disbanding-after-3-years.html" TargetMode="External" /><Relationship Type="http://schemas.openxmlformats.org/officeDocument/2006/relationships/hyperlink" Id="rId79" Target="https://www.diva-portal.org/smash/record.jsf?pid=diva2:1684142" TargetMode="External" /><Relationship Type="http://schemas.openxmlformats.org/officeDocument/2006/relationships/hyperlink" Id="rId77" Target="https://www.emerald.com/insight/content/doi/10.1108/13673270610650067/full/html" TargetMode="External" /><Relationship Type="http://schemas.openxmlformats.org/officeDocument/2006/relationships/hyperlink" Id="rId87" Target="https://www.emerald.com/insight/content/doi/10.1108/JKM-03-2024-0262/full/html" TargetMode="External" /><Relationship Type="http://schemas.openxmlformats.org/officeDocument/2006/relationships/hyperlink" Id="rId125" Target="https://www.frontiersin.org/articles/10.3389/fdata.2024.1371680" TargetMode="External" /><Relationship Type="http://schemas.openxmlformats.org/officeDocument/2006/relationships/hyperlink" Id="rId73" Target="https://www.frontiersin.org/articles/10.3389/fpsyg.2019.02730" TargetMode="External" /><Relationship Type="http://schemas.openxmlformats.org/officeDocument/2006/relationships/hyperlink" Id="rId103" Target="https://www.healthcareitnews.com/news/asia/himss24-apac-adoption-model-analytics-maturity-gets-facelift" TargetMode="External" /><Relationship Type="http://schemas.openxmlformats.org/officeDocument/2006/relationships/hyperlink" Id="rId105"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9" Target="https://www.himss.org/resources/the-future-of-workforce/" TargetMode="External" /><Relationship Type="http://schemas.openxmlformats.org/officeDocument/2006/relationships/hyperlink" Id="rId111" Target="https://www.ingentaconnect.com/content/hsp/mih/2024/00000008/00000004/art00006" TargetMode="External" /><Relationship Type="http://schemas.openxmlformats.org/officeDocument/2006/relationships/hyperlink" Id="rId107" Target="https://www.jmir.org/2024/1/e56316" TargetMode="External" /><Relationship Type="http://schemas.openxmlformats.org/officeDocument/2006/relationships/hyperlink" Id="rId69" Target="https://www.nsinursingsolutions.com/documents/library/nsi_national_health_care_retention_report.pdf" TargetMode="External" /><Relationship Type="http://schemas.openxmlformats.org/officeDocument/2006/relationships/hyperlink" Id="rId42" Target="https://www.nyulawreview.org/issues/volume-94-number-4/data-standardization/" TargetMode="External" /><Relationship Type="http://schemas.openxmlformats.org/officeDocument/2006/relationships/hyperlink" Id="rId119" Target="https://www.oracle.com/human-capital-management/cost-employee-turnover-healthcare/" TargetMode="External" /><Relationship Type="http://schemas.openxmlformats.org/officeDocument/2006/relationships/hyperlink" Id="rId135" Target="https://www.quantbeckman.com/api/v1/file/5b240742-bf0d-4f8c-a0f9-cb29fab42611.pdf" TargetMode="External" /><Relationship Type="http://schemas.openxmlformats.org/officeDocument/2006/relationships/hyperlink" Id="rId61" Target="https://www.redjournal.org/article/S0360-3016(16)00260-1/fulltext" TargetMode="External" /><Relationship Type="http://schemas.openxmlformats.org/officeDocument/2006/relationships/hyperlink" Id="rId55" Target="https://www.sciencedirect.com/science/article/abs/pii/S0040162516000500" TargetMode="External" /><Relationship Type="http://schemas.openxmlformats.org/officeDocument/2006/relationships/hyperlink" Id="rId117" Target="https://www.tandfonline.com/doi/full/10.1080/20479700.2018.1531606" TargetMode="External" /><Relationship Type="http://schemas.openxmlformats.org/officeDocument/2006/relationships/hyperlink" Id="rId75"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Mitigating Institutional Amnesia: A Design Science Framework for Socio-Technical Query Governance in Healthcare</dc:title>
  <dc:creator>Samuel T Harrold, Yuimedi, Inc.</dc:creator>
  <dc:language>en-US</dc:language>
  <cp:keywords>institutional amnesia, healthcare analytics, socio-technical systems, query governance, natural language to SQL, SECI model, workforce turnover, design science research</cp:keywords>
  <dcterms:created xsi:type="dcterms:W3CDTF">2026-01-29T17:03:44Z</dcterms:created>
  <dcterms:modified xsi:type="dcterms:W3CDTF">2026-01-29T17:03:44Z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Recent data underscores the severity: 53% of healthcare CIOs have held their roles for less than three years, and 55% of informatics specialists intend to leave their positions. This churn systematically erases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(2024-2025 workforce and NL2SQL literature) to develop a socio-technical framework called Human-in-the-Loop Semantic Governance (HiL-SG).HiL-SG shifts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converts the ephemeral act of analytics into permanent institutional assets. The accompanying Analytics Resilience Index (ARI) provides a measurement instrument that replaces static maturity checklists with dynamic resilience metrics, quantifying an organization’s ability to sustain analytical capability despite staff churn.A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Mitigating Institutional Amnesia</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ies>
</file>