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0.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 Analytics Challenges: A Three-Pillar Framework Connecting Analytics Maturity, Workforce Agility, and Technical Enablement</w:t>
      </w:r>
    </w:p>
    <w:p>
      <w:pPr>
        <w:pStyle w:val="Author"/>
      </w:pPr>
      <w:r>
        <w:t xml:space="preserve">Samuel T Harrold, Yuimedi, Inc.</w:t>
      </w:r>
    </w:p>
    <w:p>
      <w:pPr>
        <w:pStyle w:val="Date"/>
      </w:pPr>
      <w:r>
        <w:t xml:space="preserve">January 2026</w:t>
      </w:r>
    </w:p>
    <w:p>
      <w:pPr>
        <w:pStyle w:val="AbstractTitle"/>
      </w:pPr>
      <w:r>
        <w:t xml:space="preserve">Abstract</w:t>
      </w:r>
    </w:p>
    <w:p>
      <w:pPr>
        <w:pStyle w:val="Abstract"/>
      </w:pPr>
      <w:r>
        <w:rPr>
          <w:b/>
          <w:bCs/>
        </w:rPr>
        <w:t xml:space="preserve">Background:</w:t>
      </w:r>
      <w:r>
        <w:t xml:space="preserve"> </w:t>
      </w:r>
      <w:r>
        <w:t xml:space="preserve">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w:t>
      </w:r>
    </w:p>
    <w:p>
      <w:pPr>
        <w:pStyle w:val="Abstract"/>
      </w:pPr>
      <w:r>
        <w:rPr>
          <w:b/>
          <w:bCs/>
        </w:rPr>
        <w:t xml:space="preserve">Objective:</w:t>
      </w:r>
      <w:r>
        <w:t xml:space="preserve"> </w:t>
      </w:r>
      <w:r>
        <w:t xml:space="preserve">This research develops a three-pillar analytical framework connecting analytics maturity, workforce agility, and technical enablement. The framework reveals how these capabilities interconnect and compound each other.</w:t>
      </w:r>
    </w:p>
    <w:p>
      <w:pPr>
        <w:pStyle w:val="Abstract"/>
      </w:pPr>
      <w:r>
        <w:rPr>
          <w:b/>
          <w:bCs/>
        </w:rPr>
        <w:t xml:space="preserve">Methods:</w:t>
      </w:r>
      <w:r>
        <w:t xml:space="preserve"> </w:t>
      </w:r>
      <w:r>
        <w:t xml:space="preserve">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w:t>
      </w:r>
    </w:p>
    <w:p>
      <w:pPr>
        <w:pStyle w:val="Abstract"/>
      </w:pPr>
      <w:r>
        <w:rPr>
          <w:b/>
          <w:bCs/>
        </w:rPr>
        <w:t xml:space="preserve">Results:</w:t>
      </w:r>
      <w:r>
        <w:t xml:space="preserve"> </w:t>
      </w:r>
      <w:r>
        <w:t xml:space="preserve">Healthcare-specific text-to-SQL benchmarks show significant progress, though current models are</w:t>
      </w:r>
      <w:r>
        <w:t xml:space="preserve"> </w:t>
      </w:r>
      <w:r>
        <w:t xml:space="preserve">“not yet sufficiently accurate for unsupervised use”</w:t>
      </w:r>
      <w:r>
        <w:t xml:space="preserve"> </w:t>
      </w:r>
      <w:r>
        <w:t xml:space="preserve">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w:t>
      </w:r>
    </w:p>
    <w:p>
      <w:pPr>
        <w:pStyle w:val="Abstract"/>
      </w:pPr>
      <w:r>
        <w:rPr>
          <w:b/>
          <w:bCs/>
        </w:rPr>
        <w:t xml:space="preserve">Conclusions:</w:t>
      </w:r>
      <w:r>
        <w:t xml:space="preserve"> </w:t>
      </w:r>
      <w:r>
        <w:t xml:space="preserve">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introduction"/>
    <w:p>
      <w:pPr>
        <w:pStyle w:val="Heading1"/>
      </w:pPr>
      <w:r>
        <w:rPr>
          <w:rStyle w:val="SectionNumber"/>
        </w:rPr>
        <w:t xml:space="preserve">1</w:t>
      </w:r>
      <w:r>
        <w:tab/>
      </w:r>
      <w:r>
        <w:t xml:space="preserve">Introduction</w:t>
      </w:r>
    </w:p>
    <w:bookmarkStart w:id="9"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i/>
          <w:i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i/>
          <w:i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i/>
          <w:i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9"/>
    <w:bookmarkStart w:id="10"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10"/>
    <w:bookmarkStart w:id="11"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i/>
          <w:i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i/>
          <w:iCs/>
        </w:rPr>
        <w:t xml:space="preserve">Operational Level:</w:t>
      </w:r>
      <w:r>
        <w:t xml:space="preserve"> </w:t>
      </w:r>
      <w:r>
        <w:t xml:space="preserve">79% of healthcare provider organizations report persistent shortages in</w:t>
      </w:r>
      <w:r>
        <w:t xml:space="preserve"> </w:t>
      </w:r>
      <w:r>
        <w:t xml:space="preserve">“Information and Digital Health”</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i/>
          <w:i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11"/>
    <w:bookmarkStart w:id="12"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“technical skills gap”</w:t>
      </w:r>
      <w:r>
        <w:t xml:space="preserve">—where clinical experts lack SQL expertise—this is merely the surface of deeper challenges in semantic interoperability and 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“magic bullet”</w:t>
      </w:r>
      <w:r>
        <w:t xml:space="preserve"> </w:t>
      </w:r>
      <w:r>
        <w:t xml:space="preserve">but a democratizing interface layer and a governance forcing function.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12"/>
    <w:bookmarkStart w:id="16"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13"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13"/>
    <w:bookmarkStart w:id="14" w:name="secondary-objectives"/>
    <w:p>
      <w:pPr>
        <w:pStyle w:val="Heading3"/>
      </w:pPr>
      <w:r>
        <w:rPr>
          <w:rStyle w:val="SectionNumber"/>
        </w:rPr>
        <w:t xml:space="preserve">1.5.2</w:t>
      </w:r>
      <w:r>
        <w:tab/>
      </w:r>
      <w:r>
        <w:t xml:space="preserve">Secondary Objectives</w:t>
      </w:r>
    </w:p>
    <w:p>
      <w:pPr>
        <w:pStyle w:val="Compact"/>
        <w:numPr>
          <w:ilvl w:val="0"/>
          <w:numId w:val="1003"/>
        </w:numPr>
      </w:pPr>
      <w:r>
        <w:rPr>
          <w:i/>
          <w:iCs/>
        </w:rPr>
        <w:t xml:space="preserve">Synthesize current evidence</w:t>
      </w:r>
      <w:r>
        <w:t xml:space="preserve"> </w:t>
      </w:r>
      <w:r>
        <w:t xml:space="preserve">on natural language to SQL generation as a technical barrier.</w:t>
      </w:r>
    </w:p>
    <w:p>
      <w:pPr>
        <w:pStyle w:val="Compact"/>
        <w:numPr>
          <w:ilvl w:val="0"/>
          <w:numId w:val="1003"/>
        </w:numPr>
      </w:pPr>
      <w:r>
        <w:rPr>
          <w:i/>
          <w:iCs/>
        </w:rPr>
        <w:t xml:space="preserve">Document the extent</w:t>
      </w:r>
      <w:r>
        <w:t xml:space="preserve"> </w:t>
      </w:r>
      <w:r>
        <w:t xml:space="preserve">of analytics maturity challenges in healthcare organizations globally.</w:t>
      </w:r>
    </w:p>
    <w:p>
      <w:pPr>
        <w:pStyle w:val="Compact"/>
        <w:numPr>
          <w:ilvl w:val="0"/>
          <w:numId w:val="1003"/>
        </w:numPr>
      </w:pPr>
      <w:r>
        <w:rPr>
          <w:i/>
          <w:iCs/>
        </w:rPr>
        <w:t xml:space="preserve">Quantify the impact</w:t>
      </w:r>
      <w:r>
        <w:t xml:space="preserve"> </w:t>
      </w:r>
      <w:r>
        <w:t xml:space="preserve">of workforce turnover on institutional memory and analytics capabilities.</w:t>
      </w:r>
    </w:p>
    <w:p>
      <w:pPr>
        <w:pStyle w:val="Compact"/>
        <w:numPr>
          <w:ilvl w:val="0"/>
          <w:numId w:val="1003"/>
        </w:numPr>
      </w:pPr>
      <w:r>
        <w:rPr>
          <w:i/>
          <w:iCs/>
        </w:rPr>
        <w:t xml:space="preserve">Reveal interconnections</w:t>
      </w:r>
      <w:r>
        <w:t xml:space="preserve"> </w:t>
      </w:r>
      <w:r>
        <w:t xml:space="preserve">between the three pillars through evidence synthesis.</w:t>
      </w:r>
    </w:p>
    <w:p>
      <w:pPr>
        <w:pStyle w:val="Compact"/>
        <w:numPr>
          <w:ilvl w:val="0"/>
          <w:numId w:val="1003"/>
        </w:numPr>
      </w:pPr>
      <w:r>
        <w:rPr>
          <w:i/>
          <w:iCs/>
        </w:rPr>
        <w:t xml:space="preserve">Provide an assessment rubric</w:t>
      </w:r>
      <w:r>
        <w:t xml:space="preserve"> </w:t>
      </w:r>
      <w:r>
        <w:t xml:space="preserve">for organizational self-evaluation.</w:t>
      </w:r>
    </w:p>
    <w:bookmarkEnd w:id="14"/>
    <w:bookmarkStart w:id="15"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15"/>
    <w:bookmarkEnd w:id="16"/>
    <w:bookmarkStart w:id="24"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i/>
          <w:i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i/>
          <w:i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i/>
          <w:i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p>
      <w:pPr>
        <w:pStyle w:val="CaptionedFigure"/>
      </w:pPr>
      <w:r>
        <w:drawing>
          <wp:inline>
            <wp:extent cx="5067300" cy="4936394"/>
            <wp:effectExtent b="0" l="0" r="0" t="0"/>
            <wp:docPr descr="Healthcare Analytics Architecture. Solid lines indicate the primary data flow from clinical user natural language queries through a conversational AI interface to a healthcare NLP engine for context-aware SQL generation. Bi-directional arrows at steps 5 and 8 represent the iterative ‘Query &amp; Refine’ loop where users refine their intent based on delivered insights. The critical validation step (dotted bi-directional line) shows domain experts confirming or correcting generated SQL before results are trusted. Validated NL-SQL-Rationale triples flow to organizational memory (dashed line), where they persist independent of staff tenure and inform future query generation." title="" id="18" name="Picture"/>
            <a:graphic>
              <a:graphicData uri="http://schemas.openxmlformats.org/drawingml/2006/picture">
                <pic:pic>
                  <pic:nvPicPr>
                    <pic:cNvPr descr="figures/architecture.mmd.png" id="19" name="Picture"/>
                    <pic:cNvPicPr>
                      <a:picLocks noChangeArrowheads="1" noChangeAspect="1"/>
                    </pic:cNvPicPr>
                  </pic:nvPicPr>
                  <pic:blipFill>
                    <a:blip r:embed="rId17"/>
                    <a:stretch>
                      <a:fillRect/>
                    </a:stretch>
                  </pic:blipFill>
                  <pic:spPr bwMode="auto">
                    <a:xfrm>
                      <a:off x="0" y="0"/>
                      <a:ext cx="5067300" cy="4936394"/>
                    </a:xfrm>
                    <a:prstGeom prst="rect">
                      <a:avLst/>
                    </a:prstGeom>
                    <a:noFill/>
                    <a:ln w="9525">
                      <a:noFill/>
                      <a:headEnd/>
                      <a:tailEnd/>
                    </a:ln>
                  </pic:spPr>
                </pic:pic>
              </a:graphicData>
            </a:graphic>
          </wp:inline>
        </w:drawing>
      </w:r>
    </w:p>
    <w:p>
      <w:pPr>
        <w:pStyle w:val="ImageCaption"/>
      </w:pPr>
      <w:r>
        <w:t xml:space="preserve">Healthcare Analytics Architecture. Solid lines indicate the primary data flow from clinical user natural language queries through a conversational AI interface to a healthcare NLP engine for context-aware SQL generation. Bi-directional arrows at steps 5 and 8 represent the iterative</w:t>
      </w:r>
      <w:r>
        <w:t xml:space="preserve"> </w:t>
      </w:r>
      <w:r>
        <w:t xml:space="preserve">‘Query &amp; Refine’</w:t>
      </w:r>
      <w:r>
        <w:t xml:space="preserve"> </w:t>
      </w:r>
      <w:r>
        <w:t xml:space="preserve">loop where users refine their intent based on delivered insights. The critical validation step (dotted bi-directional line) shows domain experts confirming or correcting generated SQL before results are trusted. Validated NL-SQL-Rationale triples flow to organizational memory (dashed line), where they persist independent of staff tenure and inform future query generation.</w:t>
      </w:r>
    </w:p>
    <w:bookmarkStart w:id="23"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i/>
          <w:i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i/>
          <w:iCs/>
        </w:rPr>
        <w:t xml:space="preserve">Query</w:t>
      </w:r>
      <w:r>
        <w:t xml:space="preserve">: A domain expert (clinician, analyst, or administrator) asks a natural language question, such as,</w:t>
      </w:r>
      <w:r>
        <w:t xml:space="preserve"> </w:t>
      </w:r>
      <w:r>
        <w:t xml:space="preserve">“What was our 30-day readmission rate for heart failure patients last quarter?”</w:t>
      </w:r>
    </w:p>
    <w:p>
      <w:pPr>
        <w:numPr>
          <w:ilvl w:val="0"/>
          <w:numId w:val="1006"/>
        </w:numPr>
      </w:pPr>
      <w:r>
        <w:rPr>
          <w:i/>
          <w:iCs/>
        </w:rPr>
        <w:t xml:space="preserve">Generation</w:t>
      </w:r>
      <w:r>
        <w:t xml:space="preserve">: The conversational AI system generates candidate SQL code, leveraging healthcare ontologies and organizational schema knowledge.</w:t>
      </w:r>
    </w:p>
    <w:p>
      <w:pPr>
        <w:numPr>
          <w:ilvl w:val="0"/>
          <w:numId w:val="1006"/>
        </w:numPr>
      </w:pPr>
      <w:r>
        <w:rPr>
          <w:i/>
          <w:i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“Human-on-the-Loop”</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“not yet sufficiently accurate for unsupervised use”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i/>
          <w:iCs/>
        </w:rPr>
        <w:t xml:space="preserve">Storage</w:t>
      </w:r>
      <w:r>
        <w:t xml:space="preserve">: Once validated, the NL-SQL-Rationale triple is stored in organizational memory as a durable knowledge artifact. The Rationale Metadata documents the query’s business logic (e.g.,</w:t>
      </w:r>
      <w:r>
        <w:t xml:space="preserve"> </w:t>
      </w:r>
      <w:r>
        <w:t xml:space="preserve">“Excluding Hospice per 2025 CMS rules”</w:t>
      </w:r>
      <w:r>
        <w:t xml:space="preserve">) and is a mandatory component of the triple.</w:t>
      </w:r>
    </w:p>
    <w:p>
      <w:pPr>
        <w:numPr>
          <w:ilvl w:val="0"/>
          <w:numId w:val="1006"/>
        </w:numPr>
      </w:pPr>
      <w:r>
        <w:rPr>
          <w:i/>
          <w:iCs/>
        </w:rPr>
        <w:t xml:space="preserve">Retrieval</w:t>
      </w:r>
      <w:r>
        <w:t xml:space="preserve">: When future users ask similar questions, the system retrieves relevant validated triples, reducing dependence on individual expertise.</w:t>
      </w:r>
    </w:p>
    <w:p>
      <w:pPr>
        <w:numPr>
          <w:ilvl w:val="0"/>
          <w:numId w:val="1006"/>
        </w:numPr>
      </w:pPr>
      <w:r>
        <w:rPr>
          <w:i/>
          <w:iCs/>
        </w:rPr>
        <w:t xml:space="preserve">Persistence</w:t>
      </w:r>
      <w:r>
        <w:t xml:space="preserve">: When the original expert leaves, their analytical knowledge remains embedded in the system. New staff inherit executable knowledge rather than starting from scratch.</w:t>
      </w:r>
    </w:p>
    <w:p>
      <w:pPr>
        <w:pStyle w:val="CaptionedFigure"/>
      </w:pPr>
      <w:r>
        <w:drawing>
          <wp:inline>
            <wp:extent cx="2667000" cy="5498969"/>
            <wp:effectExtent b="0" l="0" r="0" t="0"/>
            <wp:docPr descr="The Validated Query Cycle, shown as six numbered steps in the diagram. (1) Domain experts ask natural language questions, (2) the system generates candidate SQL, (3) AI provides a natural language explanation of the SQL logic; domain expert confirms the intent and results, (4) validated triples are stored, (5) future queries retrieve validated knowledge, and (6) expertise persists through staff turnover. This cycle breaks the compounding effect where turnover erases institutional memory." title="" id="21" name="Picture"/>
            <a:graphic>
              <a:graphicData uri="http://schemas.openxmlformats.org/drawingml/2006/picture">
                <pic:pic>
                  <pic:nvPicPr>
                    <pic:cNvPr descr="figures/knowledge-cycle.mmd.png" id="22" name="Picture"/>
                    <pic:cNvPicPr>
                      <a:picLocks noChangeArrowheads="1" noChangeAspect="1"/>
                    </pic:cNvPicPr>
                  </pic:nvPicPr>
                  <pic:blipFill>
                    <a:blip r:embed="rId20"/>
                    <a:stretch>
                      <a:fillRect/>
                    </a:stretch>
                  </pic:blipFill>
                  <pic:spPr bwMode="auto">
                    <a:xfrm>
                      <a:off x="0" y="0"/>
                      <a:ext cx="2667000" cy="5498969"/>
                    </a:xfrm>
                    <a:prstGeom prst="rect">
                      <a:avLst/>
                    </a:prstGeom>
                    <a:noFill/>
                    <a:ln w="9525">
                      <a:noFill/>
                      <a:headEnd/>
                      <a:tailEnd/>
                    </a:ln>
                  </pic:spPr>
                </pic:pic>
              </a:graphicData>
            </a:graphic>
          </wp:inline>
        </w:drawing>
      </w:r>
    </w:p>
    <w:p>
      <w:pPr>
        <w:pStyle w:val="ImageCaption"/>
      </w:pPr>
      <w:r>
        <w:t xml:space="preserve">The Validated Query Cycle, shown as six numbered steps in the diagram. (1) Domain experts ask natural language questions, (2) the system generates candidate SQL, (3) AI provides a natural language explanation of the SQL logic; domain expert confirms the intent and results, (4) validated triples are stored, (5) future queries retrieve validated knowledge, and (6) expertise persists through staff turnover. This cycle breaks the compounding effect where turnover erases institutional memory.</w:t>
      </w:r>
    </w:p>
    <w:p>
      <w:pPr>
        <w:pStyle w:val="BodyText"/>
      </w:pPr>
      <w:r>
        <w:t xml:space="preserve">This cycle breaks the compounding effect identified in the three-pillar framework: turnover no longer erases analytical knowledge because expertise is embedded in validated query triples rather than individual memory. Low-maturity organizations can accelerate advancement by accumulating validated queries, and technical barriers are reduced because new staff access proven query patterns rather than recreating analytical logic.</w:t>
      </w:r>
    </w:p>
    <w:bookmarkEnd w:id="23"/>
    <w:bookmarkEnd w:id="24"/>
    <w:bookmarkStart w:id="25"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25"/>
    <w:bookmarkEnd w:id="26"/>
    <w:bookmarkStart w:id="36" w:name="methodology"/>
    <w:p>
      <w:pPr>
        <w:pStyle w:val="Heading1"/>
      </w:pPr>
      <w:r>
        <w:rPr>
          <w:rStyle w:val="SectionNumber"/>
        </w:rPr>
        <w:t xml:space="preserve">2</w:t>
      </w:r>
      <w:r>
        <w:tab/>
      </w:r>
      <w:r>
        <w:t xml:space="preserve">Methodology</w:t>
      </w:r>
    </w:p>
    <w:bookmarkStart w:id="27"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i/>
          <w:i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i/>
          <w:iCs/>
        </w:rPr>
        <w:t xml:space="preserve">Original analytical framework</w:t>
      </w:r>
      <w:r>
        <w:t xml:space="preserve">: The three-pillar framework emerged iteratively from the literature rather than being pre-specified</w:t>
      </w:r>
    </w:p>
    <w:p>
      <w:pPr>
        <w:pStyle w:val="Compact"/>
        <w:numPr>
          <w:ilvl w:val="0"/>
          <w:numId w:val="1007"/>
        </w:numPr>
      </w:pPr>
      <w:r>
        <w:rPr>
          <w:i/>
          <w:iCs/>
        </w:rPr>
        <w:t xml:space="preserve">Heterogeneous evidence types</w:t>
      </w:r>
      <w:r>
        <w:t xml:space="preserve">: The evidence base includes peer-reviewed research, industry reports, and benchmark datasets that cannot be meaningfully combined through meta-analysis</w:t>
      </w:r>
    </w:p>
    <w:bookmarkEnd w:id="27"/>
    <w:bookmarkStart w:id="31"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 Analytics Maturity (</w:t>
      </w:r>
      <w:r>
        <w:t xml:space="preserve">“healthcare analytics maturity”</w:t>
      </w:r>
      <w:r>
        <w:t xml:space="preserve">,</w:t>
      </w:r>
      <w:r>
        <w:t xml:space="preserve"> </w:t>
      </w:r>
      <w:r>
        <w:t xml:space="preserve">“HIMSS AMAM”</w:t>
      </w:r>
      <w:r>
        <w:t xml:space="preserve">,</w:t>
      </w:r>
      <w:r>
        <w:t xml:space="preserve"> </w:t>
      </w:r>
      <w:r>
        <w:t xml:space="preserve">“analytics adoption”</w:t>
      </w:r>
      <w:r>
        <w:t xml:space="preserve">,</w:t>
      </w:r>
      <w:r>
        <w:t xml:space="preserve"> </w:t>
      </w:r>
      <w:r>
        <w:t xml:space="preserve">“big data analytics adoption”</w:t>
      </w:r>
      <w:r>
        <w:t xml:space="preserve">,</w:t>
      </w:r>
      <w:r>
        <w:t xml:space="preserve"> </w:t>
      </w:r>
      <w:r>
        <w:t xml:space="preserve">“resistance to change”</w:t>
      </w:r>
      <w:r>
        <w:t xml:space="preserve">,</w:t>
      </w:r>
      <w:r>
        <w:t xml:space="preserve"> </w:t>
      </w:r>
      <w:r>
        <w:t xml:space="preserve">“analytics standardization failure”</w:t>
      </w:r>
      <w:r>
        <w:t xml:space="preserve">,</w:t>
      </w:r>
      <w:r>
        <w:t xml:space="preserve"> </w:t>
      </w:r>
      <w:r>
        <w:t xml:space="preserve">“low-code ROI”</w:t>
      </w:r>
      <w:r>
        <w:t xml:space="preserve">); Workforce Agility (</w:t>
      </w:r>
      <w:r>
        <w:t xml:space="preserve">“healthcare IT tenure”</w:t>
      </w:r>
      <w:r>
        <w:t xml:space="preserve">,</w:t>
      </w:r>
      <w:r>
        <w:t xml:space="preserve"> </w:t>
      </w:r>
      <w:r>
        <w:t xml:space="preserve">“IT training time”</w:t>
      </w:r>
      <w:r>
        <w:t xml:space="preserve">,</w:t>
      </w:r>
      <w:r>
        <w:t xml:space="preserve"> </w:t>
      </w:r>
      <w:r>
        <w:t xml:space="preserve">“turnover cost”</w:t>
      </w:r>
      <w:r>
        <w:t xml:space="preserve">,</w:t>
      </w:r>
      <w:r>
        <w:t xml:space="preserve"> </w:t>
      </w:r>
      <w:r>
        <w:t xml:space="preserve">“institutional memory loss”</w:t>
      </w:r>
      <w:r>
        <w:t xml:space="preserve">,</w:t>
      </w:r>
      <w:r>
        <w:t xml:space="preserve"> </w:t>
      </w:r>
      <w:r>
        <w:t xml:space="preserve">“organizational forgetting”</w:t>
      </w:r>
      <w:r>
        <w:t xml:space="preserve">,</w:t>
      </w:r>
      <w:r>
        <w:t xml:space="preserve"> </w:t>
      </w:r>
      <w:r>
        <w:t xml:space="preserve">“competence loss”</w:t>
      </w:r>
      <w:r>
        <w:t xml:space="preserve">,</w:t>
      </w:r>
      <w:r>
        <w:t xml:space="preserve"> </w:t>
      </w:r>
      <w:r>
        <w:t xml:space="preserve">“knowledge portal”</w:t>
      </w:r>
      <w:r>
        <w:t xml:space="preserve">,</w:t>
      </w:r>
      <w:r>
        <w:t xml:space="preserve"> </w:t>
      </w:r>
      <w:r>
        <w:t xml:space="preserve">“SECI model”</w:t>
      </w:r>
      <w:r>
        <w:t xml:space="preserve">); Technical Enablement (</w:t>
      </w:r>
      <w:r>
        <w:t xml:space="preserve">“NL2SQL healthcare”</w:t>
      </w:r>
      <w:r>
        <w:t xml:space="preserve">,</w:t>
      </w:r>
      <w:r>
        <w:t xml:space="preserve"> </w:t>
      </w:r>
      <w:r>
        <w:t xml:space="preserve">“text-to-SQL clinical”</w:t>
      </w:r>
      <w:r>
        <w:t xml:space="preserve">,</w:t>
      </w:r>
      <w:r>
        <w:t xml:space="preserve"> </w:t>
      </w:r>
      <w:r>
        <w:t xml:space="preserve">“MIMICSQL”</w:t>
      </w:r>
      <w:r>
        <w:t xml:space="preserve">,</w:t>
      </w:r>
      <w:r>
        <w:t xml:space="preserve"> </w:t>
      </w:r>
      <w:r>
        <w:t xml:space="preserve">“EHRSQL”</w:t>
      </w:r>
      <w:r>
        <w:t xml:space="preserve">,</w:t>
      </w:r>
      <w:r>
        <w:t xml:space="preserve"> </w:t>
      </w:r>
      <w:r>
        <w:t xml:space="preserve">“schema discovery”</w:t>
      </w:r>
      <w:r>
        <w:t xml:space="preserve">,</w:t>
      </w:r>
      <w:r>
        <w:t xml:space="preserve"> </w:t>
      </w:r>
      <w:r>
        <w:t xml:space="preserve">“semantic column matching”</w:t>
      </w:r>
      <w:r>
        <w:t xml:space="preserve">,</w:t>
      </w:r>
      <w:r>
        <w:t xml:space="preserve"> </w:t>
      </w:r>
      <w:r>
        <w:t xml:space="preserve">“vector embeddings”</w:t>
      </w:r>
      <w:r>
        <w:t xml:space="preserve">).</w:t>
      </w:r>
    </w:p>
    <w:tbl>
      <w:tblPr>
        <w:tblStyle w:val="Table"/>
        <w:tblW w:type="pct" w:w="5000"/>
        <w:tblLayout w:type="fixed"/>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left"/>
            </w:pPr>
            <w:r>
              <w:t xml:space="preserve">Crossref</w:t>
            </w:r>
          </w:p>
        </w:tc>
        <w:tc>
          <w:tcPr/>
          <w:p>
            <w:pPr>
              <w:pStyle w:val="Compact"/>
              <w:jc w:val="left"/>
            </w:pPr>
            <w:r>
              <w:t xml:space="preserve">PubMed</w:t>
            </w:r>
          </w:p>
        </w:tc>
        <w:tc>
          <w:tcPr/>
          <w:p>
            <w:pPr>
              <w:pStyle w:val="Compact"/>
              <w:jc w:val="left"/>
            </w:pPr>
            <w:r>
              <w:t xml:space="preserve">arXiv</w:t>
            </w:r>
          </w:p>
        </w:tc>
        <w:tc>
          <w:tcPr/>
          <w:p>
            <w:pPr>
              <w:pStyle w:val="Compact"/>
              <w:jc w:val="left"/>
            </w:pPr>
            <w:r>
              <w:t xml:space="preserve">Semantic Scholar</w:t>
            </w:r>
          </w:p>
        </w:tc>
        <w:tc>
          <w:tcPr/>
          <w:p>
            <w:pPr>
              <w:pStyle w:val="Compact"/>
              <w:jc w:val="left"/>
            </w:pPr>
            <w:r>
              <w:t xml:space="preserve">Total (Screened)</w:t>
            </w:r>
          </w:p>
        </w:tc>
      </w:tr>
      <w:tr>
        <w:tc>
          <w:tcPr/>
          <w:p>
            <w:pPr>
              <w:pStyle w:val="Compact"/>
              <w:jc w:val="left"/>
            </w:pPr>
            <w:r>
              <w:rPr>
                <w:i/>
                <w:iCs/>
              </w:rPr>
              <w:t xml:space="preserve">Analytics Maturity</w:t>
            </w:r>
          </w:p>
        </w:tc>
        <w:tc>
          <w:tcPr/>
          <w:p>
            <w:pPr>
              <w:pStyle w:val="Compact"/>
              <w:jc w:val="left"/>
            </w:pPr>
            <w:r>
              <w:t xml:space="preserve">285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285 (15)</w:t>
            </w:r>
          </w:p>
        </w:tc>
      </w:tr>
      <w:tr>
        <w:tc>
          <w:tcPr/>
          <w:p>
            <w:pPr>
              <w:pStyle w:val="Compact"/>
              <w:jc w:val="left"/>
            </w:pPr>
            <w:r>
              <w:rPr>
                <w:i/>
                <w:iCs/>
              </w:rPr>
              <w:t xml:space="preserve">Workforce Agility</w:t>
            </w:r>
          </w:p>
        </w:tc>
        <w:tc>
          <w:tcPr/>
          <w:p>
            <w:pPr>
              <w:pStyle w:val="Compact"/>
              <w:jc w:val="left"/>
            </w:pPr>
            <w:r>
              <w:t xml:space="preserve">-</w:t>
            </w:r>
          </w:p>
        </w:tc>
        <w:tc>
          <w:tcPr/>
          <w:p>
            <w:pPr>
              <w:pStyle w:val="Compact"/>
              <w:jc w:val="left"/>
            </w:pPr>
            <w:r>
              <w:t xml:space="preserve">142</w:t>
            </w:r>
          </w:p>
        </w:tc>
        <w:tc>
          <w:tcPr/>
          <w:p>
            <w:pPr>
              <w:pStyle w:val="Compact"/>
              <w:jc w:val="left"/>
            </w:pPr>
            <w:r>
              <w:t xml:space="preserve">-</w:t>
            </w:r>
          </w:p>
        </w:tc>
        <w:tc>
          <w:tcPr/>
          <w:p>
            <w:pPr>
              <w:pStyle w:val="Compact"/>
              <w:jc w:val="left"/>
            </w:pPr>
            <w:r>
              <w:t xml:space="preserve">-</w:t>
            </w:r>
          </w:p>
        </w:tc>
        <w:tc>
          <w:tcPr/>
          <w:p>
            <w:pPr>
              <w:pStyle w:val="Compact"/>
              <w:jc w:val="left"/>
            </w:pPr>
            <w:r>
              <w:t xml:space="preserve">142 (12)</w:t>
            </w:r>
          </w:p>
        </w:tc>
      </w:tr>
      <w:tr>
        <w:tc>
          <w:tcPr/>
          <w:p>
            <w:pPr>
              <w:pStyle w:val="Compact"/>
              <w:jc w:val="left"/>
            </w:pPr>
            <w:r>
              <w:rPr>
                <w:i/>
                <w:iCs/>
              </w:rPr>
              <w:t xml:space="preserve">Technical Enablement</w:t>
            </w:r>
          </w:p>
        </w:tc>
        <w:tc>
          <w:tcPr/>
          <w:p>
            <w:pPr>
              <w:pStyle w:val="Compact"/>
              <w:jc w:val="left"/>
            </w:pPr>
            <w:r>
              <w:t xml:space="preserve">-</w:t>
            </w:r>
          </w:p>
        </w:tc>
        <w:tc>
          <w:tcPr/>
          <w:p>
            <w:pPr>
              <w:pStyle w:val="Compact"/>
              <w:jc w:val="left"/>
            </w:pPr>
            <w:r>
              <w:t xml:space="preserve">-</w:t>
            </w:r>
          </w:p>
        </w:tc>
        <w:tc>
          <w:tcPr/>
          <w:p>
            <w:pPr>
              <w:pStyle w:val="Compact"/>
              <w:jc w:val="left"/>
            </w:pPr>
            <w:r>
              <w:t xml:space="preserve">71</w:t>
            </w:r>
          </w:p>
        </w:tc>
        <w:tc>
          <w:tcPr/>
          <w:p>
            <w:pPr>
              <w:pStyle w:val="Compact"/>
              <w:jc w:val="left"/>
            </w:pPr>
            <w:r>
              <w:t xml:space="preserve">72</w:t>
            </w:r>
          </w:p>
        </w:tc>
        <w:tc>
          <w:tcPr/>
          <w:p>
            <w:pPr>
              <w:pStyle w:val="Compact"/>
              <w:jc w:val="left"/>
            </w:pPr>
            <w:r>
              <w:t xml:space="preserve">143 (14)</w:t>
            </w:r>
          </w:p>
        </w:tc>
      </w:tr>
      <w:tr>
        <w:tc>
          <w:tcPr/>
          <w:p>
            <w:pPr>
              <w:pStyle w:val="Compact"/>
              <w:jc w:val="left"/>
            </w:pPr>
            <w:r>
              <w:rPr>
                <w:b/>
                <w:bCs/>
              </w:rPr>
              <w:t xml:space="preserve">Total</w:t>
            </w:r>
          </w:p>
        </w:tc>
        <w:tc>
          <w:tcPr/>
          <w:p>
            <w:pPr>
              <w:pStyle w:val="Compact"/>
              <w:jc w:val="left"/>
            </w:pPr>
            <w:r>
              <w:rPr>
                <w:b/>
                <w:bCs/>
              </w:rPr>
              <w:t xml:space="preserve">285</w:t>
            </w:r>
          </w:p>
        </w:tc>
        <w:tc>
          <w:tcPr/>
          <w:p>
            <w:pPr>
              <w:pStyle w:val="Compact"/>
              <w:jc w:val="left"/>
            </w:pPr>
            <w:r>
              <w:rPr>
                <w:b/>
                <w:bCs/>
              </w:rPr>
              <w:t xml:space="preserve">142</w:t>
            </w:r>
          </w:p>
        </w:tc>
        <w:tc>
          <w:tcPr/>
          <w:p>
            <w:pPr>
              <w:pStyle w:val="Compact"/>
              <w:jc w:val="left"/>
            </w:pPr>
            <w:r>
              <w:rPr>
                <w:b/>
                <w:bCs/>
              </w:rPr>
              <w:t xml:space="preserve">71</w:t>
            </w:r>
          </w:p>
        </w:tc>
        <w:tc>
          <w:tcPr/>
          <w:p>
            <w:pPr>
              <w:pStyle w:val="Compact"/>
              <w:jc w:val="left"/>
            </w:pPr>
            <w:r>
              <w:rPr>
                <w:b/>
                <w:bCs/>
              </w:rPr>
              <w:t xml:space="preserve">72</w:t>
            </w:r>
          </w:p>
        </w:tc>
        <w:tc>
          <w:tcPr/>
          <w:p>
            <w:pPr>
              <w:pStyle w:val="Compact"/>
              <w:jc w:val="left"/>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p>
      <w:pPr>
        <w:pStyle w:val="CaptionedFigure"/>
      </w:pPr>
      <w:r>
        <w:drawing>
          <wp:inline>
            <wp:extent cx="4800600" cy="6128425"/>
            <wp:effectExtent b="0" l="0" r="0" t="0"/>
            <wp:docPr descr="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 title="" id="29" name="Picture"/>
            <a:graphic>
              <a:graphicData uri="http://schemas.openxmlformats.org/drawingml/2006/picture">
                <pic:pic>
                  <pic:nvPicPr>
                    <pic:cNvPr descr="figures/literature-flow.mmd.png" id="30" name="Picture"/>
                    <pic:cNvPicPr>
                      <a:picLocks noChangeArrowheads="1" noChangeAspect="1"/>
                    </pic:cNvPicPr>
                  </pic:nvPicPr>
                  <pic:blipFill>
                    <a:blip r:embed="rId28"/>
                    <a:stretch>
                      <a:fillRect/>
                    </a:stretch>
                  </pic:blipFill>
                  <pic:spPr bwMode="auto">
                    <a:xfrm>
                      <a:off x="0" y="0"/>
                      <a:ext cx="4800600" cy="6128425"/>
                    </a:xfrm>
                    <a:prstGeom prst="rect">
                      <a:avLst/>
                    </a:prstGeom>
                    <a:noFill/>
                    <a:ln w="9525">
                      <a:noFill/>
                      <a:headEnd/>
                      <a:tailEnd/>
                    </a:ln>
                  </pic:spPr>
                </pic:pic>
              </a:graphicData>
            </a:graphic>
          </wp:inline>
        </w:drawing>
      </w:r>
    </w:p>
    <w:p>
      <w:pPr>
        <w:pStyle w:val="ImageCaption"/>
      </w:pPr>
      <w:r>
        <w:t xml:space="preserve">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w:t>
      </w:r>
    </w:p>
    <w:bookmarkEnd w:id="31"/>
    <w:bookmarkStart w:id="32"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2"/>
    <w:bookmarkStart w:id="33"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5000"/>
        <w:tblLayout w:type="fixed"/>
        <w:tblLook w:firstRow="1" w:lastRow="0" w:firstColumn="0" w:lastColumn="0" w:noHBand="0" w:noVBand="0" w:val="0020"/>
        <w:tblCaption w:val="AACODS Assessment of Industry Sources. "/>
      </w:tblPr>
      <w:tblGrid>
        <w:gridCol w:w="1584"/>
        <w:gridCol w:w="1584"/>
        <w:gridCol w:w="1584"/>
        <w:gridCol w:w="1584"/>
        <w:gridCol w:w="1584"/>
      </w:tblGrid>
      <w:tr>
        <w:trPr>
          <w:tblHeader w:val="on"/>
        </w:trPr>
        <w:tc>
          <w:tcPr/>
          <w:p>
            <w:pPr>
              <w:pStyle w:val="Compact"/>
              <w:jc w:val="left"/>
            </w:pPr>
            <w:r>
              <w:t xml:space="preserve">Source (Citation)</w:t>
            </w:r>
          </w:p>
        </w:tc>
        <w:tc>
          <w:tcPr/>
          <w:p>
            <w:pPr>
              <w:pStyle w:val="Compact"/>
              <w:jc w:val="left"/>
            </w:pPr>
            <w:r>
              <w:t xml:space="preserve">Authority /</w:t>
            </w:r>
            <w:r>
              <w:t xml:space="preserve"> </w:t>
            </w:r>
            <w:r>
              <w:t xml:space="preserve">Accuracy</w:t>
            </w:r>
          </w:p>
        </w:tc>
        <w:tc>
          <w:tcPr/>
          <w:p>
            <w:pPr>
              <w:pStyle w:val="Compact"/>
              <w:jc w:val="left"/>
            </w:pPr>
            <w:r>
              <w:t xml:space="preserve">Coverage /</w:t>
            </w:r>
            <w:r>
              <w:t xml:space="preserve"> </w:t>
            </w:r>
            <w:r>
              <w:t xml:space="preserve">Objectivity</w:t>
            </w:r>
          </w:p>
        </w:tc>
        <w:tc>
          <w:tcPr/>
          <w:p>
            <w:pPr>
              <w:pStyle w:val="Compact"/>
              <w:jc w:val="left"/>
            </w:pPr>
            <w:r>
              <w:t xml:space="preserve">Date /</w:t>
            </w:r>
            <w:r>
              <w:t xml:space="preserve"> </w:t>
            </w:r>
            <w:r>
              <w:t xml:space="preserve">Significance</w:t>
            </w:r>
          </w:p>
        </w:tc>
        <w:tc>
          <w:tcPr/>
          <w:p>
            <w:pPr>
              <w:pStyle w:val="Compact"/>
              <w:jc w:val="left"/>
            </w:pPr>
            <w:r>
              <w:t xml:space="preserve">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Global /</w:t>
            </w:r>
            <w:r>
              <w:t xml:space="preserve"> </w:t>
            </w:r>
            <w:r>
              <w:t xml:space="preserve">High</w:t>
            </w:r>
          </w:p>
        </w:tc>
        <w:tc>
          <w:tcPr/>
          <w:p>
            <w:pPr>
              <w:pStyle w:val="Compact"/>
              <w:jc w:val="left"/>
            </w:pPr>
            <w:r>
              <w:t xml:space="preserve">2024 /</w:t>
            </w:r>
            <w:r>
              <w:t xml:space="preserve"> </w:t>
            </w:r>
            <w:r>
              <w:t xml:space="preserve">High</w:t>
            </w:r>
          </w:p>
        </w:tc>
        <w:tc>
          <w:tcPr/>
          <w:p>
            <w:pPr>
              <w:pStyle w:val="Compact"/>
              <w:jc w:val="left"/>
            </w:pPr>
            <w:r>
              <w:t xml:space="preserve">Yes</w:t>
            </w:r>
          </w:p>
        </w:tc>
      </w:tr>
      <w:tr>
        <w:tc>
          <w:tcPr/>
          <w:p>
            <w:pPr>
              <w:pStyle w:val="Compact"/>
              <w:jc w:val="left"/>
            </w:pPr>
            <w:r>
              <w:t xml:space="preserve">Snowdon /</w:t>
            </w:r>
            <w:r>
              <w:t xml:space="preserve"> </w:t>
            </w:r>
            <w:r>
              <w:t xml:space="preserve">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N/A /</w:t>
            </w:r>
            <w:r>
              <w:t xml:space="preserve"> </w:t>
            </w:r>
            <w:r>
              <w:t xml:space="preserve">High</w:t>
            </w:r>
          </w:p>
        </w:tc>
        <w:tc>
          <w:tcPr/>
          <w:p>
            <w:pPr>
              <w:pStyle w:val="Compact"/>
              <w:jc w:val="left"/>
            </w:pPr>
            <w:r>
              <w:t xml:space="preserve">2024 /</w:t>
            </w:r>
            <w:r>
              <w:t xml:space="preserve"> </w:t>
            </w:r>
            <w:r>
              <w:t xml:space="preserve">Medium</w:t>
            </w:r>
          </w:p>
        </w:tc>
        <w:tc>
          <w:tcPr/>
          <w:p>
            <w:pPr>
              <w:pStyle w:val="Compact"/>
              <w:jc w:val="left"/>
            </w:pPr>
            <w:r>
              <w:t xml:space="preserve">Yes</w:t>
            </w: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w:t>
            </w:r>
            <w:r>
              <w:t xml:space="preserve"> </w:t>
            </w:r>
            <w:r>
              <w:t xml:space="preserve">Unverifiable</w:t>
            </w:r>
          </w:p>
        </w:tc>
        <w:tc>
          <w:tcPr/>
          <w:p>
            <w:pPr>
              <w:pStyle w:val="Compact"/>
              <w:jc w:val="left"/>
            </w:pPr>
            <w:r>
              <w:t xml:space="preserve">US /</w:t>
            </w:r>
            <w:r>
              <w:t xml:space="preserve"> </w:t>
            </w:r>
            <w:r>
              <w:t xml:space="preserve">Low</w:t>
            </w:r>
          </w:p>
        </w:tc>
        <w:tc>
          <w:tcPr/>
          <w:p>
            <w:pPr>
              <w:pStyle w:val="Compact"/>
              <w:jc w:val="left"/>
            </w:pPr>
            <w:r>
              <w:t xml:space="preserve">2020 /</w:t>
            </w:r>
            <w:r>
              <w:t xml:space="preserve"> </w:t>
            </w:r>
            <w:r>
              <w:t xml:space="preserve">Medium</w:t>
            </w:r>
          </w:p>
        </w:tc>
        <w:tc>
          <w:tcPr/>
          <w:p>
            <w:pPr>
              <w:pStyle w:val="Compact"/>
              <w:jc w:val="left"/>
            </w:pPr>
            <w:r>
              <w:t xml:space="preserve">Yes*</w:t>
            </w: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Single site /</w:t>
            </w:r>
            <w:r>
              <w:t xml:space="preserve"> </w:t>
            </w:r>
            <w:r>
              <w:t xml:space="preserve">High</w:t>
            </w:r>
          </w:p>
        </w:tc>
        <w:tc>
          <w:tcPr/>
          <w:p>
            <w:pPr>
              <w:pStyle w:val="Compact"/>
              <w:jc w:val="left"/>
            </w:pPr>
            <w:r>
              <w:t xml:space="preserve">2024 /</w:t>
            </w:r>
            <w:r>
              <w:t xml:space="preserve"> </w:t>
            </w:r>
            <w:r>
              <w:t xml:space="preserve">High</w:t>
            </w:r>
          </w:p>
        </w:tc>
        <w:tc>
          <w:tcPr/>
          <w:p>
            <w:pPr>
              <w:pStyle w:val="Compact"/>
              <w:jc w:val="left"/>
            </w:pPr>
            <w:r>
              <w:t xml:space="preserve">Yes</w:t>
            </w:r>
          </w:p>
        </w:tc>
      </w:tr>
      <w:tr>
        <w:tc>
          <w:tcPr/>
          <w:p>
            <w:pPr>
              <w:pStyle w:val="Compact"/>
              <w:jc w:val="left"/>
            </w:pPr>
            <w:r>
              <w:t xml:space="preserve">Forrester /</w:t>
            </w:r>
            <w:r>
              <w:t xml:space="preserve"> </w:t>
            </w:r>
            <w:r>
              <w:t xml:space="preserve">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w:t>
            </w:r>
            <w:r>
              <w:t xml:space="preserve"> </w:t>
            </w:r>
            <w:r>
              <w:t xml:space="preserve">Unverifiable</w:t>
            </w:r>
          </w:p>
        </w:tc>
        <w:tc>
          <w:tcPr/>
          <w:p>
            <w:pPr>
              <w:pStyle w:val="Compact"/>
              <w:jc w:val="left"/>
            </w:pPr>
            <w:r>
              <w:t xml:space="preserve">Enterprise /</w:t>
            </w:r>
            <w:r>
              <w:t xml:space="preserve"> </w:t>
            </w:r>
            <w:r>
              <w:t xml:space="preserve">Low♢</w:t>
            </w:r>
          </w:p>
        </w:tc>
        <w:tc>
          <w:tcPr/>
          <w:p>
            <w:pPr>
              <w:pStyle w:val="Compact"/>
              <w:jc w:val="left"/>
            </w:pPr>
            <w:r>
              <w:t xml:space="preserve">2024 /</w:t>
            </w:r>
            <w:r>
              <w:t xml:space="preserve"> </w:t>
            </w:r>
            <w:r>
              <w:t xml:space="preserve">Medium</w:t>
            </w:r>
          </w:p>
        </w:tc>
        <w:tc>
          <w:tcPr/>
          <w:p>
            <w:pPr>
              <w:pStyle w:val="Compact"/>
              <w:jc w:val="left"/>
            </w:pPr>
            <w:r>
              <w:t xml:space="preserve">Yes*</w:t>
            </w: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w:t>
            </w:r>
            <w:r>
              <w:t xml:space="preserve"> </w:t>
            </w:r>
            <w:r>
              <w:t xml:space="preserve">Unverifiable</w:t>
            </w:r>
          </w:p>
        </w:tc>
        <w:tc>
          <w:tcPr/>
          <w:p>
            <w:pPr>
              <w:pStyle w:val="Compact"/>
              <w:jc w:val="left"/>
            </w:pPr>
            <w:r>
              <w:t xml:space="preserve">N/A /</w:t>
            </w:r>
            <w:r>
              <w:t xml:space="preserve"> </w:t>
            </w:r>
            <w:r>
              <w:t xml:space="preserve">Low</w:t>
            </w:r>
          </w:p>
        </w:tc>
        <w:tc>
          <w:tcPr/>
          <w:p>
            <w:pPr>
              <w:pStyle w:val="Compact"/>
              <w:jc w:val="left"/>
            </w:pPr>
            <w:r>
              <w:t xml:space="preserve">2024 /</w:t>
            </w:r>
            <w:r>
              <w:t xml:space="preserve"> </w:t>
            </w:r>
            <w:r>
              <w:t xml:space="preserve">Low</w:t>
            </w:r>
          </w:p>
        </w:tc>
        <w:tc>
          <w:tcPr/>
          <w:p>
            <w:pPr>
              <w:pStyle w:val="Compact"/>
              <w:jc w:val="left"/>
            </w:pPr>
            <w:r>
              <w:t xml:space="preserve">Yes*</w:t>
            </w: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w:t>
            </w:r>
            <w:r>
              <w:t xml:space="preserve"> </w:t>
            </w:r>
            <w:r>
              <w:t xml:space="preserve">Unverifiable</w:t>
            </w:r>
          </w:p>
        </w:tc>
        <w:tc>
          <w:tcPr/>
          <w:p>
            <w:pPr>
              <w:pStyle w:val="Compact"/>
              <w:jc w:val="left"/>
            </w:pPr>
            <w:r>
              <w:t xml:space="preserve">Global /</w:t>
            </w:r>
            <w:r>
              <w:t xml:space="preserve"> </w:t>
            </w:r>
            <w:r>
              <w:t xml:space="preserve">Medium</w:t>
            </w:r>
          </w:p>
        </w:tc>
        <w:tc>
          <w:tcPr/>
          <w:p>
            <w:pPr>
              <w:pStyle w:val="Compact"/>
              <w:jc w:val="left"/>
            </w:pPr>
            <w:r>
              <w:t xml:space="preserve">2024 /</w:t>
            </w:r>
            <w:r>
              <w:t xml:space="preserve"> </w:t>
            </w:r>
            <w:r>
              <w:t xml:space="preserve">Medium</w:t>
            </w:r>
          </w:p>
        </w:tc>
        <w:tc>
          <w:tcPr/>
          <w:p>
            <w:pPr>
              <w:pStyle w:val="Compact"/>
              <w:jc w:val="left"/>
            </w:pPr>
            <w:r>
              <w:t xml:space="preserve">Yes</w:t>
            </w: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w:t>
            </w:r>
            <w:r>
              <w:t xml:space="preserve"> </w:t>
            </w:r>
            <w:r>
              <w:t xml:space="preserve">Verifiable</w:t>
            </w:r>
          </w:p>
        </w:tc>
        <w:tc>
          <w:tcPr/>
          <w:p>
            <w:pPr>
              <w:pStyle w:val="Compact"/>
              <w:jc w:val="left"/>
            </w:pPr>
            <w:r>
              <w:t xml:space="preserve">N/A /</w:t>
            </w:r>
            <w:r>
              <w:t xml:space="preserve"> </w:t>
            </w:r>
            <w:r>
              <w:t xml:space="preserve">Medium</w:t>
            </w:r>
          </w:p>
        </w:tc>
        <w:tc>
          <w:tcPr/>
          <w:p>
            <w:pPr>
              <w:pStyle w:val="Compact"/>
              <w:jc w:val="left"/>
            </w:pPr>
            <w:r>
              <w:t xml:space="preserve">2025 /</w:t>
            </w:r>
            <w:r>
              <w:t xml:space="preserve"> </w:t>
            </w:r>
            <w:r>
              <w:t xml:space="preserve">Low</w:t>
            </w:r>
          </w:p>
        </w:tc>
        <w:tc>
          <w:tcPr/>
          <w:p>
            <w:pPr>
              <w:pStyle w:val="Compact"/>
              <w:jc w:val="left"/>
            </w:pPr>
            <w:r>
              <w:t xml:space="preserve">Yes</w:t>
            </w: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N/A /</w:t>
            </w:r>
            <w:r>
              <w:t xml:space="preserve"> </w:t>
            </w:r>
            <w:r>
              <w:t xml:space="preserve">High</w:t>
            </w:r>
          </w:p>
        </w:tc>
        <w:tc>
          <w:tcPr/>
          <w:p>
            <w:pPr>
              <w:pStyle w:val="Compact"/>
              <w:jc w:val="left"/>
            </w:pPr>
            <w:r>
              <w:t xml:space="preserve">2022 /</w:t>
            </w:r>
            <w:r>
              <w:t xml:space="preserve"> </w:t>
            </w:r>
            <w:r>
              <w:t xml:space="preserve">High</w:t>
            </w:r>
          </w:p>
        </w:tc>
        <w:tc>
          <w:tcPr/>
          <w:p>
            <w:pPr>
              <w:pStyle w:val="Compact"/>
              <w:jc w:val="left"/>
            </w:pPr>
            <w:r>
              <w:t xml:space="preserve">Yes</w:t>
            </w:r>
          </w:p>
        </w:tc>
      </w:tr>
      <w:tr>
        <w:tc>
          <w:tcPr/>
          <w:p>
            <w:pPr>
              <w:pStyle w:val="Compact"/>
              <w:jc w:val="left"/>
            </w:pPr>
            <w:r>
              <w:t xml:space="preserve">CNBC /</w:t>
            </w:r>
            <w:r>
              <w:t xml:space="preserve"> </w:t>
            </w:r>
            <w:r>
              <w:t xml:space="preserve">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N/A /</w:t>
            </w:r>
            <w:r>
              <w:t xml:space="preserve"> </w:t>
            </w:r>
            <w:r>
              <w:t xml:space="preserve">High</w:t>
            </w:r>
          </w:p>
        </w:tc>
        <w:tc>
          <w:tcPr/>
          <w:p>
            <w:pPr>
              <w:pStyle w:val="Compact"/>
              <w:jc w:val="left"/>
            </w:pPr>
            <w:r>
              <w:t xml:space="preserve">2021 /</w:t>
            </w:r>
            <w:r>
              <w:t xml:space="preserve"> </w:t>
            </w:r>
            <w:r>
              <w:t xml:space="preserve">High</w:t>
            </w:r>
          </w:p>
        </w:tc>
        <w:tc>
          <w:tcPr/>
          <w:p>
            <w:pPr>
              <w:pStyle w:val="Compact"/>
              <w:jc w:val="left"/>
            </w:pPr>
            <w:r>
              <w:t xml:space="preserve">Yes</w:t>
            </w:r>
          </w:p>
        </w:tc>
      </w:tr>
      <w:tr>
        <w:tc>
          <w:tcPr/>
          <w:p>
            <w:pPr>
              <w:pStyle w:val="Compact"/>
              <w:jc w:val="left"/>
            </w:pPr>
            <w:r>
              <w:t xml:space="preserve">AHIMA /</w:t>
            </w:r>
            <w:r>
              <w:t xml:space="preserve"> </w:t>
            </w:r>
            <w:r>
              <w:t xml:space="preserve">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US /</w:t>
            </w:r>
            <w:r>
              <w:t xml:space="preserve"> </w:t>
            </w:r>
            <w:r>
              <w:t xml:space="preserve">High</w:t>
            </w:r>
          </w:p>
        </w:tc>
        <w:tc>
          <w:tcPr/>
          <w:p>
            <w:pPr>
              <w:pStyle w:val="Compact"/>
              <w:jc w:val="left"/>
            </w:pPr>
            <w:r>
              <w:t xml:space="preserve">2023 /</w:t>
            </w:r>
            <w:r>
              <w:t xml:space="preserve"> </w:t>
            </w:r>
            <w:r>
              <w:t xml:space="preserve">High</w:t>
            </w:r>
          </w:p>
        </w:tc>
        <w:tc>
          <w:tcPr/>
          <w:p>
            <w:pPr>
              <w:pStyle w:val="Compact"/>
              <w:jc w:val="left"/>
            </w:pPr>
            <w:r>
              <w:t xml:space="preserve">Yes</w:t>
            </w: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3"/>
    <w:bookmarkStart w:id="34"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t xml:space="preserve">Analytics maturity: Evidence on HIMSS AMAM adoption, healthcare analytics capabilities, and organizational readiness</w:t>
      </w:r>
    </w:p>
    <w:p>
      <w:pPr>
        <w:pStyle w:val="Compact"/>
        <w:numPr>
          <w:ilvl w:val="0"/>
          <w:numId w:val="1012"/>
        </w:numPr>
      </w:pPr>
      <w:r>
        <w:t xml:space="preserve">Workforce turnover: Evidence on nursing and IT staff turnover rates, institutional memory loss, and knowledge transfer challenges</w:t>
      </w:r>
    </w:p>
    <w:p>
      <w:pPr>
        <w:pStyle w:val="Compact"/>
        <w:numPr>
          <w:ilvl w:val="0"/>
          <w:numId w:val="1012"/>
        </w:numPr>
      </w:pPr>
      <w:r>
        <w:t xml:space="preserve">Technical barriers: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4"/>
    <w:bookmarkStart w:id="35"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i/>
          <w:iCs/>
        </w:rPr>
        <w:t xml:space="preserve">Non-exhaustive search</w:t>
      </w:r>
      <w:r>
        <w:t xml:space="preserve">: Literature identification was selective rather than exhaustive; relevant studies may have been missed</w:t>
      </w:r>
    </w:p>
    <w:p>
      <w:pPr>
        <w:pStyle w:val="Compact"/>
        <w:numPr>
          <w:ilvl w:val="0"/>
          <w:numId w:val="1013"/>
        </w:numPr>
      </w:pPr>
      <w:r>
        <w:rPr>
          <w:i/>
          <w:i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i/>
          <w:i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i/>
          <w:iCs/>
        </w:rPr>
        <w:t xml:space="preserve">Post-hoc selection criteria</w:t>
      </w:r>
      <w:r>
        <w:t xml:space="preserve">: Inclusion and exclusion criteria were refined during the review process rather than pre-registered</w:t>
      </w:r>
    </w:p>
    <w:p>
      <w:pPr>
        <w:pStyle w:val="Compact"/>
        <w:numPr>
          <w:ilvl w:val="0"/>
          <w:numId w:val="1013"/>
        </w:numPr>
      </w:pPr>
      <w:r>
        <w:rPr>
          <w:i/>
          <w:iCs/>
        </w:rPr>
        <w:t xml:space="preserve">No protocol registration</w:t>
      </w:r>
      <w:r>
        <w:t xml:space="preserve">: This review was not registered in PROSPERO or similar registries</w:t>
      </w:r>
    </w:p>
    <w:p>
      <w:pPr>
        <w:pStyle w:val="Compact"/>
        <w:numPr>
          <w:ilvl w:val="0"/>
          <w:numId w:val="1013"/>
        </w:numPr>
      </w:pPr>
      <w:r>
        <w:rPr>
          <w:i/>
          <w:i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“data desert”</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5"/>
    <w:bookmarkEnd w:id="36"/>
    <w:bookmarkStart w:id="40"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7"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i/>
          <w:i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i/>
          <w:iCs/>
        </w:rPr>
        <w:t xml:space="preserve">Pattern Recognition</w:t>
      </w:r>
      <w:r>
        <w:t xml:space="preserve">: Cross-domain analysis revealed that challenges in each dimension amplified challenges in others. A root cause analysis (observation-why-repeat) determined the framework’s ordering: low Analytics Maturity (Observation/Context) is driven by low Workforce Agility (Cause/Actor), which in turn is exacerbated by low Technical Enablement (Root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i/>
          <w:iCs/>
        </w:rPr>
        <w:t xml:space="preserve">Pillar Identification</w:t>
      </w:r>
      <w:r>
        <w:t xml:space="preserve">: Three orthogonal yet interconnected dimensions emerged as the organizing structure:</w:t>
      </w:r>
    </w:p>
    <w:p>
      <w:pPr>
        <w:pStyle w:val="Compact"/>
        <w:numPr>
          <w:ilvl w:val="1"/>
          <w:numId w:val="1015"/>
        </w:numPr>
      </w:pPr>
      <w:r>
        <w:rPr>
          <w:i/>
          <w:iCs/>
        </w:rPr>
        <w:t xml:space="preserve">Analytics Maturity</w:t>
      </w:r>
      <w:r>
        <w:t xml:space="preserve">: Organizational capability progression measured against HIMSS AMAM stages</w:t>
      </w:r>
    </w:p>
    <w:p>
      <w:pPr>
        <w:pStyle w:val="Compact"/>
        <w:numPr>
          <w:ilvl w:val="1"/>
          <w:numId w:val="1015"/>
        </w:numPr>
      </w:pPr>
      <w:r>
        <w:rPr>
          <w:i/>
          <w:iCs/>
        </w:rPr>
        <w:t xml:space="preserve">Workforce Agility</w:t>
      </w:r>
      <w:r>
        <w:t xml:space="preserve">: Human capital retention and tacit knowledge preservation</w:t>
      </w:r>
    </w:p>
    <w:p>
      <w:pPr>
        <w:pStyle w:val="Compact"/>
        <w:numPr>
          <w:ilvl w:val="1"/>
          <w:numId w:val="1015"/>
        </w:numPr>
      </w:pPr>
      <w:r>
        <w:rPr>
          <w:i/>
          <w:iCs/>
        </w:rPr>
        <w:t xml:space="preserve">Technical Enablement</w:t>
      </w:r>
      <w:r>
        <w:t xml:space="preserve">: NL2SQL capabilities and healthcare-specific implementation solutions</w:t>
      </w:r>
    </w:p>
    <w:p>
      <w:pPr>
        <w:pStyle w:val="Compact"/>
        <w:numPr>
          <w:ilvl w:val="0"/>
          <w:numId w:val="1014"/>
        </w:numPr>
      </w:pPr>
      <w:r>
        <w:rPr>
          <w:i/>
          <w:iCs/>
        </w:rPr>
        <w:t xml:space="preserve">Framework Validation</w:t>
      </w:r>
      <w:r>
        <w:t xml:space="preserve">: Pillar structure tested against the full corpus to confirm comprehensive coverage without significant gaps</w:t>
      </w:r>
    </w:p>
    <w:bookmarkEnd w:id="37"/>
    <w:bookmarkStart w:id="38"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Three Pillars</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w:t>
            </w:r>
            <w:r>
              <w:t xml:space="preserve"> </w:t>
            </w:r>
            <m:oMath>
              <m:r>
                <m:rPr>
                  <m:sty m:val="p"/>
                </m:rPr>
                <m:t>→</m:t>
              </m:r>
            </m:oMath>
            <w:r>
              <w:t xml:space="preserve"> </w:t>
            </w:r>
            <w:r>
              <w:t xml:space="preserve">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w:t>
            </w:r>
            <w:r>
              <w:t xml:space="preserve"> </w:t>
            </w:r>
            <m:oMath>
              <m:r>
                <m:rPr>
                  <m:sty m:val="p"/>
                </m:rPr>
                <m:t>→</m:t>
              </m:r>
            </m:oMath>
            <w:r>
              <w:t xml:space="preserve"> </w:t>
            </w:r>
            <w:r>
              <w:t xml:space="preserve">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w:t>
            </w:r>
            <w:r>
              <w:t xml:space="preserve"> </w:t>
            </w:r>
            <m:oMath>
              <m:r>
                <m:rPr>
                  <m:sty m:val="p"/>
                </m:rPr>
                <m:t>→</m:t>
              </m:r>
            </m:oMath>
            <w:r>
              <w:t xml:space="preserve"> </w:t>
            </w:r>
            <w:r>
              <w:t xml:space="preserve">Knowledge</w:t>
            </w:r>
          </w:p>
        </w:tc>
        <w:tc>
          <w:tcPr/>
          <w:p>
            <w:pPr>
              <w:pStyle w:val="Compact"/>
              <w:jc w:val="left"/>
            </w:pPr>
            <w:r>
              <w:t xml:space="preserve">Knowledge Codification</w:t>
            </w:r>
          </w:p>
        </w:tc>
      </w:tr>
    </w:tbl>
    <w:p>
      <w:pPr>
        <w:pStyle w:val="BodyText"/>
      </w:pPr>
      <w:r>
        <w:t xml:space="preserve">Table 3: Framework Alignment with Established Models</w:t>
      </w:r>
      <w:r>
        <w:t xml:space="preserve"> </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38"/>
    <w:bookmarkStart w:id="39"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39"/>
    <w:bookmarkEnd w:id="40"/>
    <w:bookmarkStart w:id="67"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5" w:name="state-of-healthcare-analytics-maturity"/>
    <w:p>
      <w:pPr>
        <w:pStyle w:val="Heading2"/>
      </w:pPr>
      <w:r>
        <w:rPr>
          <w:rStyle w:val="SectionNumber"/>
        </w:rPr>
        <w:t xml:space="preserve">4.1</w:t>
      </w:r>
      <w:r>
        <w:tab/>
      </w:r>
      <w:r>
        <w:t xml:space="preserve">State of Healthcare Analytics Maturity</w:t>
      </w:r>
    </w:p>
    <w:bookmarkStart w:id="41"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“analytics as a discipline has changed dramatically in the last five to 10 years,”</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Conversely, organizations at maturity stage 0 are profoundly limited in their capacity to monitor care quality, creating a</w:t>
      </w:r>
      <w:r>
        <w:t xml:space="preserve"> </w:t>
      </w:r>
      <w:r>
        <w:t xml:space="preserve">“low-maturity trap”</w:t>
      </w:r>
      <w:r>
        <w:t xml:space="preserve"> </w:t>
      </w:r>
      <w:r>
        <w:t xml:space="preserve">where underdeveloped systems prevent the baseline measurement necessary for improvement.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46</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47</w:t>
        </w:r>
      </w:hyperlink>
      <w:r>
        <w:t xml:space="preserve">)</w:t>
      </w:r>
      <w:r>
        <w:t xml:space="preserve">.</w:t>
      </w:r>
    </w:p>
    <w:p>
      <w:pPr>
        <w:pStyle w:val="BodyText"/>
      </w:pPr>
      <w:r>
        <w:t xml:space="preserve">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48</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49</w:t>
        </w:r>
      </w:hyperlink>
      <w:r>
        <w:t xml:space="preserve">)</w:t>
      </w:r>
      <w:r>
        <w:t xml:space="preserve"> </w:t>
      </w:r>
      <w:r>
        <w:t xml:space="preserve">or mortality</w:t>
      </w:r>
      <w:r>
        <w:t xml:space="preserve"> </w:t>
      </w:r>
      <w:r>
        <w:t xml:space="preserve">(</w:t>
      </w:r>
      <w:hyperlink w:anchor="ref-martin2019">
        <w:r>
          <w:rPr>
            <w:rStyle w:val="Hyperlink"/>
          </w:rPr>
          <w:t xml:space="preserve">50</w:t>
        </w:r>
      </w:hyperlink>
      <w:r>
        <w:t xml:space="preserve">)</w:t>
      </w:r>
      <w:r>
        <w:t xml:space="preserve">, suggesting that maturity alone is insufficient without workforce stability.</w:t>
      </w:r>
    </w:p>
    <w:bookmarkEnd w:id="41"/>
    <w:bookmarkStart w:id="42"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2"/>
    <w:bookmarkStart w:id="43"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51</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52</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53</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3"/>
    <w:bookmarkStart w:id="44"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54</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55</w:t>
        </w:r>
      </w:hyperlink>
      <w:r>
        <w:t xml:space="preserve">,</w:t>
      </w:r>
      <w:hyperlink w:anchor="ref-gokalp2023">
        <w:r>
          <w:rPr>
            <w:rStyle w:val="Hyperlink"/>
          </w:rPr>
          <w:t xml:space="preserve">56</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57</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58</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59</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60</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61</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62</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63</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“detective work”</w:t>
      </w:r>
      <w:r>
        <w:t xml:space="preserve"> </w:t>
      </w:r>
      <w:r>
        <w:t xml:space="preserve">and reverse-engineering for research data integration</w:t>
      </w:r>
      <w:r>
        <w:t xml:space="preserve"> </w:t>
      </w:r>
      <w:r>
        <w:t xml:space="preserve">(</w:t>
      </w:r>
      <w:hyperlink w:anchor="ref-dugas2016">
        <w:r>
          <w:rPr>
            <w:rStyle w:val="Hyperlink"/>
          </w:rPr>
          <w:t xml:space="preserve">64</w:t>
        </w:r>
      </w:hyperlink>
      <w:r>
        <w:t xml:space="preserve">,</w:t>
      </w:r>
      <w:hyperlink w:anchor="ref-bokov2017">
        <w:r>
          <w:rPr>
            <w:rStyle w:val="Hyperlink"/>
          </w:rPr>
          <w:t xml:space="preserve">65</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66</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67</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“loss of information with staff changes”</w:t>
      </w:r>
      <w:r>
        <w:t xml:space="preserve"> </w:t>
      </w:r>
      <w:r>
        <w:t xml:space="preserve">as a key vulnerability</w:t>
      </w:r>
      <w:r>
        <w:t xml:space="preserve"> </w:t>
      </w:r>
      <w:r>
        <w:t xml:space="preserve">(</w:t>
      </w:r>
      <w:hyperlink w:anchor="ref-hovenga2013">
        <w:r>
          <w:rPr>
            <w:rStyle w:val="Hyperlink"/>
          </w:rPr>
          <w:t xml:space="preserve">68</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4"/>
    <w:bookmarkEnd w:id="45"/>
    <w:bookmarkStart w:id="49" w:name="X033aaa01add75caa19416ed7b909f71ff5bd76d"/>
    <w:p>
      <w:pPr>
        <w:pStyle w:val="Heading2"/>
      </w:pPr>
      <w:r>
        <w:rPr>
          <w:rStyle w:val="SectionNumber"/>
        </w:rPr>
        <w:t xml:space="preserve">4.2</w:t>
      </w:r>
      <w:r>
        <w:tab/>
      </w:r>
      <w:r>
        <w:t xml:space="preserve">Healthcare Workforce Turnover and Knowledge Loss</w:t>
      </w:r>
    </w:p>
    <w:bookmarkStart w:id="46"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69</w:t>
        </w:r>
      </w:hyperlink>
      <w:r>
        <w:t xml:space="preserve">,</w:t>
      </w:r>
      <w:hyperlink w:anchor="ref-ren2024">
        <w:r>
          <w:rPr>
            <w:rStyle w:val="Hyperlink"/>
          </w:rPr>
          <w:t xml:space="preserve">70</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‘sliding back’</w:t>
      </w:r>
      <w:r>
        <w:t xml:space="preserve"> </w:t>
      </w:r>
      <w:r>
        <w:t xml:space="preserve">of performance capabilities</w:t>
      </w:r>
      <w:r>
        <w:t xml:space="preserve"> </w:t>
      </w:r>
      <w:r>
        <w:t xml:space="preserve">(</w:t>
      </w:r>
      <w:hyperlink w:anchor="ref-hong2025">
        <w:r>
          <w:rPr>
            <w:rStyle w:val="Hyperlink"/>
          </w:rPr>
          <w:t xml:space="preserve">71</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“knowledge worker premium,”</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72</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73</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“Information and Digital Health”</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“revolving door”</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74</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75</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76</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77</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“organizational forgetting.”</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“forget”</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“loss of competence”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6"/>
    <w:bookmarkStart w:id="47"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78</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79</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This</w:t>
      </w:r>
      <w:r>
        <w:t xml:space="preserve"> </w:t>
      </w:r>
      <w:r>
        <w:t xml:space="preserve">“documentation paradox”</w:t>
      </w:r>
      <w:r>
        <w:t xml:space="preserve"> </w:t>
      </w:r>
      <w:r>
        <w:t xml:space="preserve">is particularly acute in healthcare analytics: tacitness risk arises when knowledge necessary to manage risk resides only in individuals’ heads, while high semantic complexity requires expert</w:t>
      </w:r>
      <w:r>
        <w:t xml:space="preserve"> </w:t>
      </w:r>
      <w:r>
        <w:t xml:space="preserve">“reasoning”</w:t>
      </w:r>
      <w:r>
        <w:t xml:space="preserve"> </w:t>
      </w:r>
      <w:r>
        <w:t xml:space="preserve">that written reports fail to convey</w:t>
      </w:r>
      <w:r>
        <w:t xml:space="preserve"> </w:t>
      </w:r>
      <w:r>
        <w:t xml:space="preserve">(</w:t>
      </w:r>
      <w:hyperlink w:anchor="ref-massingham2018">
        <w:r>
          <w:rPr>
            <w:rStyle w:val="Hyperlink"/>
          </w:rPr>
          <w:t xml:space="preserve">34</w:t>
        </w:r>
      </w:hyperlink>
      <w:r>
        <w:t xml:space="preserve">,</w:t>
      </w:r>
      <w:hyperlink w:anchor="ref-wang2020">
        <w:r>
          <w:rPr>
            <w:rStyle w:val="Hyperlink"/>
          </w:rPr>
          <w:t xml:space="preserve">80</w:t>
        </w:r>
      </w:hyperlink>
      <w:r>
        <w:t xml:space="preserve">)</w:t>
      </w:r>
      <w:r>
        <w:t xml:space="preserve">. Furthermore, an</w:t>
      </w:r>
      <w:r>
        <w:t xml:space="preserve"> </w:t>
      </w:r>
      <w:r>
        <w:t xml:space="preserve">“intelligibility gap”</w:t>
      </w:r>
      <w:r>
        <w:t xml:space="preserve"> </w:t>
      </w:r>
      <w:r>
        <w:t xml:space="preserve">often exists where analysts present findings as too unintelligible to senior managers, creating a barrier to effective knowledge transfer</w:t>
      </w:r>
      <w:r>
        <w:t xml:space="preserve"> </w:t>
      </w:r>
      <w:r>
        <w:t xml:space="preserve">(</w:t>
      </w:r>
      <w:hyperlink w:anchor="ref-bardsley2016">
        <w:r>
          <w:rPr>
            <w:rStyle w:val="Hyperlink"/>
          </w:rPr>
          <w:t xml:space="preserve">52</w:t>
        </w:r>
      </w:hyperlink>
      <w:r>
        <w:t xml:space="preserve">)</w:t>
      </w:r>
      <w:r>
        <w:t xml:space="preserve">. These challenges lead to</w:t>
      </w:r>
      <w:r>
        <w:t xml:space="preserve"> </w:t>
      </w:r>
      <w:r>
        <w:t xml:space="preserve">“fatal mistakes”</w:t>
      </w:r>
      <w:r>
        <w:t xml:space="preserve"> </w:t>
      </w:r>
      <w:r>
        <w:t xml:space="preserve">in data retrieval, where over 40% of entity normalization errors result from a lack of domain expertise regarding ambiguous medical hypernyms</w:t>
      </w:r>
      <w:r>
        <w:t xml:space="preserve"> </w:t>
      </w:r>
      <w:r>
        <w:t xml:space="preserve">(</w:t>
      </w:r>
      <w:hyperlink w:anchor="ref-yuan2019">
        <w:r>
          <w:rPr>
            <w:rStyle w:val="Hyperlink"/>
          </w:rPr>
          <w:t xml:space="preserve">81</w:t>
        </w:r>
      </w:hyperlink>
      <w:r>
        <w:t xml:space="preserve">)</w:t>
      </w:r>
      <w:r>
        <w:t xml:space="preserve">.</w:t>
      </w:r>
    </w:p>
    <w:bookmarkEnd w:id="47"/>
    <w:bookmarkStart w:id="48"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78</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48"/>
    <w:bookmarkEnd w:id="49"/>
    <w:bookmarkStart w:id="54" w:name="Xb8a8e2823f9f1dde7832c4cb2e15583554ebaf3"/>
    <w:p>
      <w:pPr>
        <w:pStyle w:val="Heading2"/>
      </w:pPr>
      <w:r>
        <w:rPr>
          <w:rStyle w:val="SectionNumber"/>
        </w:rPr>
        <w:t xml:space="preserve">4.3</w:t>
      </w:r>
      <w:r>
        <w:tab/>
      </w:r>
      <w:r>
        <w:t xml:space="preserve">State of Natural Language to SQL Generation</w:t>
      </w:r>
    </w:p>
    <w:bookmarkStart w:id="50"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“current language models are not yet sufficiently accurate for unsupervised use”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82</w:t>
        </w:r>
      </w:hyperlink>
      <w:r>
        <w:t xml:space="preserve">,</w:t>
      </w:r>
      <w:hyperlink w:anchor="ref-openai2025">
        <w:r>
          <w:rPr>
            <w:rStyle w:val="Hyperlink"/>
          </w:rPr>
          <w:t xml:space="preserve">83</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84</w:t>
        </w:r>
      </w:hyperlink>
      <w:r>
        <w:t xml:space="preserve">,</w:t>
      </w:r>
      <w:hyperlink w:anchor="ref-wu2024a">
        <w:r>
          <w:rPr>
            <w:rStyle w:val="Hyperlink"/>
          </w:rPr>
          <w:t xml:space="preserve">85</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82</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86</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83</w:t>
        </w:r>
      </w:hyperlink>
      <w:r>
        <w:t xml:space="preserve">)</w:t>
      </w:r>
      <w:r>
        <w:t xml:space="preserve">.</w:t>
      </w:r>
    </w:p>
    <w:bookmarkEnd w:id="50"/>
    <w:bookmarkStart w:id="51"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51</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80</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1"/>
    <w:bookmarkStart w:id="52"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80</w:t>
        </w:r>
      </w:hyperlink>
      <w:r>
        <w:t xml:space="preserve">)</w:t>
      </w:r>
      <w:r>
        <w:t xml:space="preserve"> </w:t>
      </w:r>
      <w:r>
        <w:t xml:space="preserve">and EHRSQL benchmark</w:t>
      </w:r>
      <w:r>
        <w:t xml:space="preserve"> </w:t>
      </w:r>
      <w:r>
        <w:t xml:space="preserve">(</w:t>
      </w:r>
      <w:hyperlink w:anchor="ref-lee2023">
        <w:r>
          <w:rPr>
            <w:rStyle w:val="Hyperlink"/>
          </w:rPr>
          <w:t xml:space="preserve">87</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88</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84</w:t>
        </w:r>
      </w:hyperlink>
      <w:r>
        <w:t xml:space="preserve">)</w:t>
      </w:r>
      <w:r>
        <w:t xml:space="preserve">,</w:t>
      </w:r>
      <w:r>
        <w:t xml:space="preserve"> </w:t>
      </w:r>
      <w:r>
        <w:t xml:space="preserve">(</w:t>
      </w:r>
      <w:hyperlink w:anchor="ref-wu2024a">
        <w:r>
          <w:rPr>
            <w:rStyle w:val="Hyperlink"/>
          </w:rPr>
          <w:t xml:space="preserve">85</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89</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90</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2"/>
    <w:bookmarkStart w:id="53"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91</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91</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81</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81</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92</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93</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94</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“many days”</w:t>
      </w:r>
      <w:r>
        <w:t xml:space="preserve"> </w:t>
      </w:r>
      <w:r>
        <w:t xml:space="preserve">with SQL to</w:t>
      </w:r>
      <w:r>
        <w:t xml:space="preserve"> </w:t>
      </w:r>
      <w:r>
        <w:t xml:space="preserve">“a few hours”</w:t>
      </w:r>
      <w:r>
        <w:t xml:space="preserve"> </w:t>
      </w:r>
      <w:r>
        <w:t xml:space="preserve">with natural language, with expert users describing SQL as</w:t>
      </w:r>
      <w:r>
        <w:t xml:space="preserve"> </w:t>
      </w:r>
      <w:r>
        <w:t xml:space="preserve">“very tedious and time-consuming”</w:t>
      </w:r>
      <w:r>
        <w:t xml:space="preserve"> </w:t>
      </w:r>
      <w:r>
        <w:t xml:space="preserve">for the same analytical tasks</w:t>
      </w:r>
      <w:r>
        <w:t xml:space="preserve"> </w:t>
      </w:r>
      <w:r>
        <w:t xml:space="preserve">(</w:t>
      </w:r>
      <w:hyperlink w:anchor="ref-safari2014">
        <w:r>
          <w:rPr>
            <w:rStyle w:val="Hyperlink"/>
          </w:rPr>
          <w:t xml:space="preserve">95</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96</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97</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98</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99</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3"/>
    <w:bookmarkEnd w:id="54"/>
    <w:bookmarkStart w:id="58" w:name="Xca10dac733c4b284609ad3ca0d26f7400b78729"/>
    <w:p>
      <w:pPr>
        <w:pStyle w:val="Heading2"/>
      </w:pPr>
      <w:r>
        <w:rPr>
          <w:rStyle w:val="SectionNumber"/>
        </w:rPr>
        <w:t xml:space="preserve">4.4</w:t>
      </w:r>
      <w:r>
        <w:tab/>
      </w:r>
      <w:r>
        <w:t xml:space="preserve">Integration of Evidence: Synthesis Across Three Pillars</w:t>
      </w:r>
    </w:p>
    <w:bookmarkStart w:id="55"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“exploitation”</w:t>
      </w:r>
      <w:r>
        <w:t xml:space="preserve"> </w:t>
      </w:r>
      <w:r>
        <w:t xml:space="preserve">(monitoring known metrics such as bed occupancy or infection rates) and provide essential</w:t>
      </w:r>
      <w:r>
        <w:t xml:space="preserve"> </w:t>
      </w:r>
      <w:r>
        <w:t xml:space="preserve">“at-a-glance”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100</w:t>
        </w:r>
      </w:hyperlink>
      <w:r>
        <w:t xml:space="preserve">)</w:t>
      </w:r>
      <w:r>
        <w:t xml:space="preserve">. Conversational analytics revolutionizes this</w:t>
      </w:r>
      <w:r>
        <w:t xml:space="preserve"> </w:t>
      </w:r>
      <w:r>
        <w:t xml:space="preserve">“time-to-insight”</w:t>
      </w:r>
      <w:r>
        <w:t xml:space="preserve"> </w:t>
      </w:r>
      <w:r>
        <w:t xml:space="preserve">by enabling</w:t>
      </w:r>
      <w:r>
        <w:t xml:space="preserve"> </w:t>
      </w:r>
      <w:r>
        <w:t xml:space="preserve">“exploration”</w:t>
      </w:r>
      <w:r>
        <w:t xml:space="preserve"> </w:t>
      </w:r>
      <w:r>
        <w:t xml:space="preserve">for ad-hoc questions, reducing retrieval time from days to seconds</w:t>
      </w:r>
      <w:r>
        <w:t xml:space="preserve"> </w:t>
      </w:r>
      <w:r>
        <w:t xml:space="preserve">(</w:t>
      </w:r>
      <w:hyperlink w:anchor="ref-syed2025">
        <w:r>
          <w:rPr>
            <w:rStyle w:val="Hyperlink"/>
          </w:rPr>
          <w:t xml:space="preserve">100</w:t>
        </w:r>
      </w:hyperlink>
      <w:r>
        <w:t xml:space="preserve">)</w:t>
      </w:r>
      <w:r>
        <w:t xml:space="preserve">. Modern systems are increasingly moving toward integrated</w:t>
      </w:r>
      <w:r>
        <w:t xml:space="preserve"> </w:t>
      </w:r>
      <w:r>
        <w:t xml:space="preserve">“Visual-Conversational”</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101</w:t>
        </w:r>
      </w:hyperlink>
      <w:r>
        <w:t xml:space="preserve">,</w:t>
      </w:r>
      <w:hyperlink w:anchor="ref-ruoff2023">
        <w:r>
          <w:rPr>
            <w:rStyle w:val="Hyperlink"/>
          </w:rPr>
          <w:t xml:space="preserve">102</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103</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104</w:t>
        </w:r>
      </w:hyperlink>
      <w:r>
        <w:t xml:space="preserve">)</w:t>
      </w:r>
      <w:r>
        <w:t xml:space="preserve">. By democratizing access, organizations can advance their effective maturity, the ability to actually use data, even while backend infrastructure remains in transition.</w:t>
      </w:r>
    </w:p>
    <w:bookmarkEnd w:id="55"/>
    <w:bookmarkStart w:id="56"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105</w:t>
        </w:r>
      </w:hyperlink>
      <w:r>
        <w:t xml:space="preserve">,</w:t>
      </w:r>
      <w:hyperlink w:anchor="ref-rangachari2020">
        <w:r>
          <w:rPr>
            <w:rStyle w:val="Hyperlink"/>
          </w:rPr>
          <w:t xml:space="preserve">106</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107</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“validated queries”</w:t>
      </w:r>
      <w:r>
        <w:t xml:space="preserve"> </w:t>
      </w:r>
      <w:r>
        <w:t xml:space="preserve">remain in the system, allowing a junior replacement to immediately leverage that expertise rather than starting from zero, mitigating the</w:t>
      </w:r>
      <w:r>
        <w:t xml:space="preserve"> </w:t>
      </w:r>
      <w:r>
        <w:t xml:space="preserve">“loss of competence”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6"/>
    <w:bookmarkStart w:id="57"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91</w:t>
        </w:r>
      </w:hyperlink>
      <w:r>
        <w:t xml:space="preserve">)</w:t>
      </w:r>
      <w:r>
        <w:t xml:space="preserve">. Precision medicine platforms leveraging conversational AI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108</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94</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109</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110</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111</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112</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7"/>
    <w:bookmarkEnd w:id="58"/>
    <w:bookmarkStart w:id="62" w:name="strategic-alignment-with-industry-trends"/>
    <w:p>
      <w:pPr>
        <w:pStyle w:val="Heading2"/>
      </w:pPr>
      <w:r>
        <w:rPr>
          <w:rStyle w:val="SectionNumber"/>
        </w:rPr>
        <w:t xml:space="preserve">4.5</w:t>
      </w:r>
      <w:r>
        <w:tab/>
      </w:r>
      <w:r>
        <w:t xml:space="preserve">Strategic Alignment with Industry Trends</w:t>
      </w:r>
    </w:p>
    <w:bookmarkStart w:id="59"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59"/>
    <w:bookmarkStart w:id="60"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0"/>
    <w:bookmarkStart w:id="61"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91</w:t>
        </w:r>
      </w:hyperlink>
      <w:r>
        <w:t xml:space="preserve">)</w:t>
      </w:r>
      <w:r>
        <w:t xml:space="preserve"> </w:t>
      </w:r>
      <w:r>
        <w:t xml:space="preserve">report a 63% increase in self-service analytics adoption among non-technical staff and a 37% reduction in data retrieval time. Jiao et al.</w:t>
      </w:r>
      <w:r>
        <w:t xml:space="preserve"> </w:t>
      </w:r>
      <w:r>
        <w:t xml:space="preserve">(</w:t>
      </w:r>
      <w:hyperlink w:anchor="ref-jiao2023">
        <w:r>
          <w:rPr>
            <w:rStyle w:val="Hyperlink"/>
          </w:rPr>
          <w:t xml:space="preserve">113</w:t>
        </w:r>
      </w:hyperlink>
      <w:r>
        <w:t xml:space="preserve">)</w:t>
      </w:r>
      <w:r>
        <w:t xml:space="preserve"> </w:t>
      </w:r>
      <w:r>
        <w:t xml:space="preserve">further established the economic value of AI in healthcare, identifying measurable cost reductions across administrative and clinical workflows.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108</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94</w:t>
        </w:r>
      </w:hyperlink>
      <w:r>
        <w:t xml:space="preserve">)</w:t>
      </w:r>
      <w:r>
        <w:t xml:space="preserve">. Pennington</w:t>
      </w:r>
      <w:r>
        <w:t xml:space="preserve"> </w:t>
      </w:r>
      <w:r>
        <w:t xml:space="preserve">(</w:t>
      </w:r>
      <w:hyperlink w:anchor="ref-pennington2023">
        <w:r>
          <w:rPr>
            <w:rStyle w:val="Hyperlink"/>
          </w:rPr>
          <w:t xml:space="preserve">111</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114</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109</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115</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1"/>
    <w:bookmarkEnd w:id="62"/>
    <w:bookmarkStart w:id="63"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i/>
          <w:iCs/>
        </w:rPr>
        <w:t xml:space="preserve">Long-term outcomes</w:t>
      </w:r>
      <w:r>
        <w:t xml:space="preserve">: Most studies examine 6-24 month implementations</w:t>
      </w:r>
      <w:r>
        <w:t xml:space="preserve"> </w:t>
      </w:r>
      <w:r>
        <w:t xml:space="preserve">(</w:t>
      </w:r>
      <w:hyperlink w:anchor="ref-dadi2025">
        <w:r>
          <w:rPr>
            <w:rStyle w:val="Hyperlink"/>
          </w:rPr>
          <w:t xml:space="preserve">91</w:t>
        </w:r>
      </w:hyperlink>
      <w:r>
        <w:t xml:space="preserve">,</w:t>
      </w:r>
      <w:hyperlink w:anchor="ref-pennington2023">
        <w:r>
          <w:rPr>
            <w:rStyle w:val="Hyperlink"/>
          </w:rPr>
          <w:t xml:space="preserve">111</w:t>
        </w:r>
      </w:hyperlink>
      <w:r>
        <w:t xml:space="preserve">)</w:t>
      </w:r>
      <w:r>
        <w:t xml:space="preserve">; multi-year impacts remain understudied</w:t>
      </w:r>
    </w:p>
    <w:p>
      <w:pPr>
        <w:pStyle w:val="Compact"/>
        <w:numPr>
          <w:ilvl w:val="0"/>
          <w:numId w:val="1019"/>
        </w:numPr>
      </w:pPr>
      <w:r>
        <w:rPr>
          <w:i/>
          <w:i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r>
        <w:t xml:space="preserve">; specialty-specific applications need investigation</w:t>
      </w:r>
    </w:p>
    <w:p>
      <w:pPr>
        <w:pStyle w:val="Compact"/>
        <w:numPr>
          <w:ilvl w:val="0"/>
          <w:numId w:val="1019"/>
        </w:numPr>
      </w:pPr>
      <w:r>
        <w:rPr>
          <w:i/>
          <w:i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i/>
          <w:iCs/>
        </w:rPr>
        <w:t xml:space="preserve">Training methodologies</w:t>
      </w:r>
      <w:r>
        <w:t xml:space="preserve">: Best practices for transitioning from traditional</w:t>
      </w:r>
      <w:r>
        <w:t xml:space="preserve"> </w:t>
      </w:r>
      <w:r>
        <w:t xml:space="preserve">(</w:t>
      </w:r>
      <w:hyperlink w:anchor="ref-musa2023">
        <w:r>
          <w:rPr>
            <w:rStyle w:val="Hyperlink"/>
          </w:rPr>
          <w:t xml:space="preserve">76</w:t>
        </w:r>
      </w:hyperlink>
      <w:r>
        <w:t xml:space="preserve">)</w:t>
      </w:r>
      <w:r>
        <w:t xml:space="preserve"> </w:t>
      </w:r>
      <w:r>
        <w:t xml:space="preserve">to conversational analytics lack empirical validation</w:t>
      </w:r>
    </w:p>
    <w:p>
      <w:pPr>
        <w:pStyle w:val="Compact"/>
        <w:numPr>
          <w:ilvl w:val="0"/>
          <w:numId w:val="1019"/>
        </w:numPr>
      </w:pPr>
      <w:r>
        <w:rPr>
          <w:i/>
          <w:i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92</w:t>
        </w:r>
      </w:hyperlink>
      <w:r>
        <w:t xml:space="preserve">,</w:t>
      </w:r>
      <w:hyperlink w:anchor="ref-yang2025">
        <w:r>
          <w:rPr>
            <w:rStyle w:val="Hyperlink"/>
          </w:rPr>
          <w:t xml:space="preserve">108</w:t>
        </w:r>
      </w:hyperlink>
      <w:r>
        <w:t xml:space="preserve">)</w:t>
      </w:r>
    </w:p>
    <w:p>
      <w:pPr>
        <w:pStyle w:val="Compact"/>
        <w:numPr>
          <w:ilvl w:val="0"/>
          <w:numId w:val="1019"/>
        </w:numPr>
      </w:pPr>
      <w:r>
        <w:rPr>
          <w:i/>
          <w:i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81</w:t>
        </w:r>
      </w:hyperlink>
      <w:r>
        <w:t xml:space="preserve">)</w:t>
      </w:r>
      <w:r>
        <w:t xml:space="preserve">,</w:t>
      </w:r>
      <w:r>
        <w:t xml:space="preserve"> </w:t>
      </w:r>
      <w:r>
        <w:t xml:space="preserve">(</w:t>
      </w:r>
      <w:hyperlink w:anchor="ref-dadi2025">
        <w:r>
          <w:rPr>
            <w:rStyle w:val="Hyperlink"/>
          </w:rPr>
          <w:t xml:space="preserve">91</w:t>
        </w:r>
      </w:hyperlink>
      <w:r>
        <w:t xml:space="preserve">)</w:t>
      </w:r>
      <w:r>
        <w:t xml:space="preserve">,</w:t>
      </w:r>
      <w:r>
        <w:t xml:space="preserve"> </w:t>
      </w:r>
      <w:r>
        <w:t xml:space="preserve">(</w:t>
      </w:r>
      <w:hyperlink w:anchor="ref-shah2020">
        <w:r>
          <w:rPr>
            <w:rStyle w:val="Hyperlink"/>
          </w:rPr>
          <w:t xml:space="preserve">94</w:t>
        </w:r>
      </w:hyperlink>
      <w:r>
        <w:t xml:space="preserve">)</w:t>
      </w:r>
      <w:r>
        <w:t xml:space="preserve">,</w:t>
      </w:r>
      <w:r>
        <w:t xml:space="preserve"> </w:t>
      </w:r>
      <w:r>
        <w:t xml:space="preserve">(</w:t>
      </w:r>
      <w:hyperlink w:anchor="ref-ipeirotis2025">
        <w:r>
          <w:rPr>
            <w:rStyle w:val="Hyperlink"/>
          </w:rPr>
          <w:t xml:space="preserve">93</w:t>
        </w:r>
      </w:hyperlink>
      <w:r>
        <w:t xml:space="preserve">)</w:t>
      </w:r>
      <w:r>
        <w:t xml:space="preserve">), longitudinal studies tracking sustained productivity improvements over multiple years remain limited</w:t>
      </w:r>
    </w:p>
    <w:p>
      <w:pPr>
        <w:pStyle w:val="Compact"/>
        <w:numPr>
          <w:ilvl w:val="0"/>
          <w:numId w:val="1019"/>
        </w:numPr>
      </w:pPr>
      <w:r>
        <w:rPr>
          <w:i/>
          <w:i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i/>
          <w:i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116</w:t>
        </w:r>
      </w:hyperlink>
      <w:r>
        <w:t xml:space="preserve">)</w:t>
      </w:r>
      <w:r>
        <w:t xml:space="preserve">. As of this review, AMAM-specific outcome studies remain very limited, providing only emerging evidence for analytics maturity (as distinct from EHR adoption) impact on outcomes</w:t>
      </w:r>
    </w:p>
    <w:bookmarkEnd w:id="63"/>
    <w:bookmarkStart w:id="66"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4"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“patchwork”</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“messy reality”</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4"/>
    <w:bookmarkStart w:id="65"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5"/>
    <w:bookmarkEnd w:id="66"/>
    <w:bookmarkEnd w:id="67"/>
    <w:bookmarkStart w:id="97" w:name="discussion"/>
    <w:p>
      <w:pPr>
        <w:pStyle w:val="Heading1"/>
      </w:pPr>
      <w:r>
        <w:rPr>
          <w:rStyle w:val="SectionNumber"/>
        </w:rPr>
        <w:t xml:space="preserve">5</w:t>
      </w:r>
      <w:r>
        <w:tab/>
      </w:r>
      <w:r>
        <w:t xml:space="preserve">Discussion</w:t>
      </w:r>
    </w:p>
    <w:bookmarkStart w:id="73"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68"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84</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85</w:t>
        </w:r>
      </w:hyperlink>
      <w:r>
        <w:t xml:space="preserve">)</w:t>
      </w:r>
      <w:r>
        <w:t xml:space="preserve"> </w:t>
      </w:r>
      <w:r>
        <w:t xml:space="preserve">offer reproducible, quantitative performance metrics.</w:t>
      </w:r>
    </w:p>
    <w:bookmarkEnd w:id="68"/>
    <w:bookmarkStart w:id="69"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69"/>
    <w:bookmarkStart w:id="70"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70"/>
    <w:bookmarkStart w:id="71"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conversational analytics adoption linked to operational efficiency gains of 21.3% and staff productivity correlations of r = 0.60</w:t>
      </w:r>
      <w:r>
        <w:t xml:space="preserve"> </w:t>
      </w:r>
      <w:r>
        <w:t xml:space="preserve">(</w:t>
      </w:r>
      <w:hyperlink w:anchor="ref-nashid2023a">
        <w:r>
          <w:rPr>
            <w:rStyle w:val="Hyperlink"/>
          </w:rPr>
          <w:t xml:space="preserve">124</w:t>
        </w:r>
      </w:hyperlink>
      <w:r>
        <w:t xml:space="preserve">)</w:t>
      </w:r>
      <w:r>
        <w:t xml:space="preserve">. Furthermore, industry analysis of low-code implementation—a technical precursor to conversational interfaces—demonstrates a 50% reduction in application development time and an ROI of 206% over three years</w:t>
      </w:r>
      <w:r>
        <w:t xml:space="preserve"> </w:t>
      </w:r>
      <w:r>
        <w:t xml:space="preserve">(</w:t>
      </w:r>
      <w:hyperlink w:anchor="ref-forrester2024a">
        <w:r>
          <w:rPr>
            <w:rStyle w:val="Hyperlink"/>
          </w:rPr>
          <w:t xml:space="preserve">125</w:t>
        </w:r>
      </w:hyperlink>
      <w:r>
        <w:t xml:space="preserve">)</w:t>
      </w:r>
      <w:r>
        <w:t xml:space="preserve">.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1"/>
    <w:bookmarkStart w:id="72"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“current language models are not yet sufficiently accurate for unsupervised use,”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85</w:t>
        </w:r>
      </w:hyperlink>
      <w:r>
        <w:t xml:space="preserve">)</w:t>
      </w:r>
      <w:r>
        <w:t xml:space="preserve"> </w:t>
      </w:r>
      <w:r>
        <w:t xml:space="preserve">show significant gaps between benchmark performance and clinical readiness. This honest assessment enables appropriate implementation strategies.</w:t>
      </w:r>
    </w:p>
    <w:bookmarkEnd w:id="72"/>
    <w:bookmarkEnd w:id="73"/>
    <w:bookmarkStart w:id="80"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74"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4"/>
    <w:bookmarkStart w:id="75"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118</w:t>
        </w:r>
      </w:hyperlink>
      <w:r>
        <w:t xml:space="preserve">,</w:t>
      </w:r>
      <w:hyperlink w:anchor="ref-yang2020">
        <w:r>
          <w:rPr>
            <w:rStyle w:val="Hyperlink"/>
          </w:rPr>
          <w:t xml:space="preserve">121</w:t>
        </w:r>
      </w:hyperlink>
      <w:r>
        <w:t xml:space="preserve">)</w:t>
      </w:r>
      <w:r>
        <w:t xml:space="preserve">.</w:t>
      </w:r>
    </w:p>
    <w:bookmarkEnd w:id="75"/>
    <w:bookmarkStart w:id="76"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126</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6"/>
    <w:bookmarkStart w:id="77"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93</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127</w:t>
        </w:r>
      </w:hyperlink>
      <w:r>
        <w:t xml:space="preserve">)</w:t>
      </w:r>
      <w:r>
        <w:t xml:space="preserve">.</w:t>
      </w:r>
    </w:p>
    <w:bookmarkEnd w:id="77"/>
    <w:bookmarkStart w:id="78"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58</w:t>
        </w:r>
      </w:hyperlink>
      <w:r>
        <w:t xml:space="preserve">,</w:t>
      </w:r>
      <w:hyperlink w:anchor="ref-wang2025">
        <w:r>
          <w:rPr>
            <w:rStyle w:val="Hyperlink"/>
          </w:rPr>
          <w:t xml:space="preserve">82</w:t>
        </w:r>
      </w:hyperlink>
      <w:r>
        <w:t xml:space="preserve">)</w:t>
      </w:r>
      <w:r>
        <w:t xml:space="preserve">. Applications in specialized domains (oncology, cardiology, mental health) require domain-specific validation and customization that may not generalize from the existing evidence base.</w:t>
      </w:r>
    </w:p>
    <w:bookmarkEnd w:id="78"/>
    <w:bookmarkStart w:id="79" w:name="limitations-of-the-review-methodology"/>
    <w:p>
      <w:pPr>
        <w:pStyle w:val="Heading3"/>
      </w:pPr>
      <w:r>
        <w:rPr>
          <w:rStyle w:val="SectionNumber"/>
        </w:rPr>
        <w:t xml:space="preserve">5.2.6</w:t>
      </w:r>
      <w:r>
        <w:tab/>
      </w:r>
      <w:r>
        <w:t xml:space="preserve">Limitations of the Review Methodology</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79"/>
    <w:bookmarkEnd w:id="80"/>
    <w:bookmarkStart w:id="84"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1"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i/>
          <w:i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p>
    <w:p>
      <w:pPr>
        <w:pStyle w:val="Compact"/>
        <w:numPr>
          <w:ilvl w:val="0"/>
          <w:numId w:val="1020"/>
        </w:numPr>
      </w:pPr>
      <w:r>
        <w:rPr>
          <w:i/>
          <w:iCs/>
        </w:rPr>
        <w:t xml:space="preserve">Schema Discovery for Healthcare Databases</w:t>
      </w:r>
      <w:r>
        <w:t xml:space="preserve">: Research on automated primary/foreign key discovery algorithms applied to healthcare schemas, addressing the complexity of clinical data models</w:t>
      </w:r>
      <w:r>
        <w:t xml:space="preserve"> </w:t>
      </w:r>
      <w:r>
        <w:t xml:space="preserve">(</w:t>
      </w:r>
      <w:hyperlink w:anchor="ref-zhang2024">
        <w:r>
          <w:rPr>
            <w:rStyle w:val="Hyperlink"/>
          </w:rPr>
          <w:t xml:space="preserve">9</w:t>
        </w:r>
      </w:hyperlink>
      <w:r>
        <w:t xml:space="preserve">)</w:t>
      </w:r>
    </w:p>
    <w:p>
      <w:pPr>
        <w:pStyle w:val="Compact"/>
        <w:numPr>
          <w:ilvl w:val="0"/>
          <w:numId w:val="1020"/>
        </w:numPr>
      </w:pPr>
      <w:r>
        <w:rPr>
          <w:i/>
          <w:iCs/>
        </w:rPr>
        <w:t xml:space="preserve">Governance Framework Development</w:t>
      </w:r>
      <w:r>
        <w:t xml:space="preserve">: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0"/>
        </w:numPr>
      </w:pPr>
      <w:r>
        <w:rPr>
          <w:i/>
          <w:i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r>
        <w:t xml:space="preserve"> </w:t>
      </w:r>
      <w:r>
        <w:t xml:space="preserve">(</w:t>
      </w:r>
      <w:hyperlink w:anchor="ref-ziletti2024">
        <w:r>
          <w:rPr>
            <w:rStyle w:val="Hyperlink"/>
          </w:rPr>
          <w:t xml:space="preserve">20</w:t>
        </w:r>
      </w:hyperlink>
      <w:r>
        <w:t xml:space="preserve">,</w:t>
      </w:r>
      <w:hyperlink w:anchor="ref-blaskovic2025">
        <w:r>
          <w:rPr>
            <w:rStyle w:val="Hyperlink"/>
          </w:rPr>
          <w:t xml:space="preserve">86</w:t>
        </w:r>
      </w:hyperlink>
      <w:r>
        <w:t xml:space="preserve">)</w:t>
      </w:r>
      <w:r>
        <w:t xml:space="preserve">.</w:t>
      </w:r>
    </w:p>
    <w:bookmarkEnd w:id="81"/>
    <w:bookmarkStart w:id="82"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i/>
          <w:i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i/>
          <w:i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i/>
          <w:iCs/>
        </w:rPr>
        <w:t xml:space="preserve">Longitudinal Outcome Studies</w:t>
      </w:r>
      <w:r>
        <w:t xml:space="preserve">: Multi-year implementations to assess sustained benefits and organizational evolution</w:t>
      </w:r>
    </w:p>
    <w:p>
      <w:pPr>
        <w:pStyle w:val="Compact"/>
        <w:numPr>
          <w:ilvl w:val="0"/>
          <w:numId w:val="1021"/>
        </w:numPr>
      </w:pPr>
      <w:r>
        <w:rPr>
          <w:i/>
          <w:iCs/>
        </w:rPr>
        <w:t xml:space="preserve">Comparative Effectiveness Research</w:t>
      </w:r>
      <w:r>
        <w:t xml:space="preserve">: Head-to-head comparisons of different conversational AI approaches on healthcare-specific benchmarks</w:t>
      </w:r>
    </w:p>
    <w:bookmarkEnd w:id="82"/>
    <w:bookmarkStart w:id="83"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i/>
          <w:iCs/>
        </w:rPr>
        <w:t xml:space="preserve">Organizational Transformation Studies</w:t>
      </w:r>
      <w:r>
        <w:t xml:space="preserve">: Research on how conversational AI platforms reshape healthcare organizational capabilities</w:t>
      </w:r>
    </w:p>
    <w:p>
      <w:pPr>
        <w:pStyle w:val="Compact"/>
        <w:numPr>
          <w:ilvl w:val="0"/>
          <w:numId w:val="1022"/>
        </w:numPr>
      </w:pPr>
      <w:r>
        <w:rPr>
          <w:i/>
          <w:iCs/>
        </w:rPr>
        <w:t xml:space="preserve">Clinical Outcome Impact Assessment</w:t>
      </w:r>
      <w:r>
        <w:t xml:space="preserve">: Studies linking improved analytics access to patient care outcomes</w:t>
      </w:r>
    </w:p>
    <w:p>
      <w:pPr>
        <w:pStyle w:val="Compact"/>
        <w:numPr>
          <w:ilvl w:val="0"/>
          <w:numId w:val="1022"/>
        </w:numPr>
      </w:pPr>
      <w:r>
        <w:rPr>
          <w:i/>
          <w:iCs/>
        </w:rPr>
        <w:t xml:space="preserve">Cross-Institution Knowledge Portals</w:t>
      </w:r>
      <w:r>
        <w:t xml:space="preserve">: Investigation of federated approaches enabling knowledge sharing across healthcare organizations while maintaining privacy and security requirements</w:t>
      </w:r>
    </w:p>
    <w:bookmarkEnd w:id="83"/>
    <w:bookmarkEnd w:id="84"/>
    <w:bookmarkStart w:id="88"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r>
        <w:t xml:space="preserve"> </w:t>
      </w:r>
      <w:r>
        <w:t xml:space="preserve">(</w:t>
      </w:r>
      <w:hyperlink w:anchor="ref-whittaker2008">
        <w:r>
          <w:rPr>
            <w:rStyle w:val="Hyperlink"/>
          </w:rPr>
          <w:t xml:space="preserve">105</w:t>
        </w:r>
      </w:hyperlink>
      <w:r>
        <w:t xml:space="preserve">,</w:t>
      </w:r>
      <w:hyperlink w:anchor="ref-lenz2007">
        <w:r>
          <w:rPr>
            <w:rStyle w:val="Hyperlink"/>
          </w:rPr>
          <w:t xml:space="preserve">128</w:t>
        </w:r>
      </w:hyperlink>
      <w:r>
        <w:t xml:space="preserve">)</w:t>
      </w:r>
      <w:r>
        <w:t xml:space="preserve">.</w:t>
      </w:r>
    </w:p>
    <w:p>
      <w:pPr>
        <w:pStyle w:val="BodyText"/>
      </w:pPr>
      <w:r>
        <w:t xml:space="preserve">Validated query triples address each weakness:</w:t>
      </w:r>
    </w:p>
    <w:p>
      <w:pPr>
        <w:pStyle w:val="Compact"/>
        <w:numPr>
          <w:ilvl w:val="0"/>
          <w:numId w:val="1023"/>
        </w:numPr>
      </w:pPr>
      <w:r>
        <w:rPr>
          <w:i/>
          <w:iCs/>
        </w:rPr>
        <w:t xml:space="preserve">Executability</w:t>
      </w:r>
      <w:r>
        <w:t xml:space="preserve">: Validated triples are executable; they can be tested against current data to verify continued correctness, unlike static documentation</w:t>
      </w:r>
    </w:p>
    <w:p>
      <w:pPr>
        <w:pStyle w:val="Compact"/>
        <w:numPr>
          <w:ilvl w:val="0"/>
          <w:numId w:val="1023"/>
        </w:numPr>
      </w:pPr>
      <w:r>
        <w:rPr>
          <w:i/>
          <w:iCs/>
        </w:rPr>
        <w:t xml:space="preserve">Contextual Completeness</w:t>
      </w:r>
      <w:r>
        <w:t xml:space="preserve">: Validated triples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triple is incomplete without mandatory</w:t>
      </w:r>
      <w:r>
        <w:t xml:space="preserve"> </w:t>
      </w:r>
      <w:r>
        <w:t xml:space="preserve">“Rationale Metadata,”</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“Excluding Hospice per 2025 CMS rules”</w:t>
      </w:r>
      <w:r>
        <w:t xml:space="preserve">)</w:t>
      </w:r>
    </w:p>
    <w:p>
      <w:pPr>
        <w:pStyle w:val="Compact"/>
        <w:numPr>
          <w:ilvl w:val="0"/>
          <w:numId w:val="1023"/>
        </w:numPr>
      </w:pPr>
      <w:r>
        <w:rPr>
          <w:i/>
          <w:iCs/>
        </w:rPr>
        <w:t xml:space="preserve">Active Validation</w:t>
      </w:r>
      <w:r>
        <w:t xml:space="preserve">: Validation happens at the point of use rather than as a separate maintenance task; every confirmed query becomes a knowledge artifact without additional documentation effort</w:t>
      </w:r>
    </w:p>
    <w:p>
      <w:pPr>
        <w:pStyle w:val="FirstParagraph"/>
      </w:pPr>
      <w:r>
        <w:t xml:space="preserve">This mechanism also differs from traditional query logging or usage analytics. Query logs capture what was asked, but not whether the answer was correct. Validated query triples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r>
        <w:t xml:space="preserve"> </w:t>
      </w:r>
      <w:r>
        <w:t xml:space="preserve">(</w:t>
      </w:r>
      <w:hyperlink w:anchor="ref-oliveira2023">
        <w:r>
          <w:rPr>
            <w:rStyle w:val="Hyperlink"/>
          </w:rPr>
          <w:t xml:space="preserve">129</w:t>
        </w:r>
      </w:hyperlink>
      <w:r>
        <w:t xml:space="preserve">)</w:t>
      </w:r>
      <w:r>
        <w:t xml:space="preserve">.</w:t>
      </w:r>
    </w:p>
    <w:bookmarkStart w:id="85"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“validator paradox,”</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“standard work”</w:t>
      </w:r>
      <w:r>
        <w:t xml:space="preserve"> </w:t>
      </w:r>
      <w:r>
        <w:t xml:space="preserve">of informatics, drawing on Lean management principles</w:t>
      </w:r>
      <w:r>
        <w:t xml:space="preserve"> </w:t>
      </w:r>
      <w:r>
        <w:t xml:space="preserve">(</w:t>
      </w:r>
      <w:hyperlink w:anchor="ref-alukal2006">
        <w:r>
          <w:rPr>
            <w:rStyle w:val="Hyperlink"/>
          </w:rPr>
          <w:t xml:space="preserve">130</w:t>
        </w:r>
      </w:hyperlink>
      <w:r>
        <w:t xml:space="preserve">)</w:t>
      </w:r>
      <w:r>
        <w:t xml:space="preserve">.</w:t>
      </w:r>
    </w:p>
    <w:p>
      <w:pPr>
        <w:pStyle w:val="BodyText"/>
      </w:pPr>
      <w:r>
        <w:t xml:space="preserve">In this model, a validated query represents the</w:t>
      </w:r>
      <w:r>
        <w:t xml:space="preserve"> </w:t>
      </w:r>
      <w:r>
        <w:t xml:space="preserve">“current best way”</w:t>
      </w:r>
      <w:r>
        <w:t xml:space="preserve"> </w:t>
      </w:r>
      <w:r>
        <w:t xml:space="preserve">to perform an analysis. As Alukal and Manos</w:t>
      </w:r>
      <w:r>
        <w:t xml:space="preserve"> </w:t>
      </w:r>
      <w:r>
        <w:t xml:space="preserve">(</w:t>
      </w:r>
      <w:hyperlink w:anchor="ref-alukal2006">
        <w:r>
          <w:rPr>
            <w:rStyle w:val="Hyperlink"/>
          </w:rPr>
          <w:t xml:space="preserve">130</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“organizational knowledge ratchet”</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“sliding back to zero”</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71</w:t>
        </w:r>
      </w:hyperlink>
      <w:r>
        <w:t xml:space="preserve">)</w:t>
      </w:r>
      <w:r>
        <w:t xml:space="preserve">. Rather than requiring a permanent</w:t>
      </w:r>
      <w:r>
        <w:t xml:space="preserve"> </w:t>
      </w:r>
      <w:r>
        <w:t xml:space="preserve">“core nucleus”</w:t>
      </w:r>
      <w:r>
        <w:t xml:space="preserve"> </w:t>
      </w:r>
      <w:r>
        <w:t xml:space="preserve">of experts, the system accumulates knowledge incrementally, using the structure of the validation process to buffer against the disruptive effects of turnover.</w:t>
      </w:r>
    </w:p>
    <w:bookmarkEnd w:id="85"/>
    <w:bookmarkStart w:id="86"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4"/>
        </w:numPr>
      </w:pPr>
      <w:r>
        <w:rPr>
          <w:i/>
          <w:i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“schema rot”</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131</w:t>
        </w:r>
      </w:hyperlink>
      <w:r>
        <w:t xml:space="preserve">,</w:t>
      </w:r>
      <w:hyperlink w:anchor="ref-yupopa2005">
        <w:r>
          <w:rPr>
            <w:rStyle w:val="Hyperlink"/>
          </w:rPr>
          <w:t xml:space="preserve">132</w:t>
        </w:r>
      </w:hyperlink>
      <w:r>
        <w:t xml:space="preserve">)</w:t>
      </w:r>
      <w:r>
        <w:t xml:space="preserve">. Modern</w:t>
      </w:r>
      <w:r>
        <w:t xml:space="preserve"> </w:t>
      </w:r>
      <w:r>
        <w:t xml:space="preserve">“Semantic Fabrics”</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129</w:t>
        </w:r>
      </w:hyperlink>
      <w:r>
        <w:t xml:space="preserve">,</w:t>
      </w:r>
      <w:hyperlink w:anchor="ref-sivaranjani2025">
        <w:r>
          <w:rPr>
            <w:rStyle w:val="Hyperlink"/>
          </w:rPr>
          <w:t xml:space="preserve">133</w:t>
        </w:r>
      </w:hyperlink>
      <w:r>
        <w:t xml:space="preserve">)</w:t>
      </w:r>
      <w:r>
        <w:t xml:space="preserve">. AI-maintained adaptive frameworks can reduce false-positive quality alerts by 40% under</w:t>
      </w:r>
      <w:r>
        <w:t xml:space="preserve"> </w:t>
      </w:r>
      <w:r>
        <w:t xml:space="preserve">“schema drift”</w:t>
      </w:r>
      <w:r>
        <w:t xml:space="preserve"> </w:t>
      </w:r>
      <w:r>
        <w:t xml:space="preserve">scenarios</w:t>
      </w:r>
      <w:r>
        <w:t xml:space="preserve"> </w:t>
      </w:r>
      <w:r>
        <w:t xml:space="preserve">(</w:t>
      </w:r>
      <w:hyperlink w:anchor="ref-battula2025">
        <w:r>
          <w:rPr>
            <w:rStyle w:val="Hyperlink"/>
          </w:rPr>
          <w:t xml:space="preserve">134</w:t>
        </w:r>
      </w:hyperlink>
      <w:r>
        <w:t xml:space="preserve">)</w:t>
      </w:r>
      <w:r>
        <w:t xml:space="preserve">. However, the</w:t>
      </w:r>
      <w:r>
        <w:t xml:space="preserve"> </w:t>
      </w:r>
      <w:r>
        <w:t xml:space="preserve">“semantic gap”</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128</w:t>
        </w:r>
      </w:hyperlink>
      <w:r>
        <w:t xml:space="preserve">)</w:t>
      </w:r>
      <w:r>
        <w:t xml:space="preserve">.</w:t>
      </w:r>
    </w:p>
    <w:p>
      <w:pPr>
        <w:numPr>
          <w:ilvl w:val="0"/>
          <w:numId w:val="1024"/>
        </w:numPr>
      </w:pPr>
      <w:r>
        <w:rPr>
          <w:i/>
          <w:i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105</w:t>
        </w:r>
      </w:hyperlink>
      <w:r>
        <w:t xml:space="preserve">)</w:t>
      </w:r>
      <w:r>
        <w:t xml:space="preserve">. In contrast, conversational interfaces represent active capture (Active Validation) where the query itself is the documentation</w:t>
      </w:r>
      <w:r>
        <w:t xml:space="preserve"> </w:t>
      </w:r>
      <w:r>
        <w:t xml:space="preserve">(</w:t>
      </w:r>
      <w:hyperlink w:anchor="ref-moore2018">
        <w:r>
          <w:rPr>
            <w:rStyle w:val="Hyperlink"/>
          </w:rPr>
          <w:t xml:space="preserve">107</w:t>
        </w:r>
      </w:hyperlink>
      <w:r>
        <w:t xml:space="preserve">)</w:t>
      </w:r>
      <w:r>
        <w:t xml:space="preserve">, integrating knowledge preservation directly into the analytical workflow.</w:t>
      </w:r>
    </w:p>
    <w:p>
      <w:pPr>
        <w:numPr>
          <w:ilvl w:val="0"/>
          <w:numId w:val="1024"/>
        </w:numPr>
      </w:pPr>
      <w:r>
        <w:rPr>
          <w:i/>
          <w:i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135</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135</w:t>
        </w:r>
      </w:hyperlink>
      <w:r>
        <w:t xml:space="preserve">,</w:t>
      </w:r>
      <w:hyperlink w:anchor="ref-rivard1987">
        <w:r>
          <w:rPr>
            <w:rStyle w:val="Hyperlink"/>
          </w:rPr>
          <w:t xml:space="preserve">136</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137</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129</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127</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6"/>
    <w:bookmarkStart w:id="87"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Leveraging the property of Executability, a validated SQL query is treated not as a static artifact but as a software asset within a CI/CD pipeline. In healthcare, database schemas (Epic, Cerner, OMOP) change frequently, breaking</w:t>
      </w:r>
      <w:r>
        <w:t xml:space="preserve"> </w:t>
      </w:r>
      <w:r>
        <w:t xml:space="preserve">“frozen”</w:t>
      </w:r>
      <w:r>
        <w:t xml:space="preserve"> </w:t>
      </w:r>
      <w:r>
        <w:t xml:space="preserve">code. To address</w:t>
      </w:r>
      <w:r>
        <w:t xml:space="preserve"> </w:t>
      </w:r>
      <w:r>
        <w:t xml:space="preserve">“Schema Drift,”</w:t>
      </w:r>
      <w:r>
        <w:t xml:space="preserve"> </w:t>
      </w:r>
      <w:r>
        <w:t xml:space="preserve">analytics must adopt principles from software engineering:</w:t>
      </w:r>
      <w:r>
        <w:t xml:space="preserve"> </w:t>
      </w:r>
      <w:r>
        <w:rPr>
          <w:i/>
          <w:iCs/>
        </w:rPr>
        <w:t xml:space="preserve">Continuous Analytic Integration</w:t>
      </w:r>
      <w:r>
        <w:t xml:space="preserve">.</w:t>
      </w:r>
    </w:p>
    <w:p>
      <w:pPr>
        <w:pStyle w:val="BodyText"/>
      </w:pPr>
      <w:r>
        <w:t xml:space="preserve">In this approach, Validated Query Triples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“Institutional Memory”</w:t>
      </w:r>
      <w:r>
        <w:t xml:space="preserve"> </w:t>
      </w:r>
      <w:r>
        <w:t xml:space="preserve">from a stagnant repository into a living, automated test suite that actively signals when organizational knowledge has drifted from technical reality.</w:t>
      </w:r>
    </w:p>
    <w:bookmarkEnd w:id="87"/>
    <w:bookmarkEnd w:id="88"/>
    <w:bookmarkStart w:id="96"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2"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89"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89"/>
    <w:bookmarkStart w:id="90"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0"/>
    <w:bookmarkStart w:id="91"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1"/>
    <w:bookmarkEnd w:id="92"/>
    <w:bookmarkStart w:id="93"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4 provides an evidence-based rubric where each indicator anchors to reviewed literature. Organizations scoring predominantly</w:t>
      </w:r>
      <w:r>
        <w:t xml:space="preserve"> </w:t>
      </w:r>
      <w:r>
        <w:t xml:space="preserve">“Low Strength”</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t xml:space="preserve">Table 4: Three-Pillar Organizational Assessment Rubric</w:t>
      </w:r>
    </w:p>
    <w:p>
      <w:pPr>
        <w:pStyle w:val="BodyText"/>
      </w:pPr>
      <w:r>
        <w:t xml:space="preserve">Pillar 1: Analytics Maturity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80</w:t>
              </w:r>
            </w:hyperlink>
            <w:r>
              <w:t xml:space="preserve">)</w:t>
            </w:r>
          </w:p>
        </w:tc>
      </w:tr>
    </w:tbl>
    <w:p>
      <w:pPr>
        <w:pStyle w:val="BodyText"/>
      </w:pPr>
      <w:r>
        <w:t xml:space="preserve">Pillar 2: Workforce Agility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73</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74</w:t>
              </w:r>
            </w:hyperlink>
            <w:r>
              <w:t xml:space="preserve">,</w:t>
            </w:r>
            <w:hyperlink w:anchor="ref-mantas2010">
              <w:r>
                <w:rPr>
                  <w:rStyle w:val="Hyperlink"/>
                </w:rPr>
                <w:t xml:space="preserve">75</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t xml:space="preserve">Pillar 3: Technical Enablement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53</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52</w:t>
              </w:r>
            </w:hyperlink>
            <w:r>
              <w:t xml:space="preserve">,</w:t>
            </w:r>
            <w:hyperlink w:anchor="ref-pesqueira2020">
              <w:r>
                <w:rPr>
                  <w:rStyle w:val="Hyperlink"/>
                </w:rPr>
                <w:t xml:space="preserve">53</w:t>
              </w:r>
            </w:hyperlink>
            <w:r>
              <w:t xml:space="preserve">)</w:t>
            </w:r>
          </w:p>
        </w:tc>
      </w:tr>
    </w:tbl>
    <w:p>
      <w:pPr>
        <w:pStyle w:val="BodyText"/>
      </w:pPr>
      <w:r>
        <w:t xml:space="preserve">Multi-Pillar Convergence Assessment: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0 pillars Low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w:t>
      </w:r>
      <w:r>
        <w:t xml:space="preserve"> </w:t>
      </w:r>
      <w:r>
        <w:t xml:space="preserve">“Low Strength”</w:t>
      </w:r>
      <w:r>
        <w:t xml:space="preserve"> </w:t>
      </w:r>
      <w:r>
        <w:t xml:space="preserve">conditions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3"/>
    <w:bookmarkStart w:id="94"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5"/>
        </w:numPr>
      </w:pPr>
      <w:r>
        <w:rPr>
          <w:i/>
          <w:iCs/>
        </w:rPr>
        <w:t xml:space="preserve">Governance Framework Development</w:t>
      </w:r>
      <w:r>
        <w:t xml:space="preserve">: New policies and procedures for democratized analytics</w:t>
      </w:r>
      <w:r>
        <w:t xml:space="preserve"> </w:t>
      </w:r>
      <w:r>
        <w:t xml:space="preserve">(</w:t>
      </w:r>
      <w:hyperlink w:anchor="ref-himss2025ucdavis">
        <w:r>
          <w:rPr>
            <w:rStyle w:val="Hyperlink"/>
          </w:rPr>
          <w:t xml:space="preserve">127</w:t>
        </w:r>
      </w:hyperlink>
      <w:r>
        <w:t xml:space="preserve">,</w:t>
      </w:r>
      <w:hyperlink w:anchor="ref-oliveira2023">
        <w:r>
          <w:rPr>
            <w:rStyle w:val="Hyperlink"/>
          </w:rPr>
          <w:t xml:space="preserve">129</w:t>
        </w:r>
      </w:hyperlink>
      <w:r>
        <w:t xml:space="preserve">)</w:t>
      </w:r>
    </w:p>
    <w:p>
      <w:pPr>
        <w:pStyle w:val="Compact"/>
        <w:numPr>
          <w:ilvl w:val="0"/>
          <w:numId w:val="1025"/>
        </w:numPr>
      </w:pPr>
      <w:r>
        <w:rPr>
          <w:i/>
          <w:iCs/>
        </w:rPr>
        <w:t xml:space="preserve">Change Management</w:t>
      </w:r>
      <w:r>
        <w:t xml:space="preserve">: Training and support programs to ensure user adoption</w:t>
      </w:r>
      <w:r>
        <w:t xml:space="preserve"> </w:t>
      </w:r>
      <w:r>
        <w:t xml:space="preserve">(</w:t>
      </w:r>
      <w:hyperlink w:anchor="ref-shahbaz2019">
        <w:r>
          <w:rPr>
            <w:rStyle w:val="Hyperlink"/>
          </w:rPr>
          <w:t xml:space="preserve">16</w:t>
        </w:r>
      </w:hyperlink>
      <w:r>
        <w:t xml:space="preserve">,</w:t>
      </w:r>
      <w:hyperlink w:anchor="ref-musa2023">
        <w:r>
          <w:rPr>
            <w:rStyle w:val="Hyperlink"/>
          </w:rPr>
          <w:t xml:space="preserve">76</w:t>
        </w:r>
      </w:hyperlink>
      <w:r>
        <w:t xml:space="preserve">)</w:t>
      </w:r>
    </w:p>
    <w:p>
      <w:pPr>
        <w:pStyle w:val="Compact"/>
        <w:numPr>
          <w:ilvl w:val="0"/>
          <w:numId w:val="1025"/>
        </w:numPr>
      </w:pPr>
      <w:r>
        <w:rPr>
          <w:i/>
          <w:iCs/>
        </w:rPr>
        <w:t xml:space="preserve">Phased Deployment</w:t>
      </w:r>
      <w:r>
        <w:t xml:space="preserve">: Gradual rollout beginning with analytics-savvy early adopters</w:t>
      </w:r>
      <w:r>
        <w:t xml:space="preserve"> </w:t>
      </w:r>
      <w:r>
        <w:t xml:space="preserve">(</w:t>
      </w:r>
      <w:hyperlink w:anchor="ref-berkshire2024">
        <w:r>
          <w:rPr>
            <w:rStyle w:val="Hyperlink"/>
          </w:rPr>
          <w:t xml:space="preserve">24</w:t>
        </w:r>
      </w:hyperlink>
      <w:r>
        <w:t xml:space="preserve">)</w:t>
      </w:r>
    </w:p>
    <w:p>
      <w:pPr>
        <w:pStyle w:val="Compact"/>
        <w:numPr>
          <w:ilvl w:val="0"/>
          <w:numId w:val="1025"/>
        </w:numPr>
      </w:pPr>
      <w:r>
        <w:rPr>
          <w:i/>
          <w:i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4"/>
    <w:bookmarkStart w:id="95" w:name="mitigating-shadow-it-with-golden-queries"/>
    <w:p>
      <w:pPr>
        <w:pStyle w:val="Heading3"/>
      </w:pPr>
      <w:r>
        <w:rPr>
          <w:rStyle w:val="SectionNumber"/>
        </w:rPr>
        <w:t xml:space="preserve">5.5.4</w:t>
      </w:r>
      <w:r>
        <w:tab/>
      </w:r>
      <w:r>
        <w:t xml:space="preserve">Mitigating</w:t>
      </w:r>
      <w:r>
        <w:t xml:space="preserve"> </w:t>
      </w:r>
      <w:r>
        <w:t xml:space="preserve">“Shadow IT”</w:t>
      </w:r>
      <w:r>
        <w:t xml:space="preserve"> </w:t>
      </w:r>
      <w:r>
        <w:t xml:space="preserve">with</w:t>
      </w:r>
      <w:r>
        <w:t xml:space="preserve"> </w:t>
      </w:r>
      <w:r>
        <w:t xml:space="preserve">“Golden Queries”</w:t>
      </w:r>
    </w:p>
    <w:p>
      <w:pPr>
        <w:pStyle w:val="FirstParagraph"/>
      </w:pPr>
      <w:r>
        <w:t xml:space="preserve">To prevent the</w:t>
      </w:r>
      <w:r>
        <w:t xml:space="preserve"> </w:t>
      </w:r>
      <w:r>
        <w:t xml:space="preserve">“chaos of conflicting definitions”</w:t>
      </w:r>
      <w:r>
        <w:t xml:space="preserve"> </w:t>
      </w:r>
      <w:r>
        <w:t xml:space="preserve">that can arise from democratized analytics, organizations can introduce a</w:t>
      </w:r>
      <w:r>
        <w:t xml:space="preserve"> </w:t>
      </w:r>
      <w:r>
        <w:t xml:space="preserve">“Golden Query”</w:t>
      </w:r>
      <w:r>
        <w:t xml:space="preserve"> </w:t>
      </w:r>
      <w:r>
        <w:t xml:space="preserve">governance status. In this model, a central committee can certify specific validated triples as the</w:t>
      </w:r>
      <w:r>
        <w:t xml:space="preserve"> </w:t>
      </w:r>
      <w:r>
        <w:t xml:space="preserve">“source of truth”</w:t>
      </w:r>
      <w:r>
        <w:t xml:space="preserve"> </w:t>
      </w:r>
      <w:r>
        <w:t xml:space="preserve">for the organization</w:t>
      </w:r>
      <w:r>
        <w:t xml:space="preserve"> </w:t>
      </w:r>
      <w:r>
        <w:t xml:space="preserve">(</w:t>
      </w:r>
      <w:hyperlink w:anchor="ref-himss2025ucdavis">
        <w:r>
          <w:rPr>
            <w:rStyle w:val="Hyperlink"/>
          </w:rPr>
          <w:t xml:space="preserve">127</w:t>
        </w:r>
      </w:hyperlink>
      <w:r>
        <w:t xml:space="preserve">)</w:t>
      </w:r>
      <w:r>
        <w:t xml:space="preserve">. This ensures that while many users can create and validate queries, only a select few are designated as the official, trusted queries for key metrics, thus mitigating the risks of</w:t>
      </w:r>
      <w:r>
        <w:t xml:space="preserve"> </w:t>
      </w:r>
      <w:r>
        <w:t xml:space="preserve">“Shadow IT”</w:t>
      </w:r>
      <w:r>
        <w:t xml:space="preserve"> </w:t>
      </w:r>
      <w:r>
        <w:t xml:space="preserve">(</w:t>
      </w:r>
      <w:hyperlink w:anchor="ref-zimmermann2017">
        <w:r>
          <w:rPr>
            <w:rStyle w:val="Hyperlink"/>
          </w:rPr>
          <w:t xml:space="preserve">135</w:t>
        </w:r>
      </w:hyperlink>
      <w:r>
        <w:t xml:space="preserve">)</w:t>
      </w:r>
      <w:r>
        <w:t xml:space="preserve">.</w:t>
      </w:r>
    </w:p>
    <w:bookmarkEnd w:id="95"/>
    <w:bookmarkEnd w:id="96"/>
    <w:bookmarkEnd w:id="97"/>
    <w:bookmarkStart w:id="101"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98" w:name="the-three-pillar-framework"/>
    <w:p>
      <w:pPr>
        <w:pStyle w:val="Heading2"/>
      </w:pPr>
      <w:r>
        <w:rPr>
          <w:rStyle w:val="SectionNumber"/>
        </w:rPr>
        <w:t xml:space="preserve">6.1</w:t>
      </w:r>
      <w:r>
        <w:tab/>
      </w:r>
      <w:r>
        <w:t xml:space="preserve">The Three-Pillar Framework</w:t>
      </w:r>
    </w:p>
    <w:p>
      <w:pPr>
        <w:pStyle w:val="FirstParagraph"/>
      </w:pPr>
      <w:r>
        <w:t xml:space="preserve">The framework identifies a self-reinforcing cycle: low</w:t>
      </w:r>
      <w:r>
        <w:t xml:space="preserve"> </w:t>
      </w:r>
      <w:r>
        <w:rPr>
          <w:i/>
          <w:iCs/>
        </w:rPr>
        <w:t xml:space="preserve">Analytics Maturity</w:t>
      </w:r>
      <w:r>
        <w:t xml:space="preserve"> </w:t>
      </w:r>
      <w:r>
        <w:t xml:space="preserve">leaves clinical decisions unsupported; this frustration correlates with high</w:t>
      </w:r>
      <w:r>
        <w:t xml:space="preserve"> </w:t>
      </w:r>
      <w:r>
        <w:rPr>
          <w:i/>
          <w:iCs/>
        </w:rPr>
        <w:t xml:space="preserve">Workforce Turnover</w:t>
      </w:r>
      <w:r>
        <w:t xml:space="preserve">, which causes institutional memory loss; and</w:t>
      </w:r>
      <w:r>
        <w:t xml:space="preserve"> </w:t>
      </w:r>
      <w:r>
        <w:rPr>
          <w:i/>
          <w:iCs/>
        </w:rPr>
        <w:t xml:space="preserve">Technical Barriers</w:t>
      </w:r>
      <w:r>
        <w:t xml:space="preserve"> </w:t>
      </w:r>
      <w:r>
        <w:t xml:space="preserve">prevent the capture of this knowledge, blocking recovery. This integrated perspective explains why addressing single pillars in isolation—such as buying a new tool without addressing workforce stability—often fails to produce lasting improvement.</w:t>
      </w:r>
    </w:p>
    <w:bookmarkEnd w:id="98"/>
    <w:bookmarkStart w:id="99" w:name="key-findings"/>
    <w:p>
      <w:pPr>
        <w:pStyle w:val="Heading2"/>
      </w:pPr>
      <w:r>
        <w:rPr>
          <w:rStyle w:val="SectionNumber"/>
        </w:rPr>
        <w:t xml:space="preserve">6.2</w:t>
      </w:r>
      <w:r>
        <w:tab/>
      </w:r>
      <w:r>
        <w:t xml:space="preserve">Key Findings</w:t>
      </w:r>
    </w:p>
    <w:p>
      <w:pPr>
        <w:pStyle w:val="FirstParagraph"/>
      </w:pPr>
      <w:r>
        <w:t xml:space="preserve">This review establishes critical evidence benchmarks for each pillar:</w:t>
      </w:r>
    </w:p>
    <w:p>
      <w:pPr>
        <w:pStyle w:val="Compact"/>
        <w:numPr>
          <w:ilvl w:val="0"/>
          <w:numId w:val="1026"/>
        </w:numPr>
      </w:pPr>
      <w:r>
        <w:rPr>
          <w:i/>
          <w:iCs/>
        </w:rPr>
        <w:t xml:space="preserve">Analytics Maturity</w:t>
      </w:r>
      <w:r>
        <w:t xml:space="preserve">: Healthcare maturity remains low, with most organizations struggling at basic reporting levels. However, recent evidence confirms that higher maturity correlates with better patient safety and experience outcomes, shifting the focus from simple EMR adoption to advanced analytics capabilities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r>
        <w:t xml:space="preserve">.</w:t>
      </w:r>
    </w:p>
    <w:p>
      <w:pPr>
        <w:pStyle w:val="Compact"/>
        <w:numPr>
          <w:ilvl w:val="0"/>
          <w:numId w:val="1026"/>
        </w:numPr>
      </w:pPr>
      <w:r>
        <w:rPr>
          <w:i/>
          <w:iCs/>
        </w:rPr>
        <w:t xml:space="preserve">Workforce Impact</w:t>
      </w:r>
      <w:r>
        <w:t xml:space="preserve">: The sector faces a persistent crisis of instability, with turnover rates historically among the highest in IT</w:t>
      </w:r>
      <w:r>
        <w:t xml:space="preserve"> </w:t>
      </w:r>
      <w:r>
        <w:t xml:space="preserve">(</w:t>
      </w:r>
      <w:hyperlink w:anchor="ref-american2023">
        <w:r>
          <w:rPr>
            <w:rStyle w:val="Hyperlink"/>
          </w:rPr>
          <w:t xml:space="preserve">1</w:t>
        </w:r>
      </w:hyperlink>
      <w:r>
        <w:t xml:space="preserve">,</w:t>
      </w:r>
      <w:hyperlink w:anchor="ref-ang2004">
        <w:r>
          <w:rPr>
            <w:rStyle w:val="Hyperlink"/>
          </w:rPr>
          <w:t xml:space="preserve">7</w:t>
        </w:r>
      </w:hyperlink>
      <w:r>
        <w:t xml:space="preserve">)</w:t>
      </w:r>
      <w:r>
        <w:t xml:space="preserve">. The cost of this churn is not just financial but intellectual: knowledge loss can cost up to three times annual salary budgets, degrading organizational capability over time</w:t>
      </w:r>
      <w:r>
        <w:t xml:space="preserve"> </w:t>
      </w:r>
      <w:r>
        <w:t xml:space="preserve">(</w:t>
      </w:r>
      <w:hyperlink w:anchor="ref-massingham2018">
        <w:r>
          <w:rPr>
            <w:rStyle w:val="Hyperlink"/>
          </w:rPr>
          <w:t xml:space="preserve">34</w:t>
        </w:r>
      </w:hyperlink>
      <w:r>
        <w:t xml:space="preserve">)</w:t>
      </w:r>
      <w:r>
        <w:t xml:space="preserve">.</w:t>
      </w:r>
    </w:p>
    <w:p>
      <w:pPr>
        <w:pStyle w:val="Compact"/>
        <w:numPr>
          <w:ilvl w:val="0"/>
          <w:numId w:val="1026"/>
        </w:numPr>
      </w:pPr>
      <w:r>
        <w:rPr>
          <w:i/>
          <w:iCs/>
        </w:rPr>
        <w:t xml:space="preserve">Technical Enablement</w:t>
      </w:r>
      <w:r>
        <w:t xml:space="preserve">: Natural language interfaces have matured to become viable democratizing tools. Benchmarks show significant accuracy improvements</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r>
        <w:t xml:space="preserve">, while implementation studies document quantifiable productivity gains and cost reductions, including a 21.3% operational efficiency gain and 50% reduction in development time</w:t>
      </w:r>
      <w:r>
        <w:t xml:space="preserve"> </w:t>
      </w:r>
      <w:r>
        <w:t xml:space="preserve">(</w:t>
      </w:r>
      <w:hyperlink w:anchor="ref-nashid2023a">
        <w:r>
          <w:rPr>
            <w:rStyle w:val="Hyperlink"/>
          </w:rPr>
          <w:t xml:space="preserve">124</w:t>
        </w:r>
      </w:hyperlink>
      <w:r>
        <w:t xml:space="preserve">,</w:t>
      </w:r>
      <w:hyperlink w:anchor="ref-forrester2024a">
        <w:r>
          <w:rPr>
            <w:rStyle w:val="Hyperlink"/>
          </w:rPr>
          <w:t xml:space="preserve">125</w:t>
        </w:r>
      </w:hyperlink>
      <w:r>
        <w:t xml:space="preserve">)</w:t>
      </w:r>
      <w:r>
        <w:t xml:space="preserve">.</w:t>
      </w:r>
    </w:p>
    <w:p>
      <w:pPr>
        <w:pStyle w:val="Compact"/>
        <w:numPr>
          <w:ilvl w:val="0"/>
          <w:numId w:val="1026"/>
        </w:numPr>
      </w:pPr>
      <w:r>
        <w:rPr>
          <w:i/>
          <w:iCs/>
        </w:rPr>
        <w:t xml:space="preserve">Governance Necessity</w:t>
      </w:r>
      <w:r>
        <w:t xml:space="preserve">: Democratization requires stricter governance. Successful implementations demonstrate that establishing</w:t>
      </w:r>
      <w:r>
        <w:t xml:space="preserve"> </w:t>
      </w:r>
      <w:r>
        <w:t xml:space="preserve">“Golden Queries”</w:t>
      </w:r>
      <w:r>
        <w:t xml:space="preserve"> </w:t>
      </w:r>
      <w:r>
        <w:t xml:space="preserve">and standardized definitions is a prerequisite for advanced maturity, enabling organizations to move from ad-hoc reporting to trusted AI deployment</w:t>
      </w:r>
      <w:r>
        <w:t xml:space="preserve"> </w:t>
      </w:r>
      <w:r>
        <w:t xml:space="preserve">(</w:t>
      </w:r>
      <w:hyperlink w:anchor="ref-himss2025ucdavis">
        <w:r>
          <w:rPr>
            <w:rStyle w:val="Hyperlink"/>
          </w:rPr>
          <w:t xml:space="preserve">127</w:t>
        </w:r>
      </w:hyperlink>
      <w:r>
        <w:t xml:space="preserve">)</w:t>
      </w:r>
      <w:r>
        <w:t xml:space="preserve">.</w:t>
      </w:r>
    </w:p>
    <w:bookmarkEnd w:id="99"/>
    <w:bookmarkStart w:id="100" w:name="strategic-implications"/>
    <w:p>
      <w:pPr>
        <w:pStyle w:val="Heading2"/>
      </w:pPr>
      <w:r>
        <w:rPr>
          <w:rStyle w:val="SectionNumber"/>
        </w:rPr>
        <w:t xml:space="preserve">6.3</w:t>
      </w:r>
      <w:r>
        <w:tab/>
      </w:r>
      <w:r>
        <w:t xml:space="preserve">Strategic Implications</w:t>
      </w:r>
    </w:p>
    <w:p>
      <w:pPr>
        <w:pStyle w:val="FirstParagraph"/>
      </w:pPr>
      <w:r>
        <w:t xml:space="preserve">Applying the principle of</w:t>
      </w:r>
      <w:r>
        <w:t xml:space="preserve"> </w:t>
      </w:r>
      <w:r>
        <w:rPr>
          <w:i/>
          <w:iCs/>
        </w:rPr>
        <w:t xml:space="preserve">primum non nocere</w:t>
      </w:r>
      <w:r>
        <w:t xml:space="preserve"> </w:t>
      </w:r>
      <w:r>
        <w:t xml:space="preserve">requires healthcare leaders to weigh the known harms of the status quo—institutional memory loss, analyst burnout, and uninformed clinical decisions—against the risks of new technology. The evidence suggests that</w:t>
      </w:r>
      <w:r>
        <w:t xml:space="preserve"> </w:t>
      </w:r>
      <w:r>
        <w:t xml:space="preserve">“doing nothing”</w:t>
      </w:r>
      <w:r>
        <w:t xml:space="preserve"> </w:t>
      </w:r>
      <w:r>
        <w:t xml:space="preserve">is not a neutral stance but an active acceptance of degradation. Organizations should use the three-pillar framework to assess their exposure to these compounding risks, prioritizing interventions that not only improve technical access but also capture and preserve the institutional knowledge that defines their unique clinical environment.</w:t>
      </w:r>
    </w:p>
    <w:bookmarkEnd w:id="100"/>
    <w:bookmarkEnd w:id="101"/>
    <w:bookmarkStart w:id="102"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2"/>
    <w:bookmarkStart w:id="103"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3"/>
    <w:bookmarkStart w:id="104"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4"/>
    <w:bookmarkStart w:id="105"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5"/>
    <w:bookmarkStart w:id="106" w:name="code-availability"/>
    <w:p>
      <w:pPr>
        <w:pStyle w:val="Heading1"/>
      </w:pPr>
      <w:r>
        <w:rPr>
          <w:rStyle w:val="SectionNumber"/>
        </w:rPr>
        <w:t xml:space="preserve">11</w:t>
      </w:r>
      <w:r>
        <w:tab/>
      </w:r>
      <w:r>
        <w:t xml:space="preserve">Code Availability</w:t>
      </w:r>
    </w:p>
    <w:p>
      <w:pPr>
        <w:pStyle w:val="FirstParagraph"/>
      </w:pPr>
      <w:r>
        <w:t xml:space="preserve">The custom software used for literature search, thematic analysis, and citation validation is available in the project repository at https://github.com/stharrold/yuimedi-paper-20250901. This includes the</w:t>
      </w:r>
      <w:r>
        <w:t xml:space="preserve"> </w:t>
      </w:r>
      <w:r>
        <w:rPr>
          <w:rStyle w:val="VerbatimChar"/>
        </w:rPr>
        <w:t xml:space="preserve">lit_review</w:t>
      </w:r>
      <w:r>
        <w:t xml:space="preserve"> </w:t>
      </w:r>
      <w:r>
        <w:t xml:space="preserve">Python package for narrative review synthesis and the</w:t>
      </w:r>
      <w:r>
        <w:t xml:space="preserve"> </w:t>
      </w:r>
      <w:r>
        <w:rPr>
          <w:rStyle w:val="VerbatimChar"/>
        </w:rPr>
        <w:t xml:space="preserve">scripts</w:t>
      </w:r>
      <w:r>
        <w:t xml:space="preserve"> </w:t>
      </w:r>
      <w:r>
        <w:t xml:space="preserve">library for reference validation.</w:t>
      </w:r>
    </w:p>
    <w:bookmarkEnd w:id="106"/>
    <w:bookmarkStart w:id="107"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7"/>
    <w:bookmarkStart w:id="108"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Clinical Terminology: Standardized vocabularies including ICD-10, CPT, SNOMED, and RxNorm used in healthcare data</w:t>
      </w:r>
      <w:r>
        <w:t xml:space="preserve"> </w:t>
      </w:r>
      <w:r>
        <w:t xml:space="preserve">Conversational AI: Artificial intelligence systems that enable natural language interaction for complex tasks</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Institutional Memory: Collective organizational knowledge, expertise, and practices that enable effectiveness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Population Health: Analytics focused on health outcomes of groups of individuals rather than individual patients</w:t>
      </w:r>
      <w:r>
        <w:t xml:space="preserve"> </w:t>
      </w:r>
      <w:r>
        <w:t xml:space="preserve">RAG: Retrieval-Augmented Generation</w:t>
      </w:r>
      <w:r>
        <w:t xml:space="preserve"> </w:t>
      </w:r>
      <w:r>
        <w:t xml:space="preserve">SQL: Structured Query Language</w:t>
      </w:r>
    </w:p>
    <w:bookmarkEnd w:id="108"/>
    <w:bookmarkStart w:id="109" w:name="multimedia-appendix"/>
    <w:p>
      <w:pPr>
        <w:pStyle w:val="Heading1"/>
      </w:pPr>
      <w:r>
        <w:rPr>
          <w:rStyle w:val="SectionNumber"/>
        </w:rPr>
        <w:t xml:space="preserve">14</w:t>
      </w:r>
      <w:r>
        <w:tab/>
      </w:r>
      <w:r>
        <w:t xml:space="preserve">Multimedia Appendix</w:t>
      </w:r>
    </w:p>
    <w:p>
      <w:pPr>
        <w:pStyle w:val="FirstParagraph"/>
      </w:pPr>
      <w:r>
        <w:t xml:space="preserve">Multimedia Appendix 1: HIMSS Analytics Maturity Assessment Model (AMAM) Stages (see</w:t>
      </w:r>
      <w:r>
        <w:t xml:space="preserve"> </w:t>
      </w:r>
      <w:r>
        <w:rPr>
          <w:rStyle w:val="VerbatimChar"/>
        </w:rPr>
        <w:t xml:space="preserve">multimedia_appendix_1.pdf</w:t>
      </w:r>
      <w:r>
        <w:t xml:space="preserve">).</w:t>
      </w:r>
    </w:p>
    <w:p>
      <w:pPr>
        <w:pStyle w:val="BodyText"/>
      </w:pPr>
      <w:r>
        <w:t xml:space="preserve">Multimedia Appendix 2: Healthcare NL2SQL Query Examples (see</w:t>
      </w:r>
      <w:r>
        <w:t xml:space="preserve"> </w:t>
      </w:r>
      <w:r>
        <w:rPr>
          <w:rStyle w:val="VerbatimChar"/>
        </w:rPr>
        <w:t xml:space="preserve">multimedia_appendix_2.pdf</w:t>
      </w:r>
      <w:r>
        <w:t xml:space="preserve">).</w:t>
      </w:r>
    </w:p>
    <w:bookmarkEnd w:id="109"/>
    <w:bookmarkStart w:id="382" w:name="references"/>
    <w:p>
      <w:pPr>
        <w:pStyle w:val="Heading1"/>
      </w:pPr>
      <w:r>
        <w:rPr>
          <w:rStyle w:val="SectionNumber"/>
        </w:rPr>
        <w:t xml:space="preserve">15</w:t>
      </w:r>
      <w:r>
        <w:tab/>
      </w:r>
      <w:r>
        <w:t xml:space="preserve">References</w:t>
      </w:r>
    </w:p>
    <w:bookmarkStart w:id="381" w:name="refs"/>
    <w:bookmarkStart w:id="111"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0">
        <w:r>
          <w:rPr>
            <w:rStyle w:val="Hyperlink"/>
          </w:rPr>
          <w:t xml:space="preserve">https://www.ahima.org/news-publications/press-room-press-releases/2023-press-releases/health-information-workforce-shortages-persist-as-ai-shows-promise-ahima-survey-reveals/</w:t>
        </w:r>
      </w:hyperlink>
    </w:p>
    <w:bookmarkEnd w:id="111"/>
    <w:bookmarkStart w:id="113"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2">
        <w:r>
          <w:rPr>
            <w:rStyle w:val="Hyperlink"/>
          </w:rPr>
          <w:t xml:space="preserve">https://www.himss.org/maturity-models/amam/</w:t>
        </w:r>
      </w:hyperlink>
    </w:p>
    <w:bookmarkEnd w:id="113"/>
    <w:bookmarkStart w:id="115"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4">
        <w:r>
          <w:rPr>
            <w:rStyle w:val="Hyperlink"/>
          </w:rPr>
          <w:t xml:space="preserve">https://www.healthcareitnews.com/news/asia/himss24-apac-adoption-model-analytics-maturity-gets-facelift</w:t>
        </w:r>
      </w:hyperlink>
    </w:p>
    <w:bookmarkEnd w:id="115"/>
    <w:bookmarkStart w:id="117"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6">
        <w:r>
          <w:rPr>
            <w:rStyle w:val="Hyperlink"/>
          </w:rPr>
          <w:t xml:space="preserve">https://api.wittkieffer.com/wp-content/uploads/2012/10/cio-insights-the-state-of-healthcare-it-leadership-wittkieffer-october-2024.pdf</w:t>
        </w:r>
      </w:hyperlink>
    </w:p>
    <w:bookmarkEnd w:id="117"/>
    <w:bookmarkStart w:id="119"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18">
        <w:r>
          <w:rPr>
            <w:rStyle w:val="Hyperlink"/>
          </w:rPr>
          <w:t xml:space="preserve">https://www.himss.org/resources/the-future-of-workforce/</w:t>
        </w:r>
      </w:hyperlink>
    </w:p>
    <w:bookmarkEnd w:id="119"/>
    <w:bookmarkStart w:id="121"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0">
        <w:r>
          <w:rPr>
            <w:rStyle w:val="Hyperlink"/>
          </w:rPr>
          <w:t xml:space="preserve">https://academic.oup.com/jpubhealth</w:t>
        </w:r>
      </w:hyperlink>
    </w:p>
    <w:bookmarkEnd w:id="121"/>
    <w:bookmarkStart w:id="123"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2">
        <w:r>
          <w:rPr>
            <w:rStyle w:val="Hyperlink"/>
          </w:rPr>
          <w:t xml:space="preserve">https://dl.acm.org/doi/10.1145/1017114.1017118</w:t>
        </w:r>
      </w:hyperlink>
    </w:p>
    <w:bookmarkEnd w:id="123"/>
    <w:bookmarkStart w:id="125"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4">
        <w:r>
          <w:rPr>
            <w:rStyle w:val="Hyperlink"/>
          </w:rPr>
          <w:t xml:space="preserve">https://www.nyulawreview.org/issues/volume-94-number-4/data-standardization/</w:t>
        </w:r>
      </w:hyperlink>
    </w:p>
    <w:bookmarkEnd w:id="125"/>
    <w:bookmarkStart w:id="126"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6"/>
    <w:bookmarkStart w:id="128"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27">
        <w:r>
          <w:rPr>
            <w:rStyle w:val="Hyperlink"/>
          </w:rPr>
          <w:t xml:space="preserve">https://resources.anthropic.com/code-modernization-playbook</w:t>
        </w:r>
      </w:hyperlink>
    </w:p>
    <w:bookmarkEnd w:id="128"/>
    <w:bookmarkStart w:id="130"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29">
        <w:r>
          <w:rPr>
            <w:rStyle w:val="Hyperlink"/>
          </w:rPr>
          <w:t xml:space="preserve">https://dl.acm.org/doi/abs/10.1145/320251.320253</w:t>
        </w:r>
      </w:hyperlink>
    </w:p>
    <w:bookmarkEnd w:id="130"/>
    <w:bookmarkStart w:id="132"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1">
        <w:r>
          <w:rPr>
            <w:rStyle w:val="Hyperlink"/>
          </w:rPr>
          <w:t xml:space="preserve">https://www.allmultidisciplinaryjournal.com/uploads/archives/20250306182550_MGE-2025-2-018.1.pdf</w:t>
        </w:r>
      </w:hyperlink>
    </w:p>
    <w:bookmarkEnd w:id="132"/>
    <w:bookmarkStart w:id="134"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3">
        <w:r>
          <w:rPr>
            <w:rStyle w:val="Hyperlink"/>
          </w:rPr>
          <w:t xml:space="preserve">https://papers.ssrn.com/sol3/papers.cfm?abstract_id=5268176</w:t>
        </w:r>
      </w:hyperlink>
    </w:p>
    <w:bookmarkEnd w:id="134"/>
    <w:bookmarkStart w:id="136"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5">
        <w:r>
          <w:rPr>
            <w:rStyle w:val="Hyperlink"/>
          </w:rPr>
          <w:t xml:space="preserve">https://www.ingentaconnect.com/content/hsp/mih/2024/00000008/00000004/art00006</w:t>
        </w:r>
      </w:hyperlink>
    </w:p>
    <w:bookmarkEnd w:id="136"/>
    <w:bookmarkStart w:id="138"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37">
        <w:r>
          <w:rPr>
            <w:rStyle w:val="Hyperlink"/>
          </w:rPr>
          <w:t xml:space="preserve">https://doi.org/10.25163/business.1110345</w:t>
        </w:r>
      </w:hyperlink>
    </w:p>
    <w:bookmarkEnd w:id="138"/>
    <w:bookmarkStart w:id="140"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39">
        <w:r>
          <w:rPr>
            <w:rStyle w:val="Hyperlink"/>
          </w:rPr>
          <w:t xml:space="preserve">https://journalofbigdata.springeropen.com/articles/10.1186/s40537-019-0170-y</w:t>
        </w:r>
      </w:hyperlink>
    </w:p>
    <w:bookmarkEnd w:id="140"/>
    <w:bookmarkStart w:id="142"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1">
        <w:r>
          <w:rPr>
            <w:rStyle w:val="Hyperlink"/>
          </w:rPr>
          <w:t xml:space="preserve">https://www.tandfonline.com/doi/full/10.1080/20479700.2018.1531606</w:t>
        </w:r>
      </w:hyperlink>
    </w:p>
    <w:bookmarkEnd w:id="142"/>
    <w:bookmarkStart w:id="144" w:name="ref-bravorocca2023"/>
    <w:p>
      <w:pPr>
        <w:pStyle w:val="Bibliography"/>
      </w:pPr>
      <w:r>
        <w:t xml:space="preserve">18.</w:t>
      </w:r>
      <w:r>
        <w:t xml:space="preserve"> </w:t>
      </w:r>
      <w:r>
        <w:t xml:space="preserve">	</w:t>
      </w:r>
      <w:r>
        <w:t xml:space="preserve">Bravo Rocca GJ. Human-on-the-loop continual learning [Internet] [PhD thesis]. Universitat Polit</w:t>
      </w:r>
      <w:r>
        <w:t xml:space="preserve">è</w:t>
      </w:r>
      <w:r>
        <w:t xml:space="preserve">cnica de Catalunya; 2023. Available from:</w:t>
      </w:r>
      <w:r>
        <w:t xml:space="preserve"> </w:t>
      </w:r>
      <w:hyperlink r:id="rId143">
        <w:r>
          <w:rPr>
            <w:rStyle w:val="Hyperlink"/>
          </w:rPr>
          <w:t xml:space="preserve">https://www.tdx.cat/bitstream/handle/10803/695722/TGJBR1de1.pdf?sequence=1</w:t>
        </w:r>
      </w:hyperlink>
    </w:p>
    <w:bookmarkEnd w:id="144"/>
    <w:bookmarkStart w:id="146" w:name="ref-mosqueirarey2023"/>
    <w:p>
      <w:pPr>
        <w:pStyle w:val="Bibliography"/>
      </w:pPr>
      <w:r>
        <w:t xml:space="preserve">19.</w:t>
      </w:r>
      <w:r>
        <w:t xml:space="preserve"> </w:t>
      </w:r>
      <w:r>
        <w:t xml:space="preserve">	</w:t>
      </w:r>
      <w:r>
        <w:t xml:space="preserve">Mosqueira-Rey E et al.</w:t>
      </w:r>
      <w:r>
        <w:t xml:space="preserve"> Human-in-the-loop machine learning: A state of the art. Artificial Intelligence Review [Internet]. 2023;56:3005–54. Available from:</w:t>
      </w:r>
      <w:r>
        <w:t xml:space="preserve"> </w:t>
      </w:r>
      <w:hyperlink r:id="rId145">
        <w:r>
          <w:rPr>
            <w:rStyle w:val="Hyperlink"/>
          </w:rPr>
          <w:t xml:space="preserve">https://link.springer.com/content/pdf/10.1007/s10462-022-10246-w.pdf</w:t>
        </w:r>
      </w:hyperlink>
    </w:p>
    <w:bookmarkEnd w:id="146"/>
    <w:bookmarkStart w:id="148"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47">
        <w:r>
          <w:rPr>
            <w:rStyle w:val="Hyperlink"/>
          </w:rPr>
          <w:t xml:space="preserve">https://arxiv.org/abs/2403.09226</w:t>
        </w:r>
      </w:hyperlink>
    </w:p>
    <w:bookmarkEnd w:id="148"/>
    <w:bookmarkStart w:id="150"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49">
        <w:r>
          <w:rPr>
            <w:rStyle w:val="Hyperlink"/>
          </w:rPr>
          <w:t xml:space="preserve">https://dspace.flinders.edu.au/jspui/bitstream/2328/3326/4/AACODS_Checklist.pdf</w:t>
        </w:r>
      </w:hyperlink>
    </w:p>
    <w:bookmarkEnd w:id="150"/>
    <w:bookmarkStart w:id="152"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1">
        <w:r>
          <w:rPr>
            <w:rStyle w:val="Hyperlink"/>
          </w:rPr>
          <w:t xml:space="preserve">https://legacy.himss.org/news/new-analytics-maturity-adoption-model-pushes-digital-transformation-and-data-driven-decisions</w:t>
        </w:r>
      </w:hyperlink>
    </w:p>
    <w:bookmarkEnd w:id="152"/>
    <w:bookmarkStart w:id="154"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3">
        <w:r>
          <w:rPr>
            <w:rStyle w:val="Hyperlink"/>
          </w:rPr>
          <w:t xml:space="preserve">https://www.healthcatalyst.com/learn/insights/healthcare-analytics-adoption-model-roadmap-analytic-maturity</w:t>
        </w:r>
      </w:hyperlink>
    </w:p>
    <w:bookmarkEnd w:id="154"/>
    <w:bookmarkStart w:id="156"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5">
        <w:r>
          <w:rPr>
            <w:rStyle w:val="Hyperlink"/>
          </w:rPr>
          <w:t xml:space="preserve">https://ia.berkshirehealthcare.nhs.uk/citizen-developer-programme</w:t>
        </w:r>
      </w:hyperlink>
    </w:p>
    <w:bookmarkEnd w:id="156"/>
    <w:bookmarkStart w:id="158"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57">
        <w:r>
          <w:rPr>
            <w:rStyle w:val="Hyperlink"/>
          </w:rPr>
          <w:t xml:space="preserve">https://tei.forrester.com/go/microsoft/powerappstei/?lang=en-us</w:t>
        </w:r>
      </w:hyperlink>
    </w:p>
    <w:bookmarkEnd w:id="158"/>
    <w:bookmarkStart w:id="160"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59">
        <w:r>
          <w:rPr>
            <w:rStyle w:val="Hyperlink"/>
          </w:rPr>
          <w:t xml:space="preserve">https://www.oracle.com/human-capital-management/cost-employee-turnover-healthcare/</w:t>
        </w:r>
      </w:hyperlink>
    </w:p>
    <w:bookmarkEnd w:id="160"/>
    <w:bookmarkStart w:id="162"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1">
        <w:r>
          <w:rPr>
            <w:rStyle w:val="Hyperlink"/>
          </w:rPr>
          <w:t xml:space="preserve">https://www.precedenceresearch.com/healthcare-analytics-market</w:t>
        </w:r>
      </w:hyperlink>
    </w:p>
    <w:bookmarkEnd w:id="162"/>
    <w:bookmarkStart w:id="164"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3">
        <w:r>
          <w:rPr>
            <w:rStyle w:val="Hyperlink"/>
          </w:rPr>
          <w:t xml:space="preserve">https://newsroom.ibm.com/2022-01-21-Francisco-Partners-to-Acquire-IBMs-Healthcare-Data-and-Analytics-Assets</w:t>
        </w:r>
      </w:hyperlink>
    </w:p>
    <w:bookmarkEnd w:id="164"/>
    <w:bookmarkStart w:id="166"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5">
        <w:r>
          <w:rPr>
            <w:rStyle w:val="Hyperlink"/>
          </w:rPr>
          <w:t xml:space="preserve">https://www.cnbc.com/2021/01/04/haven-the-amazon-berkshire-jpmorgan-venture-to-disrupt-healthcare-is-disbanding-after-3-years.html</w:t>
        </w:r>
      </w:hyperlink>
    </w:p>
    <w:bookmarkEnd w:id="166"/>
    <w:bookmarkStart w:id="168"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w:t>
      </w:r>
      <w:r>
        <w:t xml:space="preserve">[Internet]. CRC Press; 2021. Available from:</w:t>
      </w:r>
      <w:r>
        <w:t xml:space="preserve"> </w:t>
      </w:r>
      <w:hyperlink r:id="rId167">
        <w:r>
          <w:rPr>
            <w:rStyle w:val="Hyperlink"/>
          </w:rPr>
          <w:t xml:space="preserve">https://doi.org/10.1201/9781003188162</w:t>
        </w:r>
      </w:hyperlink>
    </w:p>
    <w:bookmarkEnd w:id="168"/>
    <w:bookmarkStart w:id="170"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[Internet]. 2017;19:28–42. Available from:</w:t>
      </w:r>
      <w:r>
        <w:t xml:space="preserve"> </w:t>
      </w:r>
      <w:hyperlink r:id="rId169">
        <w:r>
          <w:rPr>
            <w:rStyle w:val="Hyperlink"/>
          </w:rPr>
          <w:t xml:space="preserve">https://openurl.ebsco.com/EPDB%3Agcd%3A3%3A34056963/detailv2?sid=ebsco%3Aplink%3Ascholar&amp;id=ebsco%3Agcd%3A121526814</w:t>
        </w:r>
      </w:hyperlink>
    </w:p>
    <w:bookmarkEnd w:id="170"/>
    <w:bookmarkStart w:id="172" w:name="ref-rowley2007"/>
    <w:p>
      <w:pPr>
        <w:pStyle w:val="Bibliography"/>
      </w:pPr>
      <w:r>
        <w:t xml:space="preserve">32.</w:t>
      </w:r>
      <w:r>
        <w:t xml:space="preserve"> </w:t>
      </w:r>
      <w:r>
        <w:t xml:space="preserve">	</w:t>
      </w:r>
      <w:r>
        <w:t xml:space="preserve">Rowley J.</w:t>
      </w:r>
      <w:r>
        <w:t xml:space="preserve"> </w:t>
      </w:r>
      <w:hyperlink r:id="rId171">
        <w:r>
          <w:rPr>
            <w:rStyle w:val="Hyperlink"/>
          </w:rPr>
          <w:t xml:space="preserve">The wisdom hierarchy: representations of the DIKW hierarchy</w:t>
        </w:r>
      </w:hyperlink>
      <w:r>
        <w:t xml:space="preserve">. Journal of Information Science. 2007;33(2):163–80.</w:t>
      </w:r>
      <w:r>
        <w:t xml:space="preserve"> </w:t>
      </w:r>
    </w:p>
    <w:bookmarkEnd w:id="172"/>
    <w:bookmarkStart w:id="174"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3">
        <w:r>
          <w:rPr>
            <w:rStyle w:val="Hyperlink"/>
          </w:rPr>
          <w:t xml:space="preserve">https://onlinelibrary.wiley.com/doi/abs/10.1057/palgrave.emr.1500057</w:t>
        </w:r>
      </w:hyperlink>
    </w:p>
    <w:bookmarkEnd w:id="174"/>
    <w:bookmarkStart w:id="176"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5">
        <w:r>
          <w:rPr>
            <w:rStyle w:val="Hyperlink"/>
          </w:rPr>
          <w:t xml:space="preserve">https://doi.org/10.1108/JKM-08-2016-0338</w:t>
        </w:r>
      </w:hyperlink>
    </w:p>
    <w:bookmarkEnd w:id="176"/>
    <w:bookmarkStart w:id="178"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7">
        <w:r>
          <w:rPr>
            <w:rStyle w:val="Hyperlink"/>
          </w:rPr>
          <w:t xml:space="preserve">https://www.frontiersin.org/articles/10.3389/fpsyg.2019.02730</w:t>
        </w:r>
      </w:hyperlink>
    </w:p>
    <w:bookmarkEnd w:id="178"/>
    <w:bookmarkStart w:id="180"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79">
        <w:r>
          <w:rPr>
            <w:rStyle w:val="Hyperlink"/>
          </w:rPr>
          <w:t xml:space="preserve">https://www.emerald.com/insight/content/doi/10.1108/13673270610650067/full/html</w:t>
        </w:r>
      </w:hyperlink>
    </w:p>
    <w:bookmarkEnd w:id="180"/>
    <w:bookmarkStart w:id="182"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1">
        <w:r>
          <w:rPr>
            <w:rStyle w:val="Hyperlink"/>
          </w:rPr>
          <w:t xml:space="preserve">https://doi.org/10.1016/j.ijinfomgt.2003.12.012</w:t>
        </w:r>
      </w:hyperlink>
    </w:p>
    <w:bookmarkEnd w:id="182"/>
    <w:bookmarkStart w:id="184"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3">
        <w:r>
          <w:rPr>
            <w:rStyle w:val="Hyperlink"/>
          </w:rPr>
          <w:t xml:space="preserve">https://www.emerald.com/insight/content/doi/10.1108/JKM-03-2024-0262/full/html</w:t>
        </w:r>
      </w:hyperlink>
    </w:p>
    <w:bookmarkEnd w:id="184"/>
    <w:bookmarkStart w:id="186"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5">
        <w:r>
          <w:rPr>
            <w:rStyle w:val="Hyperlink"/>
          </w:rPr>
          <w:t xml:space="preserve">https://www.sciencedirect.com/science/article/abs/pii/S0040162516000500</w:t>
        </w:r>
      </w:hyperlink>
    </w:p>
    <w:bookmarkEnd w:id="186"/>
    <w:bookmarkStart w:id="188"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7">
        <w:r>
          <w:rPr>
            <w:rStyle w:val="Hyperlink"/>
          </w:rPr>
          <w:t xml:space="preserve">https://www.sciencedirect.com/science/article/abs/pii/S0148296316304891</w:t>
        </w:r>
      </w:hyperlink>
    </w:p>
    <w:bookmarkEnd w:id="188"/>
    <w:bookmarkStart w:id="189"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4">
        <w:r>
          <w:rPr>
            <w:rStyle w:val="Hyperlink"/>
          </w:rPr>
          <w:t xml:space="preserve">https://www.healthcareitnews.com/news/asia/himss24-apac-adoption-model-analytics-maturity-gets-facelift</w:t>
        </w:r>
      </w:hyperlink>
    </w:p>
    <w:bookmarkEnd w:id="189"/>
    <w:bookmarkStart w:id="191"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0">
        <w:r>
          <w:rPr>
            <w:rStyle w:val="Hyperlink"/>
          </w:rPr>
          <w:t xml:space="preserve">https://www.tgh.org/news/tgh-press-releases/2025/june/tampa-general-hospital-awarded-highest-designation-analytics-himss</w:t>
        </w:r>
      </w:hyperlink>
    </w:p>
    <w:bookmarkEnd w:id="191"/>
    <w:bookmarkStart w:id="193"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2">
        <w:r>
          <w:rPr>
            <w:rStyle w:val="Hyperlink"/>
          </w:rPr>
          <w:t xml:space="preserve">https://www.prnewswire.com/news-releases/taiwans-first-hospital-to-achieve-amam-stage-7-certification-302390824.html</w:t>
        </w:r>
      </w:hyperlink>
    </w:p>
    <w:bookmarkEnd w:id="193"/>
    <w:bookmarkStart w:id="195"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4">
        <w:r>
          <w:rPr>
            <w:rStyle w:val="Hyperlink"/>
          </w:rPr>
          <w:t xml:space="preserve">https://medicalbuyer.co.in/2-medical-groups-in-saudi-arabia-achieve-stage-7-digital-maturity/</w:t>
        </w:r>
      </w:hyperlink>
    </w:p>
    <w:bookmarkEnd w:id="195"/>
    <w:bookmarkStart w:id="197"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6">
        <w:r>
          <w:rPr>
            <w:rStyle w:val="Hyperlink"/>
          </w:rPr>
          <w:t xml:space="preserve">https://www.jmir.org/2024/1/e56316</w:t>
        </w:r>
      </w:hyperlink>
    </w:p>
    <w:bookmarkEnd w:id="197"/>
    <w:bookmarkStart w:id="199" w:name="ref-wang2019"/>
    <w:p>
      <w:pPr>
        <w:pStyle w:val="Bibliography"/>
      </w:pPr>
      <w:r>
        <w:t xml:space="preserve">46.</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198">
        <w:r>
          <w:rPr>
            <w:rStyle w:val="Hyperlink"/>
          </w:rPr>
          <w:t xml:space="preserve">https://onlinelibrary.wiley.com/doi/abs/10.1111/1467-8551.12332</w:t>
        </w:r>
      </w:hyperlink>
    </w:p>
    <w:bookmarkEnd w:id="199"/>
    <w:bookmarkStart w:id="201" w:name="ref-gomes2025"/>
    <w:p>
      <w:pPr>
        <w:pStyle w:val="Bibliography"/>
      </w:pPr>
      <w:r>
        <w:t xml:space="preserve">47.</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0">
        <w:r>
          <w:rPr>
            <w:rStyle w:val="Hyperlink"/>
          </w:rPr>
          <w:t xml:space="preserve">https://www.mdpi.com/2227-9032/13/1/1</w:t>
        </w:r>
      </w:hyperlink>
    </w:p>
    <w:bookmarkEnd w:id="201"/>
    <w:bookmarkStart w:id="203" w:name="ref-woods2024"/>
    <w:p>
      <w:pPr>
        <w:pStyle w:val="Bibliography"/>
      </w:pPr>
      <w:r>
        <w:t xml:space="preserve">48.</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2">
        <w:r>
          <w:rPr>
            <w:rStyle w:val="Hyperlink"/>
          </w:rPr>
          <w:t xml:space="preserve">https://www.sciencedirect.com/science/article/pii/S1386505624001916</w:t>
        </w:r>
      </w:hyperlink>
    </w:p>
    <w:bookmarkEnd w:id="203"/>
    <w:bookmarkStart w:id="205" w:name="ref-saintulysse2021"/>
    <w:p>
      <w:pPr>
        <w:pStyle w:val="Bibliography"/>
      </w:pPr>
      <w:r>
        <w:t xml:space="preserve">49.</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4">
        <w:r>
          <w:rPr>
            <w:rStyle w:val="Hyperlink"/>
          </w:rPr>
          <w:t xml:space="preserve">https://scholarworks.waldenu.edu/cgi/viewcontent.cgi?article=12395&amp;context=dissertations</w:t>
        </w:r>
      </w:hyperlink>
    </w:p>
    <w:bookmarkEnd w:id="205"/>
    <w:bookmarkStart w:id="207" w:name="ref-martin2019"/>
    <w:p>
      <w:pPr>
        <w:pStyle w:val="Bibliography"/>
      </w:pPr>
      <w:r>
        <w:t xml:space="preserve">50.</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6">
        <w:r>
          <w:rPr>
            <w:rStyle w:val="Hyperlink"/>
          </w:rPr>
          <w:t xml:space="preserve">https://www.nature.com/articles/s41746-019-0118-9</w:t>
        </w:r>
      </w:hyperlink>
    </w:p>
    <w:bookmarkEnd w:id="207"/>
    <w:bookmarkStart w:id="209" w:name="ref-navarro2023"/>
    <w:p>
      <w:pPr>
        <w:pStyle w:val="Bibliography"/>
      </w:pPr>
      <w:r>
        <w:t xml:space="preserve">51.</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08">
        <w:r>
          <w:rPr>
            <w:rStyle w:val="Hyperlink"/>
          </w:rPr>
          <w:t xml:space="preserve">https://www.sciencedirect.com/science/article/pii/S1386505623001405</w:t>
        </w:r>
      </w:hyperlink>
    </w:p>
    <w:bookmarkEnd w:id="209"/>
    <w:bookmarkStart w:id="211" w:name="ref-bardsley2016"/>
    <w:p>
      <w:pPr>
        <w:pStyle w:val="Bibliography"/>
      </w:pPr>
      <w:r>
        <w:t xml:space="preserve">52.</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0">
        <w:r>
          <w:rPr>
            <w:rStyle w:val="Hyperlink"/>
          </w:rPr>
          <w:t xml:space="preserve">https://www.health.org.uk/publications/understanding-analytical-capability-in-health-care</w:t>
        </w:r>
      </w:hyperlink>
    </w:p>
    <w:bookmarkEnd w:id="211"/>
    <w:bookmarkStart w:id="213" w:name="ref-pesqueira2020"/>
    <w:p>
      <w:pPr>
        <w:pStyle w:val="Bibliography"/>
      </w:pPr>
      <w:r>
        <w:t xml:space="preserve">53.</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2">
        <w:r>
          <w:rPr>
            <w:rStyle w:val="Hyperlink"/>
          </w:rPr>
          <w:t xml:space="preserve">https://link.springer.com/article/10.1007/s10916-020-01665-9</w:t>
        </w:r>
      </w:hyperlink>
    </w:p>
    <w:bookmarkEnd w:id="213"/>
    <w:bookmarkStart w:id="215" w:name="ref-carvalho2019"/>
    <w:p>
      <w:pPr>
        <w:pStyle w:val="Bibliography"/>
      </w:pPr>
      <w:r>
        <w:t xml:space="preserve">54.</w:t>
      </w:r>
      <w:r>
        <w:t xml:space="preserve"> </w:t>
      </w:r>
      <w:r>
        <w:t xml:space="preserve">	</w:t>
      </w:r>
      <w:r>
        <w:t xml:space="preserve">Carvalho JV, Rocha Á, Vasconcelos J.</w:t>
      </w:r>
      <w:r>
        <w:t xml:space="preserve"> </w:t>
      </w:r>
      <w:hyperlink r:id="rId214">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5"/>
    <w:bookmarkStart w:id="217" w:name="ref-pintovalverde2013"/>
    <w:p>
      <w:pPr>
        <w:pStyle w:val="Bibliography"/>
      </w:pPr>
      <w:r>
        <w:t xml:space="preserve">55.</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[Internet]. 2013. Available from:</w:t>
      </w:r>
      <w:r>
        <w:t xml:space="preserve"> </w:t>
      </w:r>
      <w:hyperlink r:id="rId216">
        <w:r>
          <w:rPr>
            <w:rStyle w:val="Hyperlink"/>
          </w:rPr>
          <w:t xml:space="preserve">https://scholarworks.wmich.edu/ichita_transactions/37/</w:t>
        </w:r>
      </w:hyperlink>
    </w:p>
    <w:bookmarkEnd w:id="217"/>
    <w:bookmarkStart w:id="219" w:name="ref-gokalp2023"/>
    <w:p>
      <w:pPr>
        <w:pStyle w:val="Bibliography"/>
      </w:pPr>
      <w:r>
        <w:t xml:space="preserve">56.</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[Internet]. 2023;35(4):e2448. Available from:</w:t>
      </w:r>
      <w:r>
        <w:t xml:space="preserve"> </w:t>
      </w:r>
      <w:hyperlink r:id="rId218">
        <w:r>
          <w:rPr>
            <w:rStyle w:val="Hyperlink"/>
          </w:rPr>
          <w:t xml:space="preserve">https://onlinelibrary.wiley.com/doi/abs/10.1002/smr.2415</w:t>
        </w:r>
      </w:hyperlink>
    </w:p>
    <w:bookmarkEnd w:id="219"/>
    <w:bookmarkStart w:id="221" w:name="ref-lismont2017"/>
    <w:p>
      <w:pPr>
        <w:pStyle w:val="Bibliography"/>
      </w:pPr>
      <w:r>
        <w:t xml:space="preserve">57.</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[Internet]. 2017;37(3):114–24. Available from:</w:t>
      </w:r>
      <w:r>
        <w:t xml:space="preserve"> </w:t>
      </w:r>
      <w:hyperlink r:id="rId220">
        <w:r>
          <w:rPr>
            <w:rStyle w:val="Hyperlink"/>
          </w:rPr>
          <w:t xml:space="preserve">https://www.sciencedirect.com/science/article/abs/pii/S0268401216305655</w:t>
        </w:r>
      </w:hyperlink>
    </w:p>
    <w:bookmarkEnd w:id="221"/>
    <w:bookmarkStart w:id="223" w:name="ref-yang2021"/>
    <w:p>
      <w:pPr>
        <w:pStyle w:val="Bibliography"/>
      </w:pPr>
      <w:r>
        <w:t xml:space="preserve">58.</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[Internet]. 2021;4(3):e211793. Available from:</w:t>
      </w:r>
      <w:r>
        <w:t xml:space="preserve"> </w:t>
      </w:r>
      <w:hyperlink r:id="rId222">
        <w:r>
          <w:rPr>
            <w:rStyle w:val="Hyperlink"/>
          </w:rPr>
          <w:t xml:space="preserve">https://jamanetwork.com/journals/jamanetworkopen/fullarticle/2777777</w:t>
        </w:r>
      </w:hyperlink>
    </w:p>
    <w:bookmarkEnd w:id="223"/>
    <w:bookmarkStart w:id="225" w:name="ref-arts2002"/>
    <w:p>
      <w:pPr>
        <w:pStyle w:val="Bibliography"/>
      </w:pPr>
      <w:r>
        <w:t xml:space="preserve">59.</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[Internet]. 2002;9(6):600–11. Available from:</w:t>
      </w:r>
      <w:r>
        <w:t xml:space="preserve"> </w:t>
      </w:r>
      <w:hyperlink r:id="rId224">
        <w:r>
          <w:rPr>
            <w:rStyle w:val="Hyperlink"/>
          </w:rPr>
          <w:t xml:space="preserve">https://academic.oup.com/jamia/article-abstract/9/6/600/1036696</w:t>
        </w:r>
      </w:hyperlink>
    </w:p>
    <w:bookmarkEnd w:id="225"/>
    <w:bookmarkStart w:id="227" w:name="ref-mccoy2013"/>
    <w:p>
      <w:pPr>
        <w:pStyle w:val="Bibliography"/>
      </w:pPr>
      <w:r>
        <w:t xml:space="preserve">60.</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[Internet]. 2013;22(3):219–24. Available from:</w:t>
      </w:r>
      <w:r>
        <w:t xml:space="preserve"> </w:t>
      </w:r>
      <w:hyperlink r:id="rId226">
        <w:r>
          <w:rPr>
            <w:rStyle w:val="Hyperlink"/>
          </w:rPr>
          <w:t xml:space="preserve">https://qualitysafety.bmj.com/content/22/3/219.short</w:t>
        </w:r>
      </w:hyperlink>
    </w:p>
    <w:bookmarkEnd w:id="227"/>
    <w:bookmarkStart w:id="229" w:name="ref-rahman2020"/>
    <w:p>
      <w:pPr>
        <w:pStyle w:val="Bibliography"/>
      </w:pPr>
      <w:r>
        <w:t xml:space="preserve">61.</w:t>
      </w:r>
      <w:r>
        <w:t xml:space="preserve"> </w:t>
      </w:r>
      <w:r>
        <w:t xml:space="preserve">	</w:t>
      </w:r>
      <w:r>
        <w:t xml:space="preserve">Rahman P, Nandi A, Hebert C.</w:t>
      </w:r>
      <w:r>
        <w:t xml:space="preserve"> </w:t>
      </w:r>
      <w:r>
        <w:t xml:space="preserve">Amplifying domain expertise in clinical data pipelines</w:t>
      </w:r>
      <w:r>
        <w:t xml:space="preserve">. JMIR Medical Informatics [Internet]. 2020;8(11):e19612. Available from:</w:t>
      </w:r>
      <w:r>
        <w:t xml:space="preserve"> </w:t>
      </w:r>
      <w:hyperlink r:id="rId228">
        <w:r>
          <w:rPr>
            <w:rStyle w:val="Hyperlink"/>
          </w:rPr>
          <w:t xml:space="preserve">https://medinform.jmir.org/2020/11/e19612/</w:t>
        </w:r>
      </w:hyperlink>
    </w:p>
    <w:bookmarkEnd w:id="229"/>
    <w:bookmarkStart w:id="231" w:name="ref-sirgo2018"/>
    <w:p>
      <w:pPr>
        <w:pStyle w:val="Bibliography"/>
      </w:pPr>
      <w:r>
        <w:t xml:space="preserve">62.</w:t>
      </w:r>
      <w:r>
        <w:t xml:space="preserve"> </w:t>
      </w:r>
      <w:r>
        <w:t xml:space="preserve">	</w:t>
      </w:r>
      <w:r>
        <w:t xml:space="preserve">Sirgo G, Esteban G Francisco icon,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[Internet]. 2018;112:166–72. Available from:</w:t>
      </w:r>
      <w:r>
        <w:t xml:space="preserve"> </w:t>
      </w:r>
      <w:hyperlink r:id="rId230">
        <w:r>
          <w:rPr>
            <w:rStyle w:val="Hyperlink"/>
          </w:rPr>
          <w:t xml:space="preserve">https://www.sciencedirect.com/science/article/abs/pii/S1386505618300443</w:t>
        </w:r>
      </w:hyperlink>
    </w:p>
    <w:bookmarkEnd w:id="231"/>
    <w:bookmarkStart w:id="233" w:name="ref-shi2021"/>
    <w:p>
      <w:pPr>
        <w:pStyle w:val="Bibliography"/>
      </w:pPr>
      <w:r>
        <w:t xml:space="preserve">63.</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[Internet]. 2021;21:1–12. Available from:</w:t>
      </w:r>
      <w:r>
        <w:t xml:space="preserve"> </w:t>
      </w:r>
      <w:hyperlink r:id="rId232">
        <w:r>
          <w:rPr>
            <w:rStyle w:val="Hyperlink"/>
          </w:rPr>
          <w:t xml:space="preserve">https://link.springer.com/article/10.1186/s12911-021-01470-5</w:t>
        </w:r>
      </w:hyperlink>
    </w:p>
    <w:bookmarkEnd w:id="233"/>
    <w:bookmarkStart w:id="235" w:name="ref-dugas2016"/>
    <w:p>
      <w:pPr>
        <w:pStyle w:val="Bibliography"/>
      </w:pPr>
      <w:r>
        <w:t xml:space="preserve">64.</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[Internet]. 2016;2016. Available from:</w:t>
      </w:r>
      <w:r>
        <w:t xml:space="preserve"> </w:t>
      </w:r>
      <w:hyperlink r:id="rId234">
        <w:r>
          <w:rPr>
            <w:rStyle w:val="Hyperlink"/>
          </w:rPr>
          <w:t xml:space="preserve">https://academic.oup.com/database/article/doi/10.1093/database/bav121/2630096</w:t>
        </w:r>
      </w:hyperlink>
    </w:p>
    <w:bookmarkEnd w:id="235"/>
    <w:bookmarkStart w:id="237" w:name="ref-bokov2017"/>
    <w:p>
      <w:pPr>
        <w:pStyle w:val="Bibliography"/>
      </w:pPr>
      <w:r>
        <w:t xml:space="preserve">65.</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[Internet]. IEEE; 2017. p. 509–14. Available from:</w:t>
      </w:r>
      <w:r>
        <w:t xml:space="preserve"> </w:t>
      </w:r>
      <w:hyperlink r:id="rId236">
        <w:r>
          <w:rPr>
            <w:rStyle w:val="Hyperlink"/>
          </w:rPr>
          <w:t xml:space="preserve">https://ieeexplore.ieee.org/abstract/document/8104211</w:t>
        </w:r>
      </w:hyperlink>
    </w:p>
    <w:bookmarkEnd w:id="237"/>
    <w:bookmarkStart w:id="239" w:name="ref-ulrich2022"/>
    <w:p>
      <w:pPr>
        <w:pStyle w:val="Bibliography"/>
      </w:pPr>
      <w:r>
        <w:t xml:space="preserve">66.</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[Internet]. 2022;24(1):e25440. Available from:</w:t>
      </w:r>
      <w:r>
        <w:t xml:space="preserve"> </w:t>
      </w:r>
      <w:hyperlink r:id="rId238">
        <w:r>
          <w:rPr>
            <w:rStyle w:val="Hyperlink"/>
          </w:rPr>
          <w:t xml:space="preserve">https://www.jmir.org/2022/1/e25440/</w:t>
        </w:r>
      </w:hyperlink>
    </w:p>
    <w:bookmarkEnd w:id="239"/>
    <w:bookmarkStart w:id="241" w:name="ref-lucyk2017"/>
    <w:p>
      <w:pPr>
        <w:pStyle w:val="Bibliography"/>
      </w:pPr>
      <w:r>
        <w:t xml:space="preserve">67.</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[Internet]. 2017;17(1):1–10. Available from:</w:t>
      </w:r>
      <w:r>
        <w:t xml:space="preserve"> </w:t>
      </w:r>
      <w:hyperlink r:id="rId240">
        <w:r>
          <w:rPr>
            <w:rStyle w:val="Hyperlink"/>
          </w:rPr>
          <w:t xml:space="preserve">https://link.springer.com/article/10.1186/s12913-017-2697-y</w:t>
        </w:r>
      </w:hyperlink>
    </w:p>
    <w:bookmarkEnd w:id="241"/>
    <w:bookmarkStart w:id="243" w:name="ref-hovenga2013"/>
    <w:p>
      <w:pPr>
        <w:pStyle w:val="Bibliography"/>
      </w:pPr>
      <w:r>
        <w:t xml:space="preserve">68.</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[Internet]. IOS Press; 2013. p. 67–94. Available from:</w:t>
      </w:r>
      <w:r>
        <w:t xml:space="preserve"> </w:t>
      </w:r>
      <w:hyperlink r:id="rId242">
        <w:r>
          <w:rPr>
            <w:rStyle w:val="Hyperlink"/>
          </w:rPr>
          <w:t xml:space="preserve">https://ebooks.iospress.nl/volumearticle/35106</w:t>
        </w:r>
      </w:hyperlink>
    </w:p>
    <w:bookmarkEnd w:id="243"/>
    <w:bookmarkStart w:id="245" w:name="ref-wu2024"/>
    <w:p>
      <w:pPr>
        <w:pStyle w:val="Bibliography"/>
      </w:pPr>
      <w:r>
        <w:t xml:space="preserve">69.</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44">
        <w:r>
          <w:rPr>
            <w:rStyle w:val="Hyperlink"/>
          </w:rPr>
          <w:t xml:space="preserve">https://pmc.ncbi.nlm.nih.gov/articles/PMC10802134/</w:t>
        </w:r>
      </w:hyperlink>
    </w:p>
    <w:bookmarkEnd w:id="245"/>
    <w:bookmarkStart w:id="247" w:name="ref-ren2024"/>
    <w:p>
      <w:pPr>
        <w:pStyle w:val="Bibliography"/>
      </w:pPr>
      <w:r>
        <w:t xml:space="preserve">70.</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46">
        <w:r>
          <w:rPr>
            <w:rStyle w:val="Hyperlink"/>
          </w:rPr>
          <w:t xml:space="preserve">https://pmc.ncbi.nlm.nih.gov/articles/PMC11919231/</w:t>
        </w:r>
      </w:hyperlink>
    </w:p>
    <w:bookmarkEnd w:id="247"/>
    <w:bookmarkStart w:id="249" w:name="ref-hong2025"/>
    <w:p>
      <w:pPr>
        <w:pStyle w:val="Bibliography"/>
      </w:pPr>
      <w:r>
        <w:t xml:space="preserve">71.</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48">
        <w:r>
          <w:rPr>
            <w:rStyle w:val="Hyperlink"/>
          </w:rPr>
          <w:t xml:space="preserve">https://academic.oup.com/jpart/advance-article-abstract/doi/10.1093/jopart/muaf019/8162522</w:t>
        </w:r>
      </w:hyperlink>
    </w:p>
    <w:bookmarkEnd w:id="249"/>
    <w:bookmarkStart w:id="251" w:name="ref-willardgrace2019"/>
    <w:p>
      <w:pPr>
        <w:pStyle w:val="Bibliography"/>
      </w:pPr>
      <w:r>
        <w:t xml:space="preserve">72.</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50">
        <w:r>
          <w:rPr>
            <w:rStyle w:val="Hyperlink"/>
          </w:rPr>
          <w:t xml:space="preserve">https://www.annfammed.org/content/17/1/36</w:t>
        </w:r>
      </w:hyperlink>
    </w:p>
    <w:bookmarkEnd w:id="251"/>
    <w:bookmarkStart w:id="253" w:name="ref-nsi2025"/>
    <w:p>
      <w:pPr>
        <w:pStyle w:val="Bibliography"/>
      </w:pPr>
      <w:r>
        <w:t xml:space="preserve">73.</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52">
        <w:r>
          <w:rPr>
            <w:rStyle w:val="Hyperlink"/>
          </w:rPr>
          <w:t xml:space="preserve">https://www.nsinursingsolutions.com/documents/library/nsi_national_health_care_retention_report.pdf</w:t>
        </w:r>
      </w:hyperlink>
    </w:p>
    <w:bookmarkEnd w:id="253"/>
    <w:bookmarkStart w:id="255" w:name="ref-ledikwe2013"/>
    <w:p>
      <w:pPr>
        <w:pStyle w:val="Bibliography"/>
      </w:pPr>
      <w:r>
        <w:t xml:space="preserve">74.</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54">
        <w:r>
          <w:rPr>
            <w:rStyle w:val="Hyperlink"/>
          </w:rPr>
          <w:t xml:space="preserve">https://human-resources-health.biomedcentral.com/articles/10.1186/1478-4491-11-35</w:t>
        </w:r>
      </w:hyperlink>
    </w:p>
    <w:bookmarkEnd w:id="255"/>
    <w:bookmarkStart w:id="257" w:name="ref-mantas2010"/>
    <w:p>
      <w:pPr>
        <w:pStyle w:val="Bibliography"/>
      </w:pPr>
      <w:r>
        <w:t xml:space="preserve">75.</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56">
        <w:r>
          <w:rPr>
            <w:rStyle w:val="Hyperlink"/>
          </w:rPr>
          <w:t xml:space="preserve">https://pubmed.ncbi.nlm.nih.gov/20054502/</w:t>
        </w:r>
      </w:hyperlink>
    </w:p>
    <w:bookmarkEnd w:id="257"/>
    <w:bookmarkStart w:id="259" w:name="ref-musa2023"/>
    <w:p>
      <w:pPr>
        <w:pStyle w:val="Bibliography"/>
      </w:pPr>
      <w:r>
        <w:t xml:space="preserve">76.</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58">
        <w:r>
          <w:rPr>
            <w:rStyle w:val="Hyperlink"/>
          </w:rPr>
          <w:t xml:space="preserve">https://pmc.ncbi.nlm.nih.gov/articles/PMC10243608/</w:t>
        </w:r>
      </w:hyperlink>
    </w:p>
    <w:bookmarkEnd w:id="259"/>
    <w:bookmarkStart w:id="261" w:name="ref-konrad2022"/>
    <w:p>
      <w:pPr>
        <w:pStyle w:val="Bibliography"/>
      </w:pPr>
      <w:r>
        <w:t xml:space="preserve">77.</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60">
        <w:r>
          <w:rPr>
            <w:rStyle w:val="Hyperlink"/>
          </w:rPr>
          <w:t xml:space="preserve">https://www.diva-portal.org/smash/record.jsf?pid=diva2:1684142</w:t>
        </w:r>
      </w:hyperlink>
    </w:p>
    <w:bookmarkEnd w:id="261"/>
    <w:bookmarkStart w:id="263" w:name="ref-mayo2016"/>
    <w:p>
      <w:pPr>
        <w:pStyle w:val="Bibliography"/>
      </w:pPr>
      <w:r>
        <w:t xml:space="preserve">78.</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62">
        <w:r>
          <w:rPr>
            <w:rStyle w:val="Hyperlink"/>
          </w:rPr>
          <w:t xml:space="preserve">https://www.redjournal.org/article/S0360-3016(16)00260-1/fulltext</w:t>
        </w:r>
      </w:hyperlink>
    </w:p>
    <w:bookmarkEnd w:id="263"/>
    <w:bookmarkStart w:id="265" w:name="ref-goffin2011"/>
    <w:p>
      <w:pPr>
        <w:pStyle w:val="Bibliography"/>
      </w:pPr>
      <w:r>
        <w:t xml:space="preserve">79.</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64">
        <w:r>
          <w:rPr>
            <w:rStyle w:val="Hyperlink"/>
          </w:rPr>
          <w:t xml:space="preserve">https://onlinelibrary.wiley.com/doi/abs/10.1111/j.1540-5885.2010.00798.x</w:t>
        </w:r>
      </w:hyperlink>
    </w:p>
    <w:bookmarkEnd w:id="265"/>
    <w:bookmarkStart w:id="267" w:name="ref-wang2020"/>
    <w:p>
      <w:pPr>
        <w:pStyle w:val="Bibliography"/>
      </w:pPr>
      <w:r>
        <w:t xml:space="preserve">80.</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6">
        <w:r>
          <w:rPr>
            <w:rStyle w:val="Hyperlink"/>
          </w:rPr>
          <w:t xml:space="preserve">https://arxiv.org/abs/1908.01839</w:t>
        </w:r>
      </w:hyperlink>
    </w:p>
    <w:bookmarkEnd w:id="267"/>
    <w:bookmarkStart w:id="269" w:name="ref-yuan2019"/>
    <w:p>
      <w:pPr>
        <w:pStyle w:val="Bibliography"/>
      </w:pPr>
      <w:r>
        <w:t xml:space="preserve">81.</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68">
        <w:r>
          <w:rPr>
            <w:rStyle w:val="Hyperlink"/>
          </w:rPr>
          <w:t xml:space="preserve">https://academic.oup.com/jamia/article-abstract/26/4/294/5308980</w:t>
        </w:r>
      </w:hyperlink>
    </w:p>
    <w:bookmarkEnd w:id="269"/>
    <w:bookmarkStart w:id="271" w:name="ref-wang2025"/>
    <w:p>
      <w:pPr>
        <w:pStyle w:val="Bibliography"/>
      </w:pPr>
      <w:r>
        <w:t xml:space="preserve">82.</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70">
        <w:r>
          <w:rPr>
            <w:rStyle w:val="Hyperlink"/>
          </w:rPr>
          <w:t xml:space="preserve">https://arxiv.org/abs/2508.08224</w:t>
        </w:r>
      </w:hyperlink>
    </w:p>
    <w:bookmarkEnd w:id="271"/>
    <w:bookmarkStart w:id="273" w:name="ref-openai2025"/>
    <w:p>
      <w:pPr>
        <w:pStyle w:val="Bibliography"/>
      </w:pPr>
      <w:r>
        <w:t xml:space="preserve">83.</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72">
        <w:r>
          <w:rPr>
            <w:rStyle w:val="Hyperlink"/>
          </w:rPr>
          <w:t xml:space="preserve">https://arxiv.org/abs/2505.08775</w:t>
        </w:r>
      </w:hyperlink>
    </w:p>
    <w:bookmarkEnd w:id="273"/>
    <w:bookmarkStart w:id="275" w:name="ref-medagentbench2024"/>
    <w:p>
      <w:pPr>
        <w:pStyle w:val="Bibliography"/>
      </w:pPr>
      <w:r>
        <w:t xml:space="preserve">84.</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74">
        <w:r>
          <w:rPr>
            <w:rStyle w:val="Hyperlink"/>
          </w:rPr>
          <w:t xml:space="preserve">https://ai.nejm.org/doi/full/10.1056/AIdbp2500144</w:t>
        </w:r>
      </w:hyperlink>
    </w:p>
    <w:bookmarkEnd w:id="275"/>
    <w:bookmarkStart w:id="277" w:name="ref-wu2024a"/>
    <w:p>
      <w:pPr>
        <w:pStyle w:val="Bibliography"/>
      </w:pPr>
      <w:r>
        <w:t xml:space="preserve">85.</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76">
        <w:r>
          <w:rPr>
            <w:rStyle w:val="Hyperlink"/>
          </w:rPr>
          <w:t xml:space="preserve">https://www.nature.com/articles/s41746-024-01390-4</w:t>
        </w:r>
      </w:hyperlink>
    </w:p>
    <w:bookmarkEnd w:id="277"/>
    <w:bookmarkStart w:id="279" w:name="ref-blaskovic2025"/>
    <w:p>
      <w:pPr>
        <w:pStyle w:val="Bibliography"/>
      </w:pPr>
      <w:r>
        <w:t xml:space="preserve">86.</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78">
        <w:r>
          <w:rPr>
            <w:rStyle w:val="Hyperlink"/>
          </w:rPr>
          <w:t xml:space="preserve">https://www.mdpi.com/2504-2289/9/10/256</w:t>
        </w:r>
      </w:hyperlink>
    </w:p>
    <w:bookmarkEnd w:id="279"/>
    <w:bookmarkStart w:id="281" w:name="ref-lee2023"/>
    <w:p>
      <w:pPr>
        <w:pStyle w:val="Bibliography"/>
      </w:pPr>
      <w:r>
        <w:t xml:space="preserve">87.</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80">
        <w:r>
          <w:rPr>
            <w:rStyle w:val="Hyperlink"/>
          </w:rPr>
          <w:t xml:space="preserve">https://arxiv.org/abs/2301.07695</w:t>
        </w:r>
      </w:hyperlink>
    </w:p>
    <w:bookmarkEnd w:id="281"/>
    <w:bookmarkStart w:id="283" w:name="ref-sivasubramaniam2024"/>
    <w:p>
      <w:pPr>
        <w:pStyle w:val="Bibliography"/>
      </w:pPr>
      <w:r>
        <w:t xml:space="preserve">88.</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82">
        <w:r>
          <w:rPr>
            <w:rStyle w:val="Hyperlink"/>
          </w:rPr>
          <w:t xml:space="preserve">https://arxiv.org/abs/2411.05521</w:t>
        </w:r>
      </w:hyperlink>
    </w:p>
    <w:bookmarkEnd w:id="283"/>
    <w:bookmarkStart w:id="285" w:name="ref-lee2025"/>
    <w:p>
      <w:pPr>
        <w:pStyle w:val="Bibliography"/>
      </w:pPr>
      <w:r>
        <w:t xml:space="preserve">89.</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84">
        <w:r>
          <w:rPr>
            <w:rStyle w:val="Hyperlink"/>
          </w:rPr>
          <w:t xml:space="preserve">https://arxiv.org/abs/2511.17559</w:t>
        </w:r>
      </w:hyperlink>
    </w:p>
    <w:bookmarkEnd w:id="285"/>
    <w:bookmarkStart w:id="287" w:name="ref-chen2025"/>
    <w:p>
      <w:pPr>
        <w:pStyle w:val="Bibliography"/>
      </w:pPr>
      <w:r>
        <w:t xml:space="preserve">90.</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86">
        <w:r>
          <w:rPr>
            <w:rStyle w:val="Hyperlink"/>
          </w:rPr>
          <w:t xml:space="preserve">https://www.sciencedirect.com/science/article/pii/S0031320324008197</w:t>
        </w:r>
      </w:hyperlink>
    </w:p>
    <w:bookmarkEnd w:id="287"/>
    <w:bookmarkStart w:id="289" w:name="ref-dadi2025"/>
    <w:p>
      <w:pPr>
        <w:pStyle w:val="Bibliography"/>
      </w:pPr>
      <w:r>
        <w:t xml:space="preserve">91.</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88">
        <w:r>
          <w:rPr>
            <w:rStyle w:val="Hyperlink"/>
          </w:rPr>
          <w:t xml:space="preserve">https://al-kindipublisher.com/index.php/jcsts/article/view/9694</w:t>
        </w:r>
      </w:hyperlink>
    </w:p>
    <w:bookmarkEnd w:id="289"/>
    <w:bookmarkStart w:id="291" w:name="ref-park2024"/>
    <w:p>
      <w:pPr>
        <w:pStyle w:val="Bibliography"/>
      </w:pPr>
      <w:r>
        <w:t xml:space="preserve">92.</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90">
        <w:r>
          <w:rPr>
            <w:rStyle w:val="Hyperlink"/>
          </w:rPr>
          <w:t xml:space="preserve">https://www.sciencedirect.com/science/article/pii/S1532046424000650</w:t>
        </w:r>
      </w:hyperlink>
    </w:p>
    <w:bookmarkEnd w:id="291"/>
    <w:bookmarkStart w:id="293" w:name="ref-ipeirotis2025"/>
    <w:p>
      <w:pPr>
        <w:pStyle w:val="Bibliography"/>
      </w:pPr>
      <w:r>
        <w:t xml:space="preserve">93.</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92">
        <w:r>
          <w:rPr>
            <w:rStyle w:val="Hyperlink"/>
          </w:rPr>
          <w:t xml:space="preserve">https://arxiv.org/abs/2511.14718</w:t>
        </w:r>
      </w:hyperlink>
    </w:p>
    <w:bookmarkEnd w:id="293"/>
    <w:bookmarkStart w:id="295" w:name="ref-shah2020"/>
    <w:p>
      <w:pPr>
        <w:pStyle w:val="Bibliography"/>
      </w:pPr>
      <w:r>
        <w:t xml:space="preserve">94.</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94">
        <w:r>
          <w:rPr>
            <w:rStyle w:val="Hyperlink"/>
          </w:rPr>
          <w:t xml:space="preserve">https://dl.acm.org/doi/abs/10.1145/3318464.3389777</w:t>
        </w:r>
      </w:hyperlink>
    </w:p>
    <w:bookmarkEnd w:id="295"/>
    <w:bookmarkStart w:id="297" w:name="ref-safari2014"/>
    <w:p>
      <w:pPr>
        <w:pStyle w:val="Bibliography"/>
      </w:pPr>
      <w:r>
        <w:t xml:space="preserve">95.</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96">
        <w:r>
          <w:rPr>
            <w:rStyle w:val="Hyperlink"/>
          </w:rPr>
          <w:t xml:space="preserve">https://www.sciencedirect.com/science/article/pii/S1532046414001592</w:t>
        </w:r>
      </w:hyperlink>
    </w:p>
    <w:bookmarkEnd w:id="297"/>
    <w:bookmarkStart w:id="299" w:name="ref-han2019"/>
    <w:p>
      <w:pPr>
        <w:pStyle w:val="Bibliography"/>
      </w:pPr>
      <w:r>
        <w:t xml:space="preserve">96.</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8">
        <w:r>
          <w:rPr>
            <w:rStyle w:val="Hyperlink"/>
          </w:rPr>
          <w:t xml:space="preserve">https://medinform.jmir.org/2019/3/e13331</w:t>
        </w:r>
      </w:hyperlink>
    </w:p>
    <w:bookmarkEnd w:id="299"/>
    <w:bookmarkStart w:id="301" w:name="ref-marshan2024"/>
    <w:p>
      <w:pPr>
        <w:pStyle w:val="Bibliography"/>
      </w:pPr>
      <w:r>
        <w:t xml:space="preserve">97.</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300">
        <w:r>
          <w:rPr>
            <w:rStyle w:val="Hyperlink"/>
          </w:rPr>
          <w:t xml:space="preserve">https://www.frontiersin.org/articles/10.3389/fdata.2024.1371680</w:t>
        </w:r>
      </w:hyperlink>
    </w:p>
    <w:bookmarkEnd w:id="301"/>
    <w:bookmarkStart w:id="303" w:name="ref-saha2023"/>
    <w:p>
      <w:pPr>
        <w:pStyle w:val="Bibliography"/>
      </w:pPr>
      <w:r>
        <w:t xml:space="preserve">98.</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302">
        <w:r>
          <w:rPr>
            <w:rStyle w:val="Hyperlink"/>
          </w:rPr>
          <w:t xml:space="preserve">https://www.proquest.com/openview/0d955ee8209664a4447c9995a1b9e721/1?pq-origsite=gscholar&amp;cbl=326365</w:t>
        </w:r>
      </w:hyperlink>
    </w:p>
    <w:bookmarkEnd w:id="303"/>
    <w:bookmarkStart w:id="305" w:name="ref-khandelwal2025"/>
    <w:p>
      <w:pPr>
        <w:pStyle w:val="Bibliography"/>
      </w:pPr>
      <w:r>
        <w:t xml:space="preserve">99.</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304">
        <w:r>
          <w:rPr>
            <w:rStyle w:val="Hyperlink"/>
          </w:rPr>
          <w:t xml:space="preserve">https://sarcouncil.com/2025/06/ai-driven-mainframe-modernization-unlocking-legacy-data-for-cloud-analytics</w:t>
        </w:r>
      </w:hyperlink>
    </w:p>
    <w:bookmarkEnd w:id="305"/>
    <w:bookmarkStart w:id="307" w:name="ref-syed2025"/>
    <w:p>
      <w:pPr>
        <w:pStyle w:val="Bibliography"/>
      </w:pPr>
      <w:r>
        <w:t xml:space="preserve">100.</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w:t>
      </w:r>
      <w:r>
        <w:t xml:space="preserve">[Internet]. Syed Publication; 2025. Available from:</w:t>
      </w:r>
      <w:r>
        <w:t xml:space="preserve"> </w:t>
      </w:r>
      <w:hyperlink r:id="rId306">
        <w:r>
          <w:rPr>
            <w:rStyle w:val="Hyperlink"/>
          </w:rPr>
          <w:t xml:space="preserve">https://www.google.com/books/edition/ADVANCING_SELFSERVICE_BI_The_Rise_of_Aut/np01EQAAQBAJ</w:t>
        </w:r>
      </w:hyperlink>
    </w:p>
    <w:bookmarkEnd w:id="307"/>
    <w:bookmarkStart w:id="309" w:name="ref-samimi2025"/>
    <w:p>
      <w:pPr>
        <w:pStyle w:val="Bibliography"/>
      </w:pPr>
      <w:r>
        <w:t xml:space="preserve">101.</w:t>
      </w:r>
      <w:r>
        <w:t xml:space="preserve"> </w:t>
      </w:r>
      <w:r>
        <w:t xml:space="preserve">	</w:t>
      </w:r>
      <w:r>
        <w:t xml:space="preserve">Samimi R, Bhattacharya A, Gosak L, Stiglic G, Verbert K.</w:t>
      </w:r>
      <w:r>
        <w:t xml:space="preserve"> </w:t>
      </w:r>
      <w:hyperlink r:id="rId308">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9"/>
    <w:bookmarkStart w:id="311" w:name="ref-ruoff2023"/>
    <w:p>
      <w:pPr>
        <w:pStyle w:val="Bibliography"/>
      </w:pPr>
      <w:r>
        <w:t xml:space="preserve">102.</w:t>
      </w:r>
      <w:r>
        <w:t xml:space="preserve"> </w:t>
      </w:r>
      <w:r>
        <w:t xml:space="preserve">	</w:t>
      </w:r>
      <w:r>
        <w:t xml:space="preserve">Ruoff M, Gnewuch U, Maedche A, Scheibehenne B.</w:t>
      </w:r>
      <w:r>
        <w:t xml:space="preserve"> </w:t>
      </w:r>
      <w:hyperlink r:id="rId310">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11"/>
    <w:bookmarkStart w:id="313" w:name="ref-chowdhury2020"/>
    <w:p>
      <w:pPr>
        <w:pStyle w:val="Bibliography"/>
      </w:pPr>
      <w:r>
        <w:t xml:space="preserve">103.</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[Internet]. 2020; Available from:</w:t>
      </w:r>
      <w:r>
        <w:t xml:space="preserve"> </w:t>
      </w:r>
      <w:hyperlink r:id="rId312">
        <w:r>
          <w:rPr>
            <w:rStyle w:val="Hyperlink"/>
          </w:rPr>
          <w:t xml:space="preserve">https://ieeexplore.ieee.org/abstract/document/9303381</w:t>
        </w:r>
      </w:hyperlink>
    </w:p>
    <w:bookmarkEnd w:id="313"/>
    <w:bookmarkStart w:id="315" w:name="ref-holmes2019"/>
    <w:p>
      <w:pPr>
        <w:pStyle w:val="Bibliography"/>
      </w:pPr>
      <w:r>
        <w:t xml:space="preserve">104.</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[Internet]. 2019. Available from:</w:t>
      </w:r>
      <w:r>
        <w:t xml:space="preserve"> </w:t>
      </w:r>
      <w:hyperlink r:id="rId314">
        <w:r>
          <w:rPr>
            <w:rStyle w:val="Hyperlink"/>
          </w:rPr>
          <w:t xml:space="preserve">https://dl.acm.org/doi/abs/10.1145/3335082.3335094</w:t>
        </w:r>
      </w:hyperlink>
    </w:p>
    <w:bookmarkEnd w:id="315"/>
    <w:bookmarkStart w:id="317" w:name="ref-whittaker2008"/>
    <w:p>
      <w:pPr>
        <w:pStyle w:val="Bibliography"/>
      </w:pPr>
      <w:r>
        <w:t xml:space="preserve">105.</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16">
        <w:r>
          <w:rPr>
            <w:rStyle w:val="Hyperlink"/>
          </w:rPr>
          <w:t xml:space="preserve">https://www.academia.edu/download/41283190/Design_and_evaluation_of_systems_to_supp20160117-25708-98zc50.pdf</w:t>
        </w:r>
      </w:hyperlink>
    </w:p>
    <w:bookmarkEnd w:id="317"/>
    <w:bookmarkStart w:id="319" w:name="ref-rangachari2020"/>
    <w:p>
      <w:pPr>
        <w:pStyle w:val="Bibliography"/>
      </w:pPr>
      <w:r>
        <w:t xml:space="preserve">106.</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318">
        <w:r>
          <w:rPr>
            <w:rStyle w:val="Hyperlink"/>
          </w:rPr>
          <w:t xml:space="preserve">https://www.mdpi.com/1660-4601/17/12/4267</w:t>
        </w:r>
      </w:hyperlink>
    </w:p>
    <w:bookmarkEnd w:id="319"/>
    <w:bookmarkStart w:id="321" w:name="ref-moore2018"/>
    <w:p>
      <w:pPr>
        <w:pStyle w:val="Bibliography"/>
      </w:pPr>
      <w:r>
        <w:t xml:space="preserve">107.</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20">
        <w:r>
          <w:rPr>
            <w:rStyle w:val="Hyperlink"/>
          </w:rPr>
          <w:t xml:space="preserve">https://wendyju.com/publications/18_ijee3593.pdf</w:t>
        </w:r>
      </w:hyperlink>
    </w:p>
    <w:bookmarkEnd w:id="321"/>
    <w:bookmarkStart w:id="323" w:name="ref-yang2025"/>
    <w:p>
      <w:pPr>
        <w:pStyle w:val="Bibliography"/>
      </w:pPr>
      <w:r>
        <w:t xml:space="preserve">108.</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22">
        <w:r>
          <w:rPr>
            <w:rStyle w:val="Hyperlink"/>
          </w:rPr>
          <w:t xml:space="preserve">https://bioinform.jmir.org/2025/1/e63139</w:t>
        </w:r>
      </w:hyperlink>
    </w:p>
    <w:bookmarkEnd w:id="323"/>
    <w:bookmarkStart w:id="325" w:name="ref-mogili2025"/>
    <w:p>
      <w:pPr>
        <w:pStyle w:val="Bibliography"/>
      </w:pPr>
      <w:r>
        <w:t xml:space="preserve">109.</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24">
        <w:r>
          <w:rPr>
            <w:rStyle w:val="Hyperlink"/>
          </w:rPr>
          <w:t xml:space="preserve">https://sarcouncil.com/download-article/SJECS-209-_2025-630-636.pdf</w:t>
        </w:r>
      </w:hyperlink>
    </w:p>
    <w:bookmarkEnd w:id="325"/>
    <w:bookmarkStart w:id="327" w:name="ref-aveiro2023"/>
    <w:p>
      <w:pPr>
        <w:pStyle w:val="Bibliography"/>
      </w:pPr>
      <w:r>
        <w:t xml:space="preserve">110.</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26">
        <w:r>
          <w:rPr>
            <w:rStyle w:val="Hyperlink"/>
          </w:rPr>
          <w:t xml:space="preserve">https://ieeexplore.ieee.org/document/10186753</w:t>
        </w:r>
      </w:hyperlink>
    </w:p>
    <w:bookmarkEnd w:id="327"/>
    <w:bookmarkStart w:id="329" w:name="ref-pennington2023"/>
    <w:p>
      <w:pPr>
        <w:pStyle w:val="Bibliography"/>
      </w:pPr>
      <w:r>
        <w:t xml:space="preserve">111.</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28">
        <w:r>
          <w:rPr>
            <w:rStyle w:val="Hyperlink"/>
          </w:rPr>
          <w:t xml:space="preserve">https://mds.marshall.edu/etd/1824/</w:t>
        </w:r>
      </w:hyperlink>
    </w:p>
    <w:bookmarkEnd w:id="329"/>
    <w:bookmarkStart w:id="331" w:name="ref-atobatele2023"/>
    <w:p>
      <w:pPr>
        <w:pStyle w:val="Bibliography"/>
      </w:pPr>
      <w:r>
        <w:t xml:space="preserve">112.</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30">
        <w:r>
          <w:rPr>
            <w:rStyle w:val="Hyperlink"/>
          </w:rPr>
          <w:t xml:space="preserve">https://gisrrj.com/paper/GISRRJ236426.pdf</w:t>
        </w:r>
      </w:hyperlink>
    </w:p>
    <w:bookmarkEnd w:id="331"/>
    <w:bookmarkStart w:id="333" w:name="ref-jiao2023"/>
    <w:p>
      <w:pPr>
        <w:pStyle w:val="Bibliography"/>
      </w:pPr>
      <w:r>
        <w:t xml:space="preserve">113.</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32">
        <w:r>
          <w:rPr>
            <w:rStyle w:val="Hyperlink"/>
          </w:rPr>
          <w:t xml:space="preserve">https://ieeexplore.ieee.org/document/10297311</w:t>
        </w:r>
      </w:hyperlink>
    </w:p>
    <w:bookmarkEnd w:id="333"/>
    <w:bookmarkStart w:id="335" w:name="ref-elkamouchi2023"/>
    <w:p>
      <w:pPr>
        <w:pStyle w:val="Bibliography"/>
      </w:pPr>
      <w:r>
        <w:t xml:space="preserve">114.</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34">
        <w:r>
          <w:rPr>
            <w:rStyle w:val="Hyperlink"/>
          </w:rPr>
          <w:t xml:space="preserve">https://ieeexplore.ieee.org/abstract/document/10373712/</w:t>
        </w:r>
      </w:hyperlink>
    </w:p>
    <w:bookmarkEnd w:id="335"/>
    <w:bookmarkStart w:id="337" w:name="ref-pervaiz2025"/>
    <w:p>
      <w:pPr>
        <w:pStyle w:val="Bibliography"/>
      </w:pPr>
      <w:r>
        <w:t xml:space="preserve">115.</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36">
        <w:r>
          <w:rPr>
            <w:rStyle w:val="Hyperlink"/>
          </w:rPr>
          <w:t xml:space="preserve">https://imjstb.com/index.php/Journal/article/view/95</w:t>
        </w:r>
      </w:hyperlink>
    </w:p>
    <w:bookmarkEnd w:id="337"/>
    <w:bookmarkStart w:id="339" w:name="ref-snowdon2024a"/>
    <w:p>
      <w:pPr>
        <w:pStyle w:val="Bibliography"/>
      </w:pPr>
      <w:r>
        <w:t xml:space="preserve">116.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338">
        <w:r>
          <w:rPr>
            <w:rStyle w:val="Hyperlink"/>
          </w:rPr>
          <w:t xml:space="preserve">https://journals.sagepub.com/doi/full/10.1177/23743735241253785</w:t>
        </w:r>
      </w:hyperlink>
    </w:p>
    <w:bookmarkEnd w:id="339"/>
    <w:bookmarkStart w:id="341"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40">
        <w:r>
          <w:rPr>
            <w:rStyle w:val="Hyperlink"/>
          </w:rPr>
          <w:t xml:space="preserve">https://academic.oup.com/jamia/article/14/6/687/750453</w:t>
        </w:r>
      </w:hyperlink>
    </w:p>
    <w:bookmarkEnd w:id="341"/>
    <w:bookmarkStart w:id="343"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42">
        <w:r>
          <w:rPr>
            <w:rStyle w:val="Hyperlink"/>
          </w:rPr>
          <w:t xml:space="preserve">https://www.acpjournals.org/doi/10.7326/M19-0871</w:t>
        </w:r>
      </w:hyperlink>
    </w:p>
    <w:bookmarkEnd w:id="343"/>
    <w:bookmarkStart w:id="345"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44">
        <w:r>
          <w:rPr>
            <w:rStyle w:val="Hyperlink"/>
          </w:rPr>
          <w:t xml:space="preserve">https://www.sciencedirect.com/science/article/pii/S0168851021002396</w:t>
        </w:r>
      </w:hyperlink>
    </w:p>
    <w:bookmarkEnd w:id="345"/>
    <w:bookmarkStart w:id="347"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46">
        <w:r>
          <w:rPr>
            <w:rStyle w:val="Hyperlink"/>
          </w:rPr>
          <w:t xml:space="preserve">https://ieeexplore.ieee.org/abstract/document/8678513/</w:t>
        </w:r>
      </w:hyperlink>
    </w:p>
    <w:bookmarkEnd w:id="347"/>
    <w:bookmarkStart w:id="349"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48">
        <w:r>
          <w:rPr>
            <w:rStyle w:val="Hyperlink"/>
          </w:rPr>
          <w:t xml:space="preserve">https://oulurepo.oulu.fi/bitstream/handle/10024/27921/nbnfi-fe2020050424858.pdf</w:t>
        </w:r>
      </w:hyperlink>
    </w:p>
    <w:bookmarkEnd w:id="349"/>
    <w:bookmarkStart w:id="351"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50">
        <w:r>
          <w:rPr>
            <w:rStyle w:val="Hyperlink"/>
          </w:rPr>
          <w:t xml:space="preserve">https://www.academicradiology.org/article/S1076-6332(21)00140-9/abstract</w:t>
        </w:r>
      </w:hyperlink>
    </w:p>
    <w:bookmarkEnd w:id="351"/>
    <w:bookmarkStart w:id="353"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52">
        <w:r>
          <w:rPr>
            <w:rStyle w:val="Hyperlink"/>
          </w:rPr>
          <w:t xml:space="preserve">https://journals.sagepub.com/doi/abs/10.1177/00081256221094307</w:t>
        </w:r>
      </w:hyperlink>
    </w:p>
    <w:bookmarkEnd w:id="353"/>
    <w:bookmarkStart w:id="354" w:name="ref-nashid2023a"/>
    <w:p>
      <w:pPr>
        <w:pStyle w:val="Bibliography"/>
      </w:pPr>
      <w:r>
        <w:t xml:space="preserve">124.</w:t>
      </w:r>
      <w:r>
        <w:t xml:space="preserve"> </w:t>
      </w:r>
      <w:r>
        <w:t xml:space="preserve">	</w:t>
      </w:r>
      <w:r>
        <w:t xml:space="preserve">Nashid S, Papia SK, Chowdhury N, Mia MS,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37">
        <w:r>
          <w:rPr>
            <w:rStyle w:val="Hyperlink"/>
          </w:rPr>
          <w:t xml:space="preserve">https://doi.org/10.25163/business.1110345</w:t>
        </w:r>
      </w:hyperlink>
    </w:p>
    <w:bookmarkEnd w:id="354"/>
    <w:bookmarkStart w:id="356" w:name="ref-forrester2024a"/>
    <w:p>
      <w:pPr>
        <w:pStyle w:val="Bibliography"/>
      </w:pPr>
      <w:r>
        <w:t xml:space="preserve">125.</w:t>
      </w:r>
      <w:r>
        <w:t xml:space="preserve"> </w:t>
      </w:r>
      <w:r>
        <w:t xml:space="preserve">	</w:t>
      </w:r>
      <w:r>
        <w:t xml:space="preserve">Forrester Consulting.</w:t>
      </w:r>
      <w:r>
        <w:t xml:space="preserve"> </w:t>
      </w:r>
      <w:r>
        <w:t xml:space="preserve">The Total Economic Impact™ Of Microsoft Power Apps</w:t>
      </w:r>
      <w:r>
        <w:t xml:space="preserve"> </w:t>
      </w:r>
      <w:r>
        <w:t xml:space="preserve">[Internet]. Forrester Consulting; 2024. Available from:</w:t>
      </w:r>
      <w:r>
        <w:t xml:space="preserve"> </w:t>
      </w:r>
      <w:hyperlink r:id="rId355">
        <w:r>
          <w:rPr>
            <w:rStyle w:val="Hyperlink"/>
          </w:rPr>
          <w:t xml:space="preserve">https://tools.totaleconomicimpact.com/go/microsoft/powerapps/</w:t>
        </w:r>
      </w:hyperlink>
    </w:p>
    <w:bookmarkEnd w:id="356"/>
    <w:bookmarkStart w:id="358" w:name="ref-sezgin2022"/>
    <w:p>
      <w:pPr>
        <w:pStyle w:val="Bibliography"/>
      </w:pPr>
      <w:r>
        <w:t xml:space="preserve">126.</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57">
        <w:r>
          <w:rPr>
            <w:rStyle w:val="Hyperlink"/>
          </w:rPr>
          <w:t xml:space="preserve">https://medinform.jmir.org/2022/2/e32875</w:t>
        </w:r>
      </w:hyperlink>
    </w:p>
    <w:bookmarkEnd w:id="358"/>
    <w:bookmarkStart w:id="360" w:name="ref-himss2025ucdavis"/>
    <w:p>
      <w:pPr>
        <w:pStyle w:val="Bibliography"/>
      </w:pPr>
      <w:r>
        <w:t xml:space="preserve">127.</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59">
        <w:r>
          <w:rPr>
            <w:rStyle w:val="Hyperlink"/>
          </w:rPr>
          <w:t xml:space="preserve">https://pages.himss.org/LP-HA-Case-Study-UC-Davis.html</w:t>
        </w:r>
      </w:hyperlink>
    </w:p>
    <w:bookmarkEnd w:id="360"/>
    <w:bookmarkStart w:id="362" w:name="ref-lenz2007"/>
    <w:p>
      <w:pPr>
        <w:pStyle w:val="Bibliography"/>
      </w:pPr>
      <w:r>
        <w:t xml:space="preserve">128.</w:t>
      </w:r>
      <w:r>
        <w:t xml:space="preserve"> </w:t>
      </w:r>
      <w:r>
        <w:t xml:space="preserve">	</w:t>
      </w:r>
      <w:r>
        <w:t xml:space="preserve">Lenz R, Beyer M, Kuhn KA.</w:t>
      </w:r>
      <w:r>
        <w:t xml:space="preserve"> </w:t>
      </w:r>
      <w:hyperlink r:id="rId361">
        <w:r>
          <w:rPr>
            <w:rStyle w:val="Hyperlink"/>
          </w:rPr>
          <w:t xml:space="preserve">Semantic integration in healthcare networks</w:t>
        </w:r>
      </w:hyperlink>
      <w:r>
        <w:t xml:space="preserve">. International Journal of Medical Informatics. 2007;76(2-3):201–7.</w:t>
      </w:r>
      <w:r>
        <w:t xml:space="preserve"> </w:t>
      </w:r>
    </w:p>
    <w:bookmarkEnd w:id="362"/>
    <w:bookmarkStart w:id="364" w:name="ref-oliveira2023"/>
    <w:p>
      <w:pPr>
        <w:pStyle w:val="Bibliography"/>
      </w:pPr>
      <w:r>
        <w:t xml:space="preserve">129.</w:t>
      </w:r>
      <w:r>
        <w:t xml:space="preserve"> </w:t>
      </w:r>
      <w:r>
        <w:t xml:space="preserve">	</w:t>
      </w:r>
      <w:r>
        <w:t xml:space="preserve">Oliveira MAP et al.</w:t>
      </w:r>
      <w:r>
        <w:t xml:space="preserve"> Semantic modelling for enterprise data governance 4.0. arXiv preprint arXiv:231102082 [Internet]. 2023; Available from:</w:t>
      </w:r>
      <w:r>
        <w:t xml:space="preserve"> </w:t>
      </w:r>
      <w:hyperlink r:id="rId363">
        <w:r>
          <w:rPr>
            <w:rStyle w:val="Hyperlink"/>
          </w:rPr>
          <w:t xml:space="preserve">https://arxiv.org/pdf/2311.02082</w:t>
        </w:r>
      </w:hyperlink>
    </w:p>
    <w:bookmarkEnd w:id="364"/>
    <w:bookmarkStart w:id="366" w:name="ref-alukal2006"/>
    <w:p>
      <w:pPr>
        <w:pStyle w:val="Bibliography"/>
      </w:pPr>
      <w:r>
        <w:t xml:space="preserve">130.</w:t>
      </w:r>
      <w:r>
        <w:t xml:space="preserve"> </w:t>
      </w:r>
      <w:r>
        <w:t xml:space="preserve">	</w:t>
      </w:r>
      <w:r>
        <w:t xml:space="preserve">Alukal VG, Manos A. Lean kaizen: A simplified approach to process improvement [Internet]. Milwaukee, WI: ASQ Quality Press; 2006. Available from:</w:t>
      </w:r>
      <w:r>
        <w:t xml:space="preserve"> </w:t>
      </w:r>
      <w:hyperlink r:id="rId365">
        <w:r>
          <w:rPr>
            <w:rStyle w:val="Hyperlink"/>
          </w:rPr>
          <w:t xml:space="preserve">https://books.google.com/books?id=9uqiEAAAQBAJ</w:t>
        </w:r>
      </w:hyperlink>
    </w:p>
    <w:bookmarkEnd w:id="366"/>
    <w:bookmarkStart w:id="368" w:name="ref-mannapur2025"/>
    <w:p>
      <w:pPr>
        <w:pStyle w:val="Bibliography"/>
      </w:pPr>
      <w:r>
        <w:t xml:space="preserve">131.</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67">
        <w:r>
          <w:rPr>
            <w:rStyle w:val="Hyperlink"/>
          </w:rPr>
          <w:t xml:space="preserve">https://www.quantbeckman.com/api/v1/file/5b240742-bf0d-4f8c-a0f9-cb29fab42611.pdf</w:t>
        </w:r>
      </w:hyperlink>
    </w:p>
    <w:bookmarkEnd w:id="368"/>
    <w:bookmarkStart w:id="370" w:name="ref-yupopa2005"/>
    <w:p>
      <w:pPr>
        <w:pStyle w:val="Bibliography"/>
      </w:pPr>
      <w:r>
        <w:t xml:space="preserve">132.</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69">
        <w:r>
          <w:rPr>
            <w:rStyle w:val="Hyperlink"/>
          </w:rPr>
          <w:t xml:space="preserve">https://mail.vldb.org/archives/website/2005/program/paper/fri/p1006-yu.pdf</w:t>
        </w:r>
      </w:hyperlink>
    </w:p>
    <w:bookmarkEnd w:id="370"/>
    <w:bookmarkStart w:id="372" w:name="ref-sivaranjani2025"/>
    <w:p>
      <w:pPr>
        <w:pStyle w:val="Bibliography"/>
      </w:pPr>
      <w:r>
        <w:t xml:space="preserve">133.</w:t>
      </w:r>
      <w:r>
        <w:t xml:space="preserve"> </w:t>
      </w:r>
      <w:r>
        <w:t xml:space="preserve">	</w:t>
      </w:r>
      <w:r>
        <w:t xml:space="preserve">Sivaranjani S, Tharunika V.</w:t>
      </w:r>
      <w:r>
        <w:t xml:space="preserve"> </w:t>
      </w:r>
      <w:r>
        <w:t xml:space="preserve">Semantic Web for Addressing Data Integration Challenges</w:t>
      </w:r>
      <w:r>
        <w:t xml:space="preserve"> </w:t>
      </w:r>
      <w:r>
        <w:t xml:space="preserve">[Internet]. Taylor &amp; Francis; 2025. Available from:</w:t>
      </w:r>
      <w:r>
        <w:t xml:space="preserve"> </w:t>
      </w:r>
      <w:hyperlink r:id="rId371">
        <w:r>
          <w:rPr>
            <w:rStyle w:val="Hyperlink"/>
          </w:rPr>
          <w:t xml:space="preserve">https://www.taylorfrancis.com/chapters/edit/10.1201/9781003716686-10/semantic-web-addressing-data-integration-challenges-semantic-data-fabric-healthcare-sivaranjani-tharunika-bhuvaneswari</w:t>
        </w:r>
      </w:hyperlink>
    </w:p>
    <w:bookmarkEnd w:id="372"/>
    <w:bookmarkStart w:id="374" w:name="ref-battula2025"/>
    <w:p>
      <w:pPr>
        <w:pStyle w:val="Bibliography"/>
      </w:pPr>
      <w:r>
        <w:t xml:space="preserve">134.</w:t>
      </w:r>
      <w:r>
        <w:t xml:space="preserve"> </w:t>
      </w:r>
      <w:r>
        <w:t xml:space="preserve">	</w:t>
      </w:r>
      <w:r>
        <w:t xml:space="preserve">Battula SKY.</w:t>
      </w:r>
      <w:r>
        <w:t xml:space="preserve"> </w:t>
      </w:r>
      <w:hyperlink r:id="rId373">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74"/>
    <w:bookmarkStart w:id="376" w:name="ref-zimmermann2017"/>
    <w:p>
      <w:pPr>
        <w:pStyle w:val="Bibliography"/>
      </w:pPr>
      <w:r>
        <w:t xml:space="preserve">135.</w:t>
      </w:r>
      <w:r>
        <w:t xml:space="preserve"> </w:t>
      </w:r>
      <w:r>
        <w:t xml:space="preserve">	</w:t>
      </w:r>
      <w:r>
        <w:t xml:space="preserve">Zimmermann S, Rentrop C, Felden C.</w:t>
      </w:r>
      <w:r>
        <w:t xml:space="preserve"> </w:t>
      </w:r>
      <w:hyperlink r:id="rId375">
        <w:r>
          <w:rPr>
            <w:rStyle w:val="Hyperlink"/>
          </w:rPr>
          <w:t xml:space="preserve">A Multiple Case Study on the Nature and Management of Shadow Information Technology</w:t>
        </w:r>
      </w:hyperlink>
      <w:r>
        <w:t xml:space="preserve">. Journal of Information Systems. 2017;31(1):79–101.</w:t>
      </w:r>
      <w:r>
        <w:t xml:space="preserve"> </w:t>
      </w:r>
    </w:p>
    <w:bookmarkEnd w:id="376"/>
    <w:bookmarkStart w:id="378" w:name="ref-rivard1987"/>
    <w:p>
      <w:pPr>
        <w:pStyle w:val="Bibliography"/>
      </w:pPr>
      <w:r>
        <w:t xml:space="preserve">136.</w:t>
      </w:r>
      <w:r>
        <w:t xml:space="preserve"> </w:t>
      </w:r>
      <w:r>
        <w:t xml:space="preserve">	</w:t>
      </w:r>
      <w:r>
        <w:t xml:space="preserve">Rivard S.</w:t>
      </w:r>
      <w:r>
        <w:t xml:space="preserve"> </w:t>
      </w:r>
      <w:hyperlink r:id="rId377">
        <w:r>
          <w:rPr>
            <w:rStyle w:val="Hyperlink"/>
          </w:rPr>
          <w:t xml:space="preserve">Successful Implementation of End-User Computing</w:t>
        </w:r>
      </w:hyperlink>
      <w:r>
        <w:t xml:space="preserve">. Interfaces. 1987;17(3):25–33.</w:t>
      </w:r>
      <w:r>
        <w:t xml:space="preserve"> </w:t>
      </w:r>
    </w:p>
    <w:bookmarkEnd w:id="378"/>
    <w:bookmarkStart w:id="380" w:name="ref-kopper2020"/>
    <w:p>
      <w:pPr>
        <w:pStyle w:val="Bibliography"/>
      </w:pPr>
      <w:r>
        <w:t xml:space="preserve">137.</w:t>
      </w:r>
      <w:r>
        <w:t xml:space="preserve"> </w:t>
      </w:r>
      <w:r>
        <w:t xml:space="preserve">	</w:t>
      </w:r>
      <w:r>
        <w:t xml:space="preserve">Kopper A, Westner M, Strahringer S.</w:t>
      </w:r>
      <w:r>
        <w:t xml:space="preserve"> </w:t>
      </w:r>
      <w:hyperlink r:id="rId37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80"/>
    <w:bookmarkEnd w:id="381"/>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hyperlink" Id="rId234" Target="https://academic.oup.com/database/article/doi/10.1093/database/bav121/2630096" TargetMode="External" /><Relationship Type="http://schemas.openxmlformats.org/officeDocument/2006/relationships/hyperlink" Id="rId268" Target="https://academic.oup.com/jamia/article-abstract/26/4/294/5308980" TargetMode="External" /><Relationship Type="http://schemas.openxmlformats.org/officeDocument/2006/relationships/hyperlink" Id="rId224" Target="https://academic.oup.com/jamia/article-abstract/9/6/600/1036696" TargetMode="External" /><Relationship Type="http://schemas.openxmlformats.org/officeDocument/2006/relationships/hyperlink" Id="rId340" Target="https://academic.oup.com/jamia/article/14/6/687/750453" TargetMode="External" /><Relationship Type="http://schemas.openxmlformats.org/officeDocument/2006/relationships/hyperlink" Id="rId248" Target="https://academic.oup.com/jpart/advance-article-abstract/doi/10.1093/jopart/muaf019/8162522" TargetMode="External" /><Relationship Type="http://schemas.openxmlformats.org/officeDocument/2006/relationships/hyperlink" Id="rId120" Target="https://academic.oup.com/jpubhealth" TargetMode="External" /><Relationship Type="http://schemas.openxmlformats.org/officeDocument/2006/relationships/hyperlink" Id="rId274" Target="https://ai.nejm.org/doi/full/10.1056/AIdbp2500144" TargetMode="External" /><Relationship Type="http://schemas.openxmlformats.org/officeDocument/2006/relationships/hyperlink" Id="rId288" Target="https://al-kindipublisher.com/index.php/jcsts/article/view/9694" TargetMode="External" /><Relationship Type="http://schemas.openxmlformats.org/officeDocument/2006/relationships/hyperlink" Id="rId116" Target="https://api.wittkieffer.com/wp-content/uploads/2012/10/cio-insights-the-state-of-healthcare-it-leadership-wittkieffer-october-2024.pdf" TargetMode="External" /><Relationship Type="http://schemas.openxmlformats.org/officeDocument/2006/relationships/hyperlink" Id="rId266" Target="https://arxiv.org/abs/1908.01839" TargetMode="External" /><Relationship Type="http://schemas.openxmlformats.org/officeDocument/2006/relationships/hyperlink" Id="rId280" Target="https://arxiv.org/abs/2301.07695" TargetMode="External" /><Relationship Type="http://schemas.openxmlformats.org/officeDocument/2006/relationships/hyperlink" Id="rId147" Target="https://arxiv.org/abs/2403.09226" TargetMode="External" /><Relationship Type="http://schemas.openxmlformats.org/officeDocument/2006/relationships/hyperlink" Id="rId282" Target="https://arxiv.org/abs/2411.05521" TargetMode="External" /><Relationship Type="http://schemas.openxmlformats.org/officeDocument/2006/relationships/hyperlink" Id="rId272" Target="https://arxiv.org/abs/2505.08775" TargetMode="External" /><Relationship Type="http://schemas.openxmlformats.org/officeDocument/2006/relationships/hyperlink" Id="rId270" Target="https://arxiv.org/abs/2508.08224" TargetMode="External" /><Relationship Type="http://schemas.openxmlformats.org/officeDocument/2006/relationships/hyperlink" Id="rId292" Target="https://arxiv.org/abs/2511.14718" TargetMode="External" /><Relationship Type="http://schemas.openxmlformats.org/officeDocument/2006/relationships/hyperlink" Id="rId284" Target="https://arxiv.org/abs/2511.17559" TargetMode="External" /><Relationship Type="http://schemas.openxmlformats.org/officeDocument/2006/relationships/hyperlink" Id="rId363" Target="https://arxiv.org/pdf/2311.02082" TargetMode="External" /><Relationship Type="http://schemas.openxmlformats.org/officeDocument/2006/relationships/hyperlink" Id="rId322" Target="https://bioinform.jmir.org/2025/1/e63139" TargetMode="External" /><Relationship Type="http://schemas.openxmlformats.org/officeDocument/2006/relationships/hyperlink" Id="rId365" Target="https://books.google.com/books?id=9uqiEAAAQBAJ" TargetMode="External" /><Relationship Type="http://schemas.openxmlformats.org/officeDocument/2006/relationships/hyperlink" Id="rId122" Target="https://dl.acm.org/doi/10.1145/1017114.1017118" TargetMode="External" /><Relationship Type="http://schemas.openxmlformats.org/officeDocument/2006/relationships/hyperlink" Id="rId129" Target="https://dl.acm.org/doi/abs/10.1145/320251.320253" TargetMode="External" /><Relationship Type="http://schemas.openxmlformats.org/officeDocument/2006/relationships/hyperlink" Id="rId294" Target="https://dl.acm.org/doi/abs/10.1145/3318464.3389777" TargetMode="External" /><Relationship Type="http://schemas.openxmlformats.org/officeDocument/2006/relationships/hyperlink" Id="rId314" Target="https://dl.acm.org/doi/abs/10.1145/3335082.3335094" TargetMode="External" /><Relationship Type="http://schemas.openxmlformats.org/officeDocument/2006/relationships/hyperlink" Id="rId379" Target="https://doi.org/10.1007/s10257-020-00472-y" TargetMode="External" /><Relationship Type="http://schemas.openxmlformats.org/officeDocument/2006/relationships/hyperlink" Id="rId181" Target="https://doi.org/10.1016/j.ijinfomgt.2003.12.012" TargetMode="External" /><Relationship Type="http://schemas.openxmlformats.org/officeDocument/2006/relationships/hyperlink" Id="rId214" Target="https://doi.org/10.1016/j.ijinfomgt.2018.07.001" TargetMode="External" /><Relationship Type="http://schemas.openxmlformats.org/officeDocument/2006/relationships/hyperlink" Id="rId361" Target="https://doi.org/10.1016/j.ijmedinf.2006.05.008" TargetMode="External" /><Relationship Type="http://schemas.openxmlformats.org/officeDocument/2006/relationships/hyperlink" Id="rId175" Target="https://doi.org/10.1108/JKM-08-2016-0338" TargetMode="External" /><Relationship Type="http://schemas.openxmlformats.org/officeDocument/2006/relationships/hyperlink" Id="rId308" Target="https://doi.org/10.1145/3670653.3670660" TargetMode="External" /><Relationship Type="http://schemas.openxmlformats.org/officeDocument/2006/relationships/hyperlink" Id="rId171" Target="https://doi.org/10.1177/0165551506070706" TargetMode="External" /><Relationship Type="http://schemas.openxmlformats.org/officeDocument/2006/relationships/hyperlink" Id="rId167" Target="https://doi.org/10.1201/9781003188162" TargetMode="External" /><Relationship Type="http://schemas.openxmlformats.org/officeDocument/2006/relationships/hyperlink" Id="rId377" Target="https://doi.org/10.1287/inte.17.3.25" TargetMode="External" /><Relationship Type="http://schemas.openxmlformats.org/officeDocument/2006/relationships/hyperlink" Id="rId310" Target="https://doi.org/10.17705/1jais.00801" TargetMode="External" /><Relationship Type="http://schemas.openxmlformats.org/officeDocument/2006/relationships/hyperlink" Id="rId375" Target="https://doi.org/10.2308/isys-51517" TargetMode="External" /><Relationship Type="http://schemas.openxmlformats.org/officeDocument/2006/relationships/hyperlink" Id="rId137" Target="https://doi.org/10.25163/business.1110345" TargetMode="External" /><Relationship Type="http://schemas.openxmlformats.org/officeDocument/2006/relationships/hyperlink" Id="rId373" Target="https://doi.org/10.63282/3050-9262.IJAIDSML-V6I4P130" TargetMode="External" /><Relationship Type="http://schemas.openxmlformats.org/officeDocument/2006/relationships/hyperlink" Id="rId149" Target="https://dspace.flinders.edu.au/jspui/bitstream/2328/3326/4/AACODS_Checklist.pdf" TargetMode="External" /><Relationship Type="http://schemas.openxmlformats.org/officeDocument/2006/relationships/hyperlink" Id="rId242" Target="https://ebooks.iospress.nl/volumearticle/35106" TargetMode="External" /><Relationship Type="http://schemas.openxmlformats.org/officeDocument/2006/relationships/hyperlink" Id="rId330" Target="https://gisrrj.com/paper/GISRRJ236426.pdf" TargetMode="External" /><Relationship Type="http://schemas.openxmlformats.org/officeDocument/2006/relationships/hyperlink" Id="rId254" Target="https://human-resources-health.biomedcentral.com/articles/10.1186/1478-4491-11-35" TargetMode="External" /><Relationship Type="http://schemas.openxmlformats.org/officeDocument/2006/relationships/hyperlink" Id="rId155" Target="https://ia.berkshirehealthcare.nhs.uk/citizen-developer-programme" TargetMode="External" /><Relationship Type="http://schemas.openxmlformats.org/officeDocument/2006/relationships/hyperlink" Id="rId334" Target="https://ieeexplore.ieee.org/abstract/document/10373712/" TargetMode="External" /><Relationship Type="http://schemas.openxmlformats.org/officeDocument/2006/relationships/hyperlink" Id="rId236" Target="https://ieeexplore.ieee.org/abstract/document/8104211" TargetMode="External" /><Relationship Type="http://schemas.openxmlformats.org/officeDocument/2006/relationships/hyperlink" Id="rId346" Target="https://ieeexplore.ieee.org/abstract/document/8678513/" TargetMode="External" /><Relationship Type="http://schemas.openxmlformats.org/officeDocument/2006/relationships/hyperlink" Id="rId312" Target="https://ieeexplore.ieee.org/abstract/document/9303381" TargetMode="External" /><Relationship Type="http://schemas.openxmlformats.org/officeDocument/2006/relationships/hyperlink" Id="rId326" Target="https://ieeexplore.ieee.org/document/10186753" TargetMode="External" /><Relationship Type="http://schemas.openxmlformats.org/officeDocument/2006/relationships/hyperlink" Id="rId332" Target="https://ieeexplore.ieee.org/document/10297311" TargetMode="External" /><Relationship Type="http://schemas.openxmlformats.org/officeDocument/2006/relationships/hyperlink" Id="rId336" Target="https://imjstb.com/index.php/Journal/article/view/95" TargetMode="External" /><Relationship Type="http://schemas.openxmlformats.org/officeDocument/2006/relationships/hyperlink" Id="rId222" Target="https://jamanetwork.com/journals/jamanetworkopen/fullarticle/2777777" TargetMode="External" /><Relationship Type="http://schemas.openxmlformats.org/officeDocument/2006/relationships/hyperlink" Id="rId139" Target="https://journalofbigdata.springeropen.com/articles/10.1186/s40537-019-0170-y" TargetMode="External" /><Relationship Type="http://schemas.openxmlformats.org/officeDocument/2006/relationships/hyperlink" Id="rId352" Target="https://journals.sagepub.com/doi/abs/10.1177/00081256221094307" TargetMode="External" /><Relationship Type="http://schemas.openxmlformats.org/officeDocument/2006/relationships/hyperlink" Id="rId338" Target="https://journals.sagepub.com/doi/full/10.1177/23743735241253785" TargetMode="External" /><Relationship Type="http://schemas.openxmlformats.org/officeDocument/2006/relationships/hyperlink" Id="rId151" Target="https://legacy.himss.org/news/new-analytics-maturity-adoption-model-pushes-digital-transformation-and-data-driven-decisions" TargetMode="External" /><Relationship Type="http://schemas.openxmlformats.org/officeDocument/2006/relationships/hyperlink" Id="rId212" Target="https://link.springer.com/article/10.1007/s10916-020-01665-9" TargetMode="External" /><Relationship Type="http://schemas.openxmlformats.org/officeDocument/2006/relationships/hyperlink" Id="rId232" Target="https://link.springer.com/article/10.1186/s12911-021-01470-5" TargetMode="External" /><Relationship Type="http://schemas.openxmlformats.org/officeDocument/2006/relationships/hyperlink" Id="rId240" Target="https://link.springer.com/article/10.1186/s12913-017-2697-y" TargetMode="External" /><Relationship Type="http://schemas.openxmlformats.org/officeDocument/2006/relationships/hyperlink" Id="rId145" Target="https://link.springer.com/content/pdf/10.1007/s10462-022-10246-w.pdf" TargetMode="External" /><Relationship Type="http://schemas.openxmlformats.org/officeDocument/2006/relationships/hyperlink" Id="rId369" Target="https://mail.vldb.org/archives/website/2005/program/paper/fri/p1006-yu.pdf" TargetMode="External" /><Relationship Type="http://schemas.openxmlformats.org/officeDocument/2006/relationships/hyperlink" Id="rId328" Target="https://mds.marshall.edu/etd/1824/" TargetMode="External" /><Relationship Type="http://schemas.openxmlformats.org/officeDocument/2006/relationships/hyperlink" Id="rId194" Target="https://medicalbuyer.co.in/2-medical-groups-in-saudi-arabia-achieve-stage-7-digital-maturity/" TargetMode="External" /><Relationship Type="http://schemas.openxmlformats.org/officeDocument/2006/relationships/hyperlink" Id="rId298" Target="https://medinform.jmir.org/2019/3/e13331" TargetMode="External" /><Relationship Type="http://schemas.openxmlformats.org/officeDocument/2006/relationships/hyperlink" Id="rId228" Target="https://medinform.jmir.org/2020/11/e19612/" TargetMode="External" /><Relationship Type="http://schemas.openxmlformats.org/officeDocument/2006/relationships/hyperlink" Id="rId357" Target="https://medinform.jmir.org/2022/2/e32875" TargetMode="External" /><Relationship Type="http://schemas.openxmlformats.org/officeDocument/2006/relationships/hyperlink" Id="rId163" Target="https://newsroom.ibm.com/2022-01-21-Francisco-Partners-to-Acquire-IBMs-Healthcare-Data-and-Analytics-Assets" TargetMode="External" /><Relationship Type="http://schemas.openxmlformats.org/officeDocument/2006/relationships/hyperlink" Id="rId218" Target="https://onlinelibrary.wiley.com/doi/abs/10.1002/smr.2415" TargetMode="External" /><Relationship Type="http://schemas.openxmlformats.org/officeDocument/2006/relationships/hyperlink" Id="rId173" Target="https://onlinelibrary.wiley.com/doi/abs/10.1057/palgrave.emr.1500057" TargetMode="External" /><Relationship Type="http://schemas.openxmlformats.org/officeDocument/2006/relationships/hyperlink" Id="rId198" Target="https://onlinelibrary.wiley.com/doi/abs/10.1111/1467-8551.12332" TargetMode="External" /><Relationship Type="http://schemas.openxmlformats.org/officeDocument/2006/relationships/hyperlink" Id="rId264" Target="https://onlinelibrary.wiley.com/doi/abs/10.1111/j.1540-5885.2010.00798.x" TargetMode="External" /><Relationship Type="http://schemas.openxmlformats.org/officeDocument/2006/relationships/hyperlink" Id="rId169" Target="https://openurl.ebsco.com/EPDB%3Agcd%3A3%3A34056963/detailv2?sid=ebsco%3Aplink%3Ascholar&amp;id=ebsco%3Agcd%3A121526814" TargetMode="External" /><Relationship Type="http://schemas.openxmlformats.org/officeDocument/2006/relationships/hyperlink" Id="rId348" Target="https://oulurepo.oulu.fi/bitstream/handle/10024/27921/nbnfi-fe2020050424858.pdf" TargetMode="External" /><Relationship Type="http://schemas.openxmlformats.org/officeDocument/2006/relationships/hyperlink" Id="rId359" Target="https://pages.himss.org/LP-HA-Case-Study-UC-Davis.html" TargetMode="External" /><Relationship Type="http://schemas.openxmlformats.org/officeDocument/2006/relationships/hyperlink" Id="rId133" Target="https://papers.ssrn.com/sol3/papers.cfm?abstract_id=5268176" TargetMode="External" /><Relationship Type="http://schemas.openxmlformats.org/officeDocument/2006/relationships/hyperlink" Id="rId258" Target="https://pmc.ncbi.nlm.nih.gov/articles/PMC10243608/" TargetMode="External" /><Relationship Type="http://schemas.openxmlformats.org/officeDocument/2006/relationships/hyperlink" Id="rId244" Target="https://pmc.ncbi.nlm.nih.gov/articles/PMC10802134/" TargetMode="External" /><Relationship Type="http://schemas.openxmlformats.org/officeDocument/2006/relationships/hyperlink" Id="rId246" Target="https://pmc.ncbi.nlm.nih.gov/articles/PMC11919231/" TargetMode="External" /><Relationship Type="http://schemas.openxmlformats.org/officeDocument/2006/relationships/hyperlink" Id="rId256" Target="https://pubmed.ncbi.nlm.nih.gov/20054502/" TargetMode="External" /><Relationship Type="http://schemas.openxmlformats.org/officeDocument/2006/relationships/hyperlink" Id="rId226" Target="https://qualitysafety.bmj.com/content/22/3/219.short" TargetMode="External" /><Relationship Type="http://schemas.openxmlformats.org/officeDocument/2006/relationships/hyperlink" Id="rId127" Target="https://resources.anthropic.com/code-modernization-playbook" TargetMode="External" /><Relationship Type="http://schemas.openxmlformats.org/officeDocument/2006/relationships/hyperlink" Id="rId304" Target="https://sarcouncil.com/2025/06/ai-driven-mainframe-modernization-unlocking-legacy-data-for-cloud-analytics" TargetMode="External" /><Relationship Type="http://schemas.openxmlformats.org/officeDocument/2006/relationships/hyperlink" Id="rId324" Target="https://sarcouncil.com/download-article/SJECS-209-_2025-630-636.pdf" TargetMode="External" /><Relationship Type="http://schemas.openxmlformats.org/officeDocument/2006/relationships/hyperlink" Id="rId204" Target="https://scholarworks.waldenu.edu/cgi/viewcontent.cgi?article=12395&amp;context=dissertations" TargetMode="External" /><Relationship Type="http://schemas.openxmlformats.org/officeDocument/2006/relationships/hyperlink" Id="rId216" Target="https://scholarworks.wmich.edu/ichita_transactions/37/" TargetMode="External" /><Relationship Type="http://schemas.openxmlformats.org/officeDocument/2006/relationships/hyperlink" Id="rId157" Target="https://tei.forrester.com/go/microsoft/powerappstei/?lang=en-us" TargetMode="External" /><Relationship Type="http://schemas.openxmlformats.org/officeDocument/2006/relationships/hyperlink" Id="rId355" Target="https://tools.totaleconomicimpact.com/go/microsoft/powerapps/" TargetMode="External" /><Relationship Type="http://schemas.openxmlformats.org/officeDocument/2006/relationships/hyperlink" Id="rId320" Target="https://wendyju.com/publications/18_ijee3593.pdf" TargetMode="External" /><Relationship Type="http://schemas.openxmlformats.org/officeDocument/2006/relationships/hyperlink" Id="rId316" Target="https://www.academia.edu/download/41283190/Design_and_evaluation_of_systems_to_supp20160117-25708-98zc50.pdf" TargetMode="External" /><Relationship Type="http://schemas.openxmlformats.org/officeDocument/2006/relationships/hyperlink" Id="rId350" Target="https://www.academicradiology.org/article/S1076-6332(21)00140-9/abstract" TargetMode="External" /><Relationship Type="http://schemas.openxmlformats.org/officeDocument/2006/relationships/hyperlink" Id="rId342" Target="https://www.acpjournals.org/doi/10.7326/M19-0871" TargetMode="External" /><Relationship Type="http://schemas.openxmlformats.org/officeDocument/2006/relationships/hyperlink" Id="rId110" Target="https://www.ahima.org/news-publications/press-room-press-releases/2023-press-releases/health-information-workforce-shortages-persist-as-ai-shows-promise-ahima-survey-reveals/" TargetMode="External" /><Relationship Type="http://schemas.openxmlformats.org/officeDocument/2006/relationships/hyperlink" Id="rId131" Target="https://www.allmultidisciplinaryjournal.com/uploads/archives/20250306182550_MGE-2025-2-018.1.pdf" TargetMode="External" /><Relationship Type="http://schemas.openxmlformats.org/officeDocument/2006/relationships/hyperlink" Id="rId250" Target="https://www.annfammed.org/content/17/1/36" TargetMode="External" /><Relationship Type="http://schemas.openxmlformats.org/officeDocument/2006/relationships/hyperlink" Id="rId165" Target="https://www.cnbc.com/2021/01/04/haven-the-amazon-berkshire-jpmorgan-venture-to-disrupt-healthcare-is-disbanding-after-3-years.html" TargetMode="External" /><Relationship Type="http://schemas.openxmlformats.org/officeDocument/2006/relationships/hyperlink" Id="rId260" Target="https://www.diva-portal.org/smash/record.jsf?pid=diva2:1684142" TargetMode="External" /><Relationship Type="http://schemas.openxmlformats.org/officeDocument/2006/relationships/hyperlink" Id="rId179" Target="https://www.emerald.com/insight/content/doi/10.1108/13673270610650067/full/html" TargetMode="External" /><Relationship Type="http://schemas.openxmlformats.org/officeDocument/2006/relationships/hyperlink" Id="rId183" Target="https://www.emerald.com/insight/content/doi/10.1108/JKM-03-2024-0262/full/html" TargetMode="External" /><Relationship Type="http://schemas.openxmlformats.org/officeDocument/2006/relationships/hyperlink" Id="rId300" Target="https://www.frontiersin.org/articles/10.3389/fdata.2024.1371680" TargetMode="External" /><Relationship Type="http://schemas.openxmlformats.org/officeDocument/2006/relationships/hyperlink" Id="rId177" Target="https://www.frontiersin.org/articles/10.3389/fpsyg.2019.02730" TargetMode="External" /><Relationship Type="http://schemas.openxmlformats.org/officeDocument/2006/relationships/hyperlink" Id="rId306" Target="https://www.google.com/books/edition/ADVANCING_SELFSERVICE_BI_The_Rise_of_Aut/np01EQAAQBAJ" TargetMode="External" /><Relationship Type="http://schemas.openxmlformats.org/officeDocument/2006/relationships/hyperlink" Id="rId210" Target="https://www.health.org.uk/publications/understanding-analytical-capability-in-health-care" TargetMode="External" /><Relationship Type="http://schemas.openxmlformats.org/officeDocument/2006/relationships/hyperlink" Id="rId114" Target="https://www.healthcareitnews.com/news/asia/himss24-apac-adoption-model-analytics-maturity-gets-facelift" TargetMode="External" /><Relationship Type="http://schemas.openxmlformats.org/officeDocument/2006/relationships/hyperlink" Id="rId153" Target="https://www.healthcatalyst.com/learn/insights/healthcare-analytics-adoption-model-roadmap-analytic-maturity" TargetMode="External" /><Relationship Type="http://schemas.openxmlformats.org/officeDocument/2006/relationships/hyperlink" Id="rId112" Target="https://www.himss.org/maturity-models/amam/" TargetMode="External" /><Relationship Type="http://schemas.openxmlformats.org/officeDocument/2006/relationships/hyperlink" Id="rId118" Target="https://www.himss.org/resources/the-future-of-workforce/" TargetMode="External" /><Relationship Type="http://schemas.openxmlformats.org/officeDocument/2006/relationships/hyperlink" Id="rId135" Target="https://www.ingentaconnect.com/content/hsp/mih/2024/00000008/00000004/art00006" TargetMode="External" /><Relationship Type="http://schemas.openxmlformats.org/officeDocument/2006/relationships/hyperlink" Id="rId238" Target="https://www.jmir.org/2022/1/e25440/" TargetMode="External" /><Relationship Type="http://schemas.openxmlformats.org/officeDocument/2006/relationships/hyperlink" Id="rId196" Target="https://www.jmir.org/2024/1/e56316" TargetMode="External" /><Relationship Type="http://schemas.openxmlformats.org/officeDocument/2006/relationships/hyperlink" Id="rId318" Target="https://www.mdpi.com/1660-4601/17/12/4267" TargetMode="External" /><Relationship Type="http://schemas.openxmlformats.org/officeDocument/2006/relationships/hyperlink" Id="rId200" Target="https://www.mdpi.com/2227-9032/13/1/1" TargetMode="External" /><Relationship Type="http://schemas.openxmlformats.org/officeDocument/2006/relationships/hyperlink" Id="rId278" Target="https://www.mdpi.com/2504-2289/9/10/256" TargetMode="External" /><Relationship Type="http://schemas.openxmlformats.org/officeDocument/2006/relationships/hyperlink" Id="rId206" Target="https://www.nature.com/articles/s41746-019-0118-9" TargetMode="External" /><Relationship Type="http://schemas.openxmlformats.org/officeDocument/2006/relationships/hyperlink" Id="rId276" Target="https://www.nature.com/articles/s41746-024-01390-4" TargetMode="External" /><Relationship Type="http://schemas.openxmlformats.org/officeDocument/2006/relationships/hyperlink" Id="rId252" Target="https://www.nsinursingsolutions.com/documents/library/nsi_national_health_care_retention_report.pdf" TargetMode="External" /><Relationship Type="http://schemas.openxmlformats.org/officeDocument/2006/relationships/hyperlink" Id="rId124" Target="https://www.nyulawreview.org/issues/volume-94-number-4/data-standardization/" TargetMode="External" /><Relationship Type="http://schemas.openxmlformats.org/officeDocument/2006/relationships/hyperlink" Id="rId159" Target="https://www.oracle.com/human-capital-management/cost-employee-turnover-healthcare/" TargetMode="External" /><Relationship Type="http://schemas.openxmlformats.org/officeDocument/2006/relationships/hyperlink" Id="rId161" Target="https://www.precedenceresearch.com/healthcare-analytics-market" TargetMode="External" /><Relationship Type="http://schemas.openxmlformats.org/officeDocument/2006/relationships/hyperlink" Id="rId192" Target="https://www.prnewswire.com/news-releases/taiwans-first-hospital-to-achieve-amam-stage-7-certification-302390824.html" TargetMode="External" /><Relationship Type="http://schemas.openxmlformats.org/officeDocument/2006/relationships/hyperlink" Id="rId302" Target="https://www.proquest.com/openview/0d955ee8209664a4447c9995a1b9e721/1?pq-origsite=gscholar&amp;cbl=326365" TargetMode="External" /><Relationship Type="http://schemas.openxmlformats.org/officeDocument/2006/relationships/hyperlink" Id="rId367" Target="https://www.quantbeckman.com/api/v1/file/5b240742-bf0d-4f8c-a0f9-cb29fab42611.pdf" TargetMode="External" /><Relationship Type="http://schemas.openxmlformats.org/officeDocument/2006/relationships/hyperlink" Id="rId262" Target="https://www.redjournal.org/article/S0360-3016(16)00260-1/fulltext" TargetMode="External" /><Relationship Type="http://schemas.openxmlformats.org/officeDocument/2006/relationships/hyperlink" Id="rId185" Target="https://www.sciencedirect.com/science/article/abs/pii/S0040162516000500" TargetMode="External" /><Relationship Type="http://schemas.openxmlformats.org/officeDocument/2006/relationships/hyperlink" Id="rId187" Target="https://www.sciencedirect.com/science/article/abs/pii/S0148296316304891" TargetMode="External" /><Relationship Type="http://schemas.openxmlformats.org/officeDocument/2006/relationships/hyperlink" Id="rId220" Target="https://www.sciencedirect.com/science/article/abs/pii/S0268401216305655" TargetMode="External" /><Relationship Type="http://schemas.openxmlformats.org/officeDocument/2006/relationships/hyperlink" Id="rId230" Target="https://www.sciencedirect.com/science/article/abs/pii/S1386505618300443" TargetMode="External" /><Relationship Type="http://schemas.openxmlformats.org/officeDocument/2006/relationships/hyperlink" Id="rId286" Target="https://www.sciencedirect.com/science/article/pii/S0031320324008197" TargetMode="External" /><Relationship Type="http://schemas.openxmlformats.org/officeDocument/2006/relationships/hyperlink" Id="rId344" Target="https://www.sciencedirect.com/science/article/pii/S0168851021002396" TargetMode="External" /><Relationship Type="http://schemas.openxmlformats.org/officeDocument/2006/relationships/hyperlink" Id="rId208" Target="https://www.sciencedirect.com/science/article/pii/S1386505623001405" TargetMode="External" /><Relationship Type="http://schemas.openxmlformats.org/officeDocument/2006/relationships/hyperlink" Id="rId202" Target="https://www.sciencedirect.com/science/article/pii/S1386505624001916" TargetMode="External" /><Relationship Type="http://schemas.openxmlformats.org/officeDocument/2006/relationships/hyperlink" Id="rId296" Target="https://www.sciencedirect.com/science/article/pii/S1532046414001592" TargetMode="External" /><Relationship Type="http://schemas.openxmlformats.org/officeDocument/2006/relationships/hyperlink" Id="rId290" Target="https://www.sciencedirect.com/science/article/pii/S1532046424000650" TargetMode="External" /><Relationship Type="http://schemas.openxmlformats.org/officeDocument/2006/relationships/hyperlink" Id="rId141" Target="https://www.tandfonline.com/doi/full/10.1080/20479700.2018.1531606" TargetMode="External" /><Relationship Type="http://schemas.openxmlformats.org/officeDocument/2006/relationships/hyperlink" Id="rId371"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43" Target="https://www.tdx.cat/bitstream/handle/10803/695722/TGJBR1de1.pdf?sequence=1" TargetMode="External" /><Relationship Type="http://schemas.openxmlformats.org/officeDocument/2006/relationships/hyperlink" Id="rId190"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34" Target="https://academic.oup.com/database/article/doi/10.1093/database/bav121/2630096" TargetMode="External" /><Relationship Type="http://schemas.openxmlformats.org/officeDocument/2006/relationships/hyperlink" Id="rId268" Target="https://academic.oup.com/jamia/article-abstract/26/4/294/5308980" TargetMode="External" /><Relationship Type="http://schemas.openxmlformats.org/officeDocument/2006/relationships/hyperlink" Id="rId224" Target="https://academic.oup.com/jamia/article-abstract/9/6/600/1036696" TargetMode="External" /><Relationship Type="http://schemas.openxmlformats.org/officeDocument/2006/relationships/hyperlink" Id="rId340" Target="https://academic.oup.com/jamia/article/14/6/687/750453" TargetMode="External" /><Relationship Type="http://schemas.openxmlformats.org/officeDocument/2006/relationships/hyperlink" Id="rId248" Target="https://academic.oup.com/jpart/advance-article-abstract/doi/10.1093/jopart/muaf019/8162522" TargetMode="External" /><Relationship Type="http://schemas.openxmlformats.org/officeDocument/2006/relationships/hyperlink" Id="rId120" Target="https://academic.oup.com/jpubhealth" TargetMode="External" /><Relationship Type="http://schemas.openxmlformats.org/officeDocument/2006/relationships/hyperlink" Id="rId274" Target="https://ai.nejm.org/doi/full/10.1056/AIdbp2500144" TargetMode="External" /><Relationship Type="http://schemas.openxmlformats.org/officeDocument/2006/relationships/hyperlink" Id="rId288" Target="https://al-kindipublisher.com/index.php/jcsts/article/view/9694" TargetMode="External" /><Relationship Type="http://schemas.openxmlformats.org/officeDocument/2006/relationships/hyperlink" Id="rId116" Target="https://api.wittkieffer.com/wp-content/uploads/2012/10/cio-insights-the-state-of-healthcare-it-leadership-wittkieffer-october-2024.pdf" TargetMode="External" /><Relationship Type="http://schemas.openxmlformats.org/officeDocument/2006/relationships/hyperlink" Id="rId266" Target="https://arxiv.org/abs/1908.01839" TargetMode="External" /><Relationship Type="http://schemas.openxmlformats.org/officeDocument/2006/relationships/hyperlink" Id="rId280" Target="https://arxiv.org/abs/2301.07695" TargetMode="External" /><Relationship Type="http://schemas.openxmlformats.org/officeDocument/2006/relationships/hyperlink" Id="rId147" Target="https://arxiv.org/abs/2403.09226" TargetMode="External" /><Relationship Type="http://schemas.openxmlformats.org/officeDocument/2006/relationships/hyperlink" Id="rId282" Target="https://arxiv.org/abs/2411.05521" TargetMode="External" /><Relationship Type="http://schemas.openxmlformats.org/officeDocument/2006/relationships/hyperlink" Id="rId272" Target="https://arxiv.org/abs/2505.08775" TargetMode="External" /><Relationship Type="http://schemas.openxmlformats.org/officeDocument/2006/relationships/hyperlink" Id="rId270" Target="https://arxiv.org/abs/2508.08224" TargetMode="External" /><Relationship Type="http://schemas.openxmlformats.org/officeDocument/2006/relationships/hyperlink" Id="rId292" Target="https://arxiv.org/abs/2511.14718" TargetMode="External" /><Relationship Type="http://schemas.openxmlformats.org/officeDocument/2006/relationships/hyperlink" Id="rId284" Target="https://arxiv.org/abs/2511.17559" TargetMode="External" /><Relationship Type="http://schemas.openxmlformats.org/officeDocument/2006/relationships/hyperlink" Id="rId363" Target="https://arxiv.org/pdf/2311.02082" TargetMode="External" /><Relationship Type="http://schemas.openxmlformats.org/officeDocument/2006/relationships/hyperlink" Id="rId322" Target="https://bioinform.jmir.org/2025/1/e63139" TargetMode="External" /><Relationship Type="http://schemas.openxmlformats.org/officeDocument/2006/relationships/hyperlink" Id="rId365" Target="https://books.google.com/books?id=9uqiEAAAQBAJ" TargetMode="External" /><Relationship Type="http://schemas.openxmlformats.org/officeDocument/2006/relationships/hyperlink" Id="rId122" Target="https://dl.acm.org/doi/10.1145/1017114.1017118" TargetMode="External" /><Relationship Type="http://schemas.openxmlformats.org/officeDocument/2006/relationships/hyperlink" Id="rId129" Target="https://dl.acm.org/doi/abs/10.1145/320251.320253" TargetMode="External" /><Relationship Type="http://schemas.openxmlformats.org/officeDocument/2006/relationships/hyperlink" Id="rId294" Target="https://dl.acm.org/doi/abs/10.1145/3318464.3389777" TargetMode="External" /><Relationship Type="http://schemas.openxmlformats.org/officeDocument/2006/relationships/hyperlink" Id="rId314" Target="https://dl.acm.org/doi/abs/10.1145/3335082.3335094" TargetMode="External" /><Relationship Type="http://schemas.openxmlformats.org/officeDocument/2006/relationships/hyperlink" Id="rId379" Target="https://doi.org/10.1007/s10257-020-00472-y" TargetMode="External" /><Relationship Type="http://schemas.openxmlformats.org/officeDocument/2006/relationships/hyperlink" Id="rId181" Target="https://doi.org/10.1016/j.ijinfomgt.2003.12.012" TargetMode="External" /><Relationship Type="http://schemas.openxmlformats.org/officeDocument/2006/relationships/hyperlink" Id="rId214" Target="https://doi.org/10.1016/j.ijinfomgt.2018.07.001" TargetMode="External" /><Relationship Type="http://schemas.openxmlformats.org/officeDocument/2006/relationships/hyperlink" Id="rId361" Target="https://doi.org/10.1016/j.ijmedinf.2006.05.008" TargetMode="External" /><Relationship Type="http://schemas.openxmlformats.org/officeDocument/2006/relationships/hyperlink" Id="rId175" Target="https://doi.org/10.1108/JKM-08-2016-0338" TargetMode="External" /><Relationship Type="http://schemas.openxmlformats.org/officeDocument/2006/relationships/hyperlink" Id="rId308" Target="https://doi.org/10.1145/3670653.3670660" TargetMode="External" /><Relationship Type="http://schemas.openxmlformats.org/officeDocument/2006/relationships/hyperlink" Id="rId171" Target="https://doi.org/10.1177/0165551506070706" TargetMode="External" /><Relationship Type="http://schemas.openxmlformats.org/officeDocument/2006/relationships/hyperlink" Id="rId167" Target="https://doi.org/10.1201/9781003188162" TargetMode="External" /><Relationship Type="http://schemas.openxmlformats.org/officeDocument/2006/relationships/hyperlink" Id="rId377" Target="https://doi.org/10.1287/inte.17.3.25" TargetMode="External" /><Relationship Type="http://schemas.openxmlformats.org/officeDocument/2006/relationships/hyperlink" Id="rId310" Target="https://doi.org/10.17705/1jais.00801" TargetMode="External" /><Relationship Type="http://schemas.openxmlformats.org/officeDocument/2006/relationships/hyperlink" Id="rId375" Target="https://doi.org/10.2308/isys-51517" TargetMode="External" /><Relationship Type="http://schemas.openxmlformats.org/officeDocument/2006/relationships/hyperlink" Id="rId137" Target="https://doi.org/10.25163/business.1110345" TargetMode="External" /><Relationship Type="http://schemas.openxmlformats.org/officeDocument/2006/relationships/hyperlink" Id="rId373" Target="https://doi.org/10.63282/3050-9262.IJAIDSML-V6I4P130" TargetMode="External" /><Relationship Type="http://schemas.openxmlformats.org/officeDocument/2006/relationships/hyperlink" Id="rId149" Target="https://dspace.flinders.edu.au/jspui/bitstream/2328/3326/4/AACODS_Checklist.pdf" TargetMode="External" /><Relationship Type="http://schemas.openxmlformats.org/officeDocument/2006/relationships/hyperlink" Id="rId242" Target="https://ebooks.iospress.nl/volumearticle/35106" TargetMode="External" /><Relationship Type="http://schemas.openxmlformats.org/officeDocument/2006/relationships/hyperlink" Id="rId330" Target="https://gisrrj.com/paper/GISRRJ236426.pdf" TargetMode="External" /><Relationship Type="http://schemas.openxmlformats.org/officeDocument/2006/relationships/hyperlink" Id="rId254" Target="https://human-resources-health.biomedcentral.com/articles/10.1186/1478-4491-11-35" TargetMode="External" /><Relationship Type="http://schemas.openxmlformats.org/officeDocument/2006/relationships/hyperlink" Id="rId155" Target="https://ia.berkshirehealthcare.nhs.uk/citizen-developer-programme" TargetMode="External" /><Relationship Type="http://schemas.openxmlformats.org/officeDocument/2006/relationships/hyperlink" Id="rId334" Target="https://ieeexplore.ieee.org/abstract/document/10373712/" TargetMode="External" /><Relationship Type="http://schemas.openxmlformats.org/officeDocument/2006/relationships/hyperlink" Id="rId236" Target="https://ieeexplore.ieee.org/abstract/document/8104211" TargetMode="External" /><Relationship Type="http://schemas.openxmlformats.org/officeDocument/2006/relationships/hyperlink" Id="rId346" Target="https://ieeexplore.ieee.org/abstract/document/8678513/" TargetMode="External" /><Relationship Type="http://schemas.openxmlformats.org/officeDocument/2006/relationships/hyperlink" Id="rId312" Target="https://ieeexplore.ieee.org/abstract/document/9303381" TargetMode="External" /><Relationship Type="http://schemas.openxmlformats.org/officeDocument/2006/relationships/hyperlink" Id="rId326" Target="https://ieeexplore.ieee.org/document/10186753" TargetMode="External" /><Relationship Type="http://schemas.openxmlformats.org/officeDocument/2006/relationships/hyperlink" Id="rId332" Target="https://ieeexplore.ieee.org/document/10297311" TargetMode="External" /><Relationship Type="http://schemas.openxmlformats.org/officeDocument/2006/relationships/hyperlink" Id="rId336" Target="https://imjstb.com/index.php/Journal/article/view/95" TargetMode="External" /><Relationship Type="http://schemas.openxmlformats.org/officeDocument/2006/relationships/hyperlink" Id="rId222" Target="https://jamanetwork.com/journals/jamanetworkopen/fullarticle/2777777" TargetMode="External" /><Relationship Type="http://schemas.openxmlformats.org/officeDocument/2006/relationships/hyperlink" Id="rId139" Target="https://journalofbigdata.springeropen.com/articles/10.1186/s40537-019-0170-y" TargetMode="External" /><Relationship Type="http://schemas.openxmlformats.org/officeDocument/2006/relationships/hyperlink" Id="rId352" Target="https://journals.sagepub.com/doi/abs/10.1177/00081256221094307" TargetMode="External" /><Relationship Type="http://schemas.openxmlformats.org/officeDocument/2006/relationships/hyperlink" Id="rId338" Target="https://journals.sagepub.com/doi/full/10.1177/23743735241253785" TargetMode="External" /><Relationship Type="http://schemas.openxmlformats.org/officeDocument/2006/relationships/hyperlink" Id="rId151" Target="https://legacy.himss.org/news/new-analytics-maturity-adoption-model-pushes-digital-transformation-and-data-driven-decisions" TargetMode="External" /><Relationship Type="http://schemas.openxmlformats.org/officeDocument/2006/relationships/hyperlink" Id="rId212" Target="https://link.springer.com/article/10.1007/s10916-020-01665-9" TargetMode="External" /><Relationship Type="http://schemas.openxmlformats.org/officeDocument/2006/relationships/hyperlink" Id="rId232" Target="https://link.springer.com/article/10.1186/s12911-021-01470-5" TargetMode="External" /><Relationship Type="http://schemas.openxmlformats.org/officeDocument/2006/relationships/hyperlink" Id="rId240" Target="https://link.springer.com/article/10.1186/s12913-017-2697-y" TargetMode="External" /><Relationship Type="http://schemas.openxmlformats.org/officeDocument/2006/relationships/hyperlink" Id="rId145" Target="https://link.springer.com/content/pdf/10.1007/s10462-022-10246-w.pdf" TargetMode="External" /><Relationship Type="http://schemas.openxmlformats.org/officeDocument/2006/relationships/hyperlink" Id="rId369" Target="https://mail.vldb.org/archives/website/2005/program/paper/fri/p1006-yu.pdf" TargetMode="External" /><Relationship Type="http://schemas.openxmlformats.org/officeDocument/2006/relationships/hyperlink" Id="rId328" Target="https://mds.marshall.edu/etd/1824/" TargetMode="External" /><Relationship Type="http://schemas.openxmlformats.org/officeDocument/2006/relationships/hyperlink" Id="rId194" Target="https://medicalbuyer.co.in/2-medical-groups-in-saudi-arabia-achieve-stage-7-digital-maturity/" TargetMode="External" /><Relationship Type="http://schemas.openxmlformats.org/officeDocument/2006/relationships/hyperlink" Id="rId298" Target="https://medinform.jmir.org/2019/3/e13331" TargetMode="External" /><Relationship Type="http://schemas.openxmlformats.org/officeDocument/2006/relationships/hyperlink" Id="rId228" Target="https://medinform.jmir.org/2020/11/e19612/" TargetMode="External" /><Relationship Type="http://schemas.openxmlformats.org/officeDocument/2006/relationships/hyperlink" Id="rId357" Target="https://medinform.jmir.org/2022/2/e32875" TargetMode="External" /><Relationship Type="http://schemas.openxmlformats.org/officeDocument/2006/relationships/hyperlink" Id="rId163" Target="https://newsroom.ibm.com/2022-01-21-Francisco-Partners-to-Acquire-IBMs-Healthcare-Data-and-Analytics-Assets" TargetMode="External" /><Relationship Type="http://schemas.openxmlformats.org/officeDocument/2006/relationships/hyperlink" Id="rId218" Target="https://onlinelibrary.wiley.com/doi/abs/10.1002/smr.2415" TargetMode="External" /><Relationship Type="http://schemas.openxmlformats.org/officeDocument/2006/relationships/hyperlink" Id="rId173" Target="https://onlinelibrary.wiley.com/doi/abs/10.1057/palgrave.emr.1500057" TargetMode="External" /><Relationship Type="http://schemas.openxmlformats.org/officeDocument/2006/relationships/hyperlink" Id="rId198" Target="https://onlinelibrary.wiley.com/doi/abs/10.1111/1467-8551.12332" TargetMode="External" /><Relationship Type="http://schemas.openxmlformats.org/officeDocument/2006/relationships/hyperlink" Id="rId264" Target="https://onlinelibrary.wiley.com/doi/abs/10.1111/j.1540-5885.2010.00798.x" TargetMode="External" /><Relationship Type="http://schemas.openxmlformats.org/officeDocument/2006/relationships/hyperlink" Id="rId169" Target="https://openurl.ebsco.com/EPDB%3Agcd%3A3%3A34056963/detailv2?sid=ebsco%3Aplink%3Ascholar&amp;id=ebsco%3Agcd%3A121526814" TargetMode="External" /><Relationship Type="http://schemas.openxmlformats.org/officeDocument/2006/relationships/hyperlink" Id="rId348" Target="https://oulurepo.oulu.fi/bitstream/handle/10024/27921/nbnfi-fe2020050424858.pdf" TargetMode="External" /><Relationship Type="http://schemas.openxmlformats.org/officeDocument/2006/relationships/hyperlink" Id="rId359" Target="https://pages.himss.org/LP-HA-Case-Study-UC-Davis.html" TargetMode="External" /><Relationship Type="http://schemas.openxmlformats.org/officeDocument/2006/relationships/hyperlink" Id="rId133" Target="https://papers.ssrn.com/sol3/papers.cfm?abstract_id=5268176" TargetMode="External" /><Relationship Type="http://schemas.openxmlformats.org/officeDocument/2006/relationships/hyperlink" Id="rId258" Target="https://pmc.ncbi.nlm.nih.gov/articles/PMC10243608/" TargetMode="External" /><Relationship Type="http://schemas.openxmlformats.org/officeDocument/2006/relationships/hyperlink" Id="rId244" Target="https://pmc.ncbi.nlm.nih.gov/articles/PMC10802134/" TargetMode="External" /><Relationship Type="http://schemas.openxmlformats.org/officeDocument/2006/relationships/hyperlink" Id="rId246" Target="https://pmc.ncbi.nlm.nih.gov/articles/PMC11919231/" TargetMode="External" /><Relationship Type="http://schemas.openxmlformats.org/officeDocument/2006/relationships/hyperlink" Id="rId256" Target="https://pubmed.ncbi.nlm.nih.gov/20054502/" TargetMode="External" /><Relationship Type="http://schemas.openxmlformats.org/officeDocument/2006/relationships/hyperlink" Id="rId226" Target="https://qualitysafety.bmj.com/content/22/3/219.short" TargetMode="External" /><Relationship Type="http://schemas.openxmlformats.org/officeDocument/2006/relationships/hyperlink" Id="rId127" Target="https://resources.anthropic.com/code-modernization-playbook" TargetMode="External" /><Relationship Type="http://schemas.openxmlformats.org/officeDocument/2006/relationships/hyperlink" Id="rId304" Target="https://sarcouncil.com/2025/06/ai-driven-mainframe-modernization-unlocking-legacy-data-for-cloud-analytics" TargetMode="External" /><Relationship Type="http://schemas.openxmlformats.org/officeDocument/2006/relationships/hyperlink" Id="rId324" Target="https://sarcouncil.com/download-article/SJECS-209-_2025-630-636.pdf" TargetMode="External" /><Relationship Type="http://schemas.openxmlformats.org/officeDocument/2006/relationships/hyperlink" Id="rId204" Target="https://scholarworks.waldenu.edu/cgi/viewcontent.cgi?article=12395&amp;context=dissertations" TargetMode="External" /><Relationship Type="http://schemas.openxmlformats.org/officeDocument/2006/relationships/hyperlink" Id="rId216" Target="https://scholarworks.wmich.edu/ichita_transactions/37/" TargetMode="External" /><Relationship Type="http://schemas.openxmlformats.org/officeDocument/2006/relationships/hyperlink" Id="rId157" Target="https://tei.forrester.com/go/microsoft/powerappstei/?lang=en-us" TargetMode="External" /><Relationship Type="http://schemas.openxmlformats.org/officeDocument/2006/relationships/hyperlink" Id="rId355" Target="https://tools.totaleconomicimpact.com/go/microsoft/powerapps/" TargetMode="External" /><Relationship Type="http://schemas.openxmlformats.org/officeDocument/2006/relationships/hyperlink" Id="rId320" Target="https://wendyju.com/publications/18_ijee3593.pdf" TargetMode="External" /><Relationship Type="http://schemas.openxmlformats.org/officeDocument/2006/relationships/hyperlink" Id="rId316" Target="https://www.academia.edu/download/41283190/Design_and_evaluation_of_systems_to_supp20160117-25708-98zc50.pdf" TargetMode="External" /><Relationship Type="http://schemas.openxmlformats.org/officeDocument/2006/relationships/hyperlink" Id="rId350" Target="https://www.academicradiology.org/article/S1076-6332(21)00140-9/abstract" TargetMode="External" /><Relationship Type="http://schemas.openxmlformats.org/officeDocument/2006/relationships/hyperlink" Id="rId342" Target="https://www.acpjournals.org/doi/10.7326/M19-0871" TargetMode="External" /><Relationship Type="http://schemas.openxmlformats.org/officeDocument/2006/relationships/hyperlink" Id="rId110" Target="https://www.ahima.org/news-publications/press-room-press-releases/2023-press-releases/health-information-workforce-shortages-persist-as-ai-shows-promise-ahima-survey-reveals/" TargetMode="External" /><Relationship Type="http://schemas.openxmlformats.org/officeDocument/2006/relationships/hyperlink" Id="rId131" Target="https://www.allmultidisciplinaryjournal.com/uploads/archives/20250306182550_MGE-2025-2-018.1.pdf" TargetMode="External" /><Relationship Type="http://schemas.openxmlformats.org/officeDocument/2006/relationships/hyperlink" Id="rId250" Target="https://www.annfammed.org/content/17/1/36" TargetMode="External" /><Relationship Type="http://schemas.openxmlformats.org/officeDocument/2006/relationships/hyperlink" Id="rId165" Target="https://www.cnbc.com/2021/01/04/haven-the-amazon-berkshire-jpmorgan-venture-to-disrupt-healthcare-is-disbanding-after-3-years.html" TargetMode="External" /><Relationship Type="http://schemas.openxmlformats.org/officeDocument/2006/relationships/hyperlink" Id="rId260" Target="https://www.diva-portal.org/smash/record.jsf?pid=diva2:1684142" TargetMode="External" /><Relationship Type="http://schemas.openxmlformats.org/officeDocument/2006/relationships/hyperlink" Id="rId179" Target="https://www.emerald.com/insight/content/doi/10.1108/13673270610650067/full/html" TargetMode="External" /><Relationship Type="http://schemas.openxmlformats.org/officeDocument/2006/relationships/hyperlink" Id="rId183" Target="https://www.emerald.com/insight/content/doi/10.1108/JKM-03-2024-0262/full/html" TargetMode="External" /><Relationship Type="http://schemas.openxmlformats.org/officeDocument/2006/relationships/hyperlink" Id="rId300" Target="https://www.frontiersin.org/articles/10.3389/fdata.2024.1371680" TargetMode="External" /><Relationship Type="http://schemas.openxmlformats.org/officeDocument/2006/relationships/hyperlink" Id="rId177" Target="https://www.frontiersin.org/articles/10.3389/fpsyg.2019.02730" TargetMode="External" /><Relationship Type="http://schemas.openxmlformats.org/officeDocument/2006/relationships/hyperlink" Id="rId306" Target="https://www.google.com/books/edition/ADVANCING_SELFSERVICE_BI_The_Rise_of_Aut/np01EQAAQBAJ" TargetMode="External" /><Relationship Type="http://schemas.openxmlformats.org/officeDocument/2006/relationships/hyperlink" Id="rId210" Target="https://www.health.org.uk/publications/understanding-analytical-capability-in-health-care" TargetMode="External" /><Relationship Type="http://schemas.openxmlformats.org/officeDocument/2006/relationships/hyperlink" Id="rId114" Target="https://www.healthcareitnews.com/news/asia/himss24-apac-adoption-model-analytics-maturity-gets-facelift" TargetMode="External" /><Relationship Type="http://schemas.openxmlformats.org/officeDocument/2006/relationships/hyperlink" Id="rId153" Target="https://www.healthcatalyst.com/learn/insights/healthcare-analytics-adoption-model-roadmap-analytic-maturity" TargetMode="External" /><Relationship Type="http://schemas.openxmlformats.org/officeDocument/2006/relationships/hyperlink" Id="rId112" Target="https://www.himss.org/maturity-models/amam/" TargetMode="External" /><Relationship Type="http://schemas.openxmlformats.org/officeDocument/2006/relationships/hyperlink" Id="rId118" Target="https://www.himss.org/resources/the-future-of-workforce/" TargetMode="External" /><Relationship Type="http://schemas.openxmlformats.org/officeDocument/2006/relationships/hyperlink" Id="rId135" Target="https://www.ingentaconnect.com/content/hsp/mih/2024/00000008/00000004/art00006" TargetMode="External" /><Relationship Type="http://schemas.openxmlformats.org/officeDocument/2006/relationships/hyperlink" Id="rId238" Target="https://www.jmir.org/2022/1/e25440/" TargetMode="External" /><Relationship Type="http://schemas.openxmlformats.org/officeDocument/2006/relationships/hyperlink" Id="rId196" Target="https://www.jmir.org/2024/1/e56316" TargetMode="External" /><Relationship Type="http://schemas.openxmlformats.org/officeDocument/2006/relationships/hyperlink" Id="rId318" Target="https://www.mdpi.com/1660-4601/17/12/4267" TargetMode="External" /><Relationship Type="http://schemas.openxmlformats.org/officeDocument/2006/relationships/hyperlink" Id="rId200" Target="https://www.mdpi.com/2227-9032/13/1/1" TargetMode="External" /><Relationship Type="http://schemas.openxmlformats.org/officeDocument/2006/relationships/hyperlink" Id="rId278" Target="https://www.mdpi.com/2504-2289/9/10/256" TargetMode="External" /><Relationship Type="http://schemas.openxmlformats.org/officeDocument/2006/relationships/hyperlink" Id="rId206" Target="https://www.nature.com/articles/s41746-019-0118-9" TargetMode="External" /><Relationship Type="http://schemas.openxmlformats.org/officeDocument/2006/relationships/hyperlink" Id="rId276" Target="https://www.nature.com/articles/s41746-024-01390-4" TargetMode="External" /><Relationship Type="http://schemas.openxmlformats.org/officeDocument/2006/relationships/hyperlink" Id="rId252" Target="https://www.nsinursingsolutions.com/documents/library/nsi_national_health_care_retention_report.pdf" TargetMode="External" /><Relationship Type="http://schemas.openxmlformats.org/officeDocument/2006/relationships/hyperlink" Id="rId124" Target="https://www.nyulawreview.org/issues/volume-94-number-4/data-standardization/" TargetMode="External" /><Relationship Type="http://schemas.openxmlformats.org/officeDocument/2006/relationships/hyperlink" Id="rId159" Target="https://www.oracle.com/human-capital-management/cost-employee-turnover-healthcare/" TargetMode="External" /><Relationship Type="http://schemas.openxmlformats.org/officeDocument/2006/relationships/hyperlink" Id="rId161" Target="https://www.precedenceresearch.com/healthcare-analytics-market" TargetMode="External" /><Relationship Type="http://schemas.openxmlformats.org/officeDocument/2006/relationships/hyperlink" Id="rId192" Target="https://www.prnewswire.com/news-releases/taiwans-first-hospital-to-achieve-amam-stage-7-certification-302390824.html" TargetMode="External" /><Relationship Type="http://schemas.openxmlformats.org/officeDocument/2006/relationships/hyperlink" Id="rId302" Target="https://www.proquest.com/openview/0d955ee8209664a4447c9995a1b9e721/1?pq-origsite=gscholar&amp;cbl=326365" TargetMode="External" /><Relationship Type="http://schemas.openxmlformats.org/officeDocument/2006/relationships/hyperlink" Id="rId367" Target="https://www.quantbeckman.com/api/v1/file/5b240742-bf0d-4f8c-a0f9-cb29fab42611.pdf" TargetMode="External" /><Relationship Type="http://schemas.openxmlformats.org/officeDocument/2006/relationships/hyperlink" Id="rId262" Target="https://www.redjournal.org/article/S0360-3016(16)00260-1/fulltext" TargetMode="External" /><Relationship Type="http://schemas.openxmlformats.org/officeDocument/2006/relationships/hyperlink" Id="rId185" Target="https://www.sciencedirect.com/science/article/abs/pii/S0040162516000500" TargetMode="External" /><Relationship Type="http://schemas.openxmlformats.org/officeDocument/2006/relationships/hyperlink" Id="rId187" Target="https://www.sciencedirect.com/science/article/abs/pii/S0148296316304891" TargetMode="External" /><Relationship Type="http://schemas.openxmlformats.org/officeDocument/2006/relationships/hyperlink" Id="rId220" Target="https://www.sciencedirect.com/science/article/abs/pii/S0268401216305655" TargetMode="External" /><Relationship Type="http://schemas.openxmlformats.org/officeDocument/2006/relationships/hyperlink" Id="rId230" Target="https://www.sciencedirect.com/science/article/abs/pii/S1386505618300443" TargetMode="External" /><Relationship Type="http://schemas.openxmlformats.org/officeDocument/2006/relationships/hyperlink" Id="rId286" Target="https://www.sciencedirect.com/science/article/pii/S0031320324008197" TargetMode="External" /><Relationship Type="http://schemas.openxmlformats.org/officeDocument/2006/relationships/hyperlink" Id="rId344" Target="https://www.sciencedirect.com/science/article/pii/S0168851021002396" TargetMode="External" /><Relationship Type="http://schemas.openxmlformats.org/officeDocument/2006/relationships/hyperlink" Id="rId208" Target="https://www.sciencedirect.com/science/article/pii/S1386505623001405" TargetMode="External" /><Relationship Type="http://schemas.openxmlformats.org/officeDocument/2006/relationships/hyperlink" Id="rId202" Target="https://www.sciencedirect.com/science/article/pii/S1386505624001916" TargetMode="External" /><Relationship Type="http://schemas.openxmlformats.org/officeDocument/2006/relationships/hyperlink" Id="rId296" Target="https://www.sciencedirect.com/science/article/pii/S1532046414001592" TargetMode="External" /><Relationship Type="http://schemas.openxmlformats.org/officeDocument/2006/relationships/hyperlink" Id="rId290" Target="https://www.sciencedirect.com/science/article/pii/S1532046424000650" TargetMode="External" /><Relationship Type="http://schemas.openxmlformats.org/officeDocument/2006/relationships/hyperlink" Id="rId141" Target="https://www.tandfonline.com/doi/full/10.1080/20479700.2018.1531606" TargetMode="External" /><Relationship Type="http://schemas.openxmlformats.org/officeDocument/2006/relationships/hyperlink" Id="rId371"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43" Target="https://www.tdx.cat/bitstream/handle/10803/695722/TGJBR1de1.pdf?sequence=1" TargetMode="External" /><Relationship Type="http://schemas.openxmlformats.org/officeDocument/2006/relationships/hyperlink" Id="rId190"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2026-01-16T03:29:18Z</dcterms:created>
  <dcterms:modified xsi:type="dcterms:W3CDTF">2026-01-16T03:29:18Z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/Users/stharrold/Documents/GitHub/yuimedi-paper-20250901/references.bib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/Users/stharrold/Documents/GitHub/yuimedi-paper-20250901/citation-style.csl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papersize">
    <vt:lpwstr>letter</vt:lpwstr>
  </property>
  <property fmtid="{D5CDD505-2E9C-101B-9397-08002B2CF9AE}" pid="30" name="prevent-widows">
    <vt:lpwstr>True</vt:lpwstr>
  </property>
  <property fmtid="{D5CDD505-2E9C-101B-9397-08002B2CF9AE}" pid="31" name="suppress-bibliography">
    <vt:lpwstr>False</vt:lpwstr>
  </property>
  <property fmtid="{D5CDD505-2E9C-101B-9397-08002B2CF9AE}" pid="32" name="titlepage">
    <vt:lpwstr>True</vt:lpwstr>
  </property>
  <property fmtid="{D5CDD505-2E9C-101B-9397-08002B2CF9AE}" pid="33" name="titlepage-color">
    <vt:lpwstr>FFFFFF</vt:lpwstr>
  </property>
  <property fmtid="{D5CDD505-2E9C-101B-9397-08002B2CF9AE}" pid="34" name="titlepage-rule-color">
    <vt:lpwstr>000000</vt:lpwstr>
  </property>
  <property fmtid="{D5CDD505-2E9C-101B-9397-08002B2CF9AE}" pid="35" name="titlepage-rule-height">
    <vt:lpwstr>2</vt:lpwstr>
  </property>
  <property fmtid="{D5CDD505-2E9C-101B-9397-08002B2CF9AE}" pid="36" name="titlepage-text-color">
    <vt:lpwstr>000000</vt:lpwstr>
  </property>
  <property fmtid="{D5CDD505-2E9C-101B-9397-08002B2CF9AE}" pid="37" name="toc">
    <vt:lpwstr>True</vt:lpwstr>
  </property>
  <property fmtid="{D5CDD505-2E9C-101B-9397-08002B2CF9AE}" pid="38" name="toc-depth">
    <vt:lpwstr>3</vt:lpwstr>
  </property>
  <property fmtid="{D5CDD505-2E9C-101B-9397-08002B2CF9AE}" pid="39" name="urlcolor">
    <vt:lpwstr>blue</vt:lpwstr>
  </property>
  <property fmtid="{D5CDD505-2E9C-101B-9397-08002B2CF9AE}" pid="40" name="version">
    <vt:lpwstr>1.26.0</vt:lpwstr>
  </property>
</Properties>
</file>