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r>
        <w:t xml:space="preserve"> </w:t>
      </w:r>
      <w:r>
        <w:t xml:space="preserve">Inc.</w:t>
      </w:r>
    </w:p>
    <w:p>
      <w:pPr>
        <w:pStyle w:val="Date"/>
      </w:pPr>
      <w:r>
        <w:t xml:space="preserve">March</w:t>
      </w:r>
      <w:r>
        <w:t xml:space="preserve"> </w:t>
      </w:r>
      <w:r>
        <w:t xml:space="preserve">2026</w:t>
      </w:r>
    </w:p>
    <w:p>
      <w:pPr>
        <w:pStyle w:val="AbstractTitle"/>
      </w:pPr>
      <w:r>
        <w:t xml:space="preserve">Abstract</w:t>
      </w:r>
    </w:p>
    <w:p>
      <w:pPr>
        <w:pStyle w:val="Abstract"/>
      </w:pPr>
      <w:r>
        <w:t xml:space="preserve">Healthcare</w:t>
      </w:r>
      <w:r>
        <w:t xml:space="preserve"> </w:t>
      </w:r>
      <w:r>
        <w:t xml:space="preserve">organizations</w:t>
      </w:r>
      <w:r>
        <w:t xml:space="preserve"> </w:t>
      </w:r>
      <w:r>
        <w:t xml:space="preserve">face</w:t>
      </w:r>
      <w:r>
        <w:t xml:space="preserve"> </w:t>
      </w:r>
      <w:r>
        <w:t xml:space="preserve">a</w:t>
      </w:r>
      <w:r>
        <w:t xml:space="preserve"> </w:t>
      </w:r>
      <w:r>
        <w:t xml:space="preserve">“</w:t>
      </w:r>
      <w:r>
        <w:t xml:space="preserve">Triple</w:t>
      </w:r>
      <w:r>
        <w:t xml:space="preserve"> </w:t>
      </w:r>
      <w:r>
        <w:t xml:space="preserve">Threat</w:t>
      </w:r>
      <w:r>
        <w:t xml:space="preserve">”</w:t>
      </w:r>
      <w:r>
        <w:t xml:space="preserve"> </w:t>
      </w:r>
      <w:r>
        <w:t xml:space="preserve">of</w:t>
      </w:r>
      <w:r>
        <w:t xml:space="preserve"> </w:t>
      </w:r>
      <w:r>
        <w:t xml:space="preserve">low</w:t>
      </w:r>
      <w:r>
        <w:t xml:space="preserve"> </w:t>
      </w:r>
      <w:r>
        <w:t xml:space="preserve">analytics</w:t>
      </w:r>
      <w:r>
        <w:t xml:space="preserve"> </w:t>
      </w:r>
      <w:r>
        <w:t xml:space="preserve">maturity,</w:t>
      </w:r>
      <w:r>
        <w:t xml:space="preserve"> </w:t>
      </w:r>
      <w:r>
        <w:t xml:space="preserve">high</w:t>
      </w:r>
      <w:r>
        <w:t xml:space="preserve"> </w:t>
      </w:r>
      <w:r>
        <w:t xml:space="preserve">workforce</w:t>
      </w:r>
      <w:r>
        <w:t xml:space="preserve"> </w:t>
      </w:r>
      <w:r>
        <w:t xml:space="preserve">instability,</w:t>
      </w:r>
      <w:r>
        <w:t xml:space="preserve"> </w:t>
      </w:r>
      <w:r>
        <w:t xml:space="preserve">and</w:t>
      </w:r>
      <w:r>
        <w:t xml:space="preserve"> </w:t>
      </w:r>
      <w:r>
        <w:t xml:space="preserve">semantic</w:t>
      </w:r>
      <w:r>
        <w:t xml:space="preserve"> </w:t>
      </w:r>
      <w:r>
        <w:t xml:space="preserve">technical</w:t>
      </w:r>
      <w:r>
        <w:t xml:space="preserve"> </w:t>
      </w:r>
      <w:r>
        <w:t xml:space="preserve">barriers</w:t>
      </w:r>
      <w:r>
        <w:t xml:space="preserve"> </w:t>
      </w:r>
      <w:r>
        <w:t xml:space="preserve">that</w:t>
      </w:r>
      <w:r>
        <w:t xml:space="preserve"> </w:t>
      </w:r>
      <w:r>
        <w:t xml:space="preserve">together</w:t>
      </w:r>
      <w:r>
        <w:t xml:space="preserve"> </w:t>
      </w:r>
      <w:r>
        <w:t xml:space="preserve">produce</w:t>
      </w:r>
      <w:r>
        <w:t xml:space="preserve"> </w:t>
      </w:r>
      <w:r>
        <w:t xml:space="preserve">a</w:t>
      </w:r>
      <w:r>
        <w:t xml:space="preserve"> </w:t>
      </w:r>
      <w:r>
        <w:t xml:space="preserve">crisis</w:t>
      </w:r>
      <w:r>
        <w:t xml:space="preserve"> </w:t>
      </w:r>
      <w:r>
        <w:t xml:space="preserve">of</w:t>
      </w:r>
      <w:r>
        <w:t xml:space="preserve"> </w:t>
      </w:r>
      <w:r>
        <w:t xml:space="preserve">“</w:t>
      </w:r>
      <w:r>
        <w:t xml:space="preserve">Institutional</w:t>
      </w:r>
      <w:r>
        <w:t xml:space="preserve"> </w:t>
      </w:r>
      <w:r>
        <w:t xml:space="preserve">Amnesia.</w:t>
      </w:r>
      <w:r>
        <w:t xml:space="preserve">”</w:t>
      </w:r>
      <w:r>
        <w:t xml:space="preserve"> </w:t>
      </w:r>
      <w:r>
        <w:t xml:space="preserve">High</w:t>
      </w:r>
      <w:r>
        <w:t xml:space="preserve"> </w:t>
      </w:r>
      <w:r>
        <w:t xml:space="preserve">leadership</w:t>
      </w:r>
      <w:r>
        <w:t xml:space="preserve"> </w:t>
      </w:r>
      <w:r>
        <w:t xml:space="preserve">turnover,</w:t>
      </w:r>
      <w:r>
        <w:t xml:space="preserve"> </w:t>
      </w:r>
      <w:r>
        <w:t xml:space="preserve">persistent</w:t>
      </w:r>
      <w:r>
        <w:t xml:space="preserve"> </w:t>
      </w:r>
      <w:r>
        <w:t xml:space="preserve">digital</w:t>
      </w:r>
      <w:r>
        <w:t xml:space="preserve"> </w:t>
      </w:r>
      <w:r>
        <w:t xml:space="preserve">health</w:t>
      </w:r>
      <w:r>
        <w:t xml:space="preserve"> </w:t>
      </w:r>
      <w:r>
        <w:t xml:space="preserve">workforce</w:t>
      </w:r>
      <w:r>
        <w:t xml:space="preserve"> </w:t>
      </w:r>
      <w:r>
        <w:t xml:space="preserve">shortages,</w:t>
      </w:r>
      <w:r>
        <w:t xml:space="preserve"> </w:t>
      </w:r>
      <w:r>
        <w:t xml:space="preserve">and</w:t>
      </w:r>
      <w:r>
        <w:t xml:space="preserve"> </w:t>
      </w:r>
      <w:r>
        <w:t xml:space="preserve">widespread</w:t>
      </w:r>
      <w:r>
        <w:t xml:space="preserve"> </w:t>
      </w:r>
      <w:r>
        <w:t xml:space="preserve">intent</w:t>
      </w:r>
      <w:r>
        <w:t xml:space="preserve"> </w:t>
      </w:r>
      <w:r>
        <w:t xml:space="preserve">to</w:t>
      </w:r>
      <w:r>
        <w:t xml:space="preserve"> </w:t>
      </w:r>
      <w:r>
        <w:t xml:space="preserve">leave</w:t>
      </w:r>
      <w:r>
        <w:t xml:space="preserve"> </w:t>
      </w:r>
      <w:r>
        <w:t xml:space="preserve">among</w:t>
      </w:r>
      <w:r>
        <w:t xml:space="preserve"> </w:t>
      </w:r>
      <w:r>
        <w:t xml:space="preserve">informatics</w:t>
      </w:r>
      <w:r>
        <w:t xml:space="preserve"> </w:t>
      </w:r>
      <w:r>
        <w:t xml:space="preserve">specialists</w:t>
      </w:r>
      <w:r>
        <w:t xml:space="preserve"> </w:t>
      </w:r>
      <w:r>
        <w:t xml:space="preserve">systematically</w:t>
      </w:r>
      <w:r>
        <w:t xml:space="preserve"> </w:t>
      </w:r>
      <w:r>
        <w:t xml:space="preserve">erase</w:t>
      </w:r>
      <w:r>
        <w:t xml:space="preserve"> </w:t>
      </w:r>
      <w:r>
        <w:t xml:space="preserve">the</w:t>
      </w:r>
      <w:r>
        <w:t xml:space="preserve"> </w:t>
      </w:r>
      <w:r>
        <w:t xml:space="preserve">tacit</w:t>
      </w:r>
      <w:r>
        <w:t xml:space="preserve"> </w:t>
      </w:r>
      <w:r>
        <w:t xml:space="preserve">knowledge</w:t>
      </w:r>
      <w:r>
        <w:t xml:space="preserve"> </w:t>
      </w:r>
      <w:r>
        <w:t xml:space="preserve">required</w:t>
      </w:r>
      <w:r>
        <w:t xml:space="preserve"> </w:t>
      </w:r>
      <w:r>
        <w:t xml:space="preserve">to</w:t>
      </w:r>
      <w:r>
        <w:t xml:space="preserve"> </w:t>
      </w:r>
      <w:r>
        <w:t xml:space="preserve">navigate</w:t>
      </w:r>
      <w:r>
        <w:t xml:space="preserve"> </w:t>
      </w:r>
      <w:r>
        <w:t xml:space="preserve">complex</w:t>
      </w:r>
      <w:r>
        <w:t xml:space="preserve"> </w:t>
      </w:r>
      <w:r>
        <w:t xml:space="preserve">clinical</w:t>
      </w:r>
      <w:r>
        <w:t xml:space="preserve"> </w:t>
      </w:r>
      <w:r>
        <w:t xml:space="preserve">data</w:t>
      </w:r>
      <w:r>
        <w:t xml:space="preserve"> </w:t>
      </w:r>
      <w:r>
        <w:t xml:space="preserve">schemas,</w:t>
      </w:r>
      <w:r>
        <w:t xml:space="preserve"> </w:t>
      </w:r>
      <w:r>
        <w:t xml:space="preserve">trapping</w:t>
      </w:r>
      <w:r>
        <w:t xml:space="preserve"> </w:t>
      </w:r>
      <w:r>
        <w:t xml:space="preserve">organizations</w:t>
      </w:r>
      <w:r>
        <w:t xml:space="preserve"> </w:t>
      </w:r>
      <w:r>
        <w:t xml:space="preserve">in</w:t>
      </w:r>
      <w:r>
        <w:t xml:space="preserve"> </w:t>
      </w:r>
      <w:r>
        <w:t xml:space="preserve">a</w:t>
      </w:r>
      <w:r>
        <w:t xml:space="preserve"> </w:t>
      </w:r>
      <w:r>
        <w:t xml:space="preserve">cycle</w:t>
      </w:r>
      <w:r>
        <w:t xml:space="preserve"> </w:t>
      </w:r>
      <w:r>
        <w:t xml:space="preserve">of</w:t>
      </w:r>
      <w:r>
        <w:t xml:space="preserve"> </w:t>
      </w:r>
      <w:r>
        <w:t xml:space="preserve">low</w:t>
      </w:r>
      <w:r>
        <w:t xml:space="preserve"> </w:t>
      </w:r>
      <w:r>
        <w:t xml:space="preserve">maturity</w:t>
      </w:r>
      <w:r>
        <w:t xml:space="preserve"> </w:t>
      </w:r>
      <w:r>
        <w:t xml:space="preserve">where</w:t>
      </w:r>
      <w:r>
        <w:t xml:space="preserve"> </w:t>
      </w:r>
      <w:r>
        <w:t xml:space="preserve">the</w:t>
      </w:r>
      <w:r>
        <w:t xml:space="preserve"> </w:t>
      </w:r>
      <w:r>
        <w:t xml:space="preserve">rate</w:t>
      </w:r>
      <w:r>
        <w:t xml:space="preserve"> </w:t>
      </w:r>
      <w:r>
        <w:t xml:space="preserve">of</w:t>
      </w:r>
      <w:r>
        <w:t xml:space="preserve"> </w:t>
      </w:r>
      <w:r>
        <w:t xml:space="preserve">knowledge</w:t>
      </w:r>
      <w:r>
        <w:t xml:space="preserve"> </w:t>
      </w:r>
      <w:r>
        <w:t xml:space="preserve">loss</w:t>
      </w:r>
      <w:r>
        <w:t xml:space="preserve"> </w:t>
      </w:r>
      <w:r>
        <w:t xml:space="preserve">exceeds</w:t>
      </w:r>
      <w:r>
        <w:t xml:space="preserve"> </w:t>
      </w:r>
      <w:r>
        <w:t xml:space="preserve">the</w:t>
      </w:r>
      <w:r>
        <w:t xml:space="preserve"> </w:t>
      </w:r>
      <w:r>
        <w:t xml:space="preserve">rate</w:t>
      </w:r>
      <w:r>
        <w:t xml:space="preserve"> </w:t>
      </w:r>
      <w:r>
        <w:t xml:space="preserve">of</w:t>
      </w:r>
      <w:r>
        <w:t xml:space="preserve"> </w:t>
      </w:r>
      <w:r>
        <w:t xml:space="preserve">knowledge</w:t>
      </w:r>
      <w:r>
        <w:t xml:space="preserve"> </w:t>
      </w:r>
      <w:r>
        <w:t xml:space="preserve">capture.</w:t>
      </w:r>
    </w:p>
    <w:p>
      <w:pPr>
        <w:pStyle w:val="Abstract"/>
      </w:pPr>
      <w:r>
        <w:t xml:space="preserve">Viewed</w:t>
      </w:r>
      <w:r>
        <w:t xml:space="preserve"> </w:t>
      </w:r>
      <w:r>
        <w:t xml:space="preserve">through</w:t>
      </w:r>
      <w:r>
        <w:t xml:space="preserve"> </w:t>
      </w:r>
      <w:r>
        <w:t xml:space="preserve">Nonaka’s</w:t>
      </w:r>
      <w:r>
        <w:t xml:space="preserve"> </w:t>
      </w:r>
      <w:r>
        <w:t xml:space="preserve">SECI</w:t>
      </w:r>
      <w:r>
        <w:t xml:space="preserve"> </w:t>
      </w:r>
      <w:r>
        <w:t xml:space="preserve">model</w:t>
      </w:r>
      <w:r>
        <w:t xml:space="preserve"> </w:t>
      </w:r>
      <w:r>
        <w:t xml:space="preserve">of</w:t>
      </w:r>
      <w:r>
        <w:t xml:space="preserve"> </w:t>
      </w:r>
      <w:r>
        <w:t xml:space="preserve">knowledge</w:t>
      </w:r>
      <w:r>
        <w:t xml:space="preserve"> </w:t>
      </w:r>
      <w:r>
        <w:t xml:space="preserve">creation,</w:t>
      </w:r>
      <w:r>
        <w:t xml:space="preserve"> </w:t>
      </w:r>
      <w:r>
        <w:t xml:space="preserve">the</w:t>
      </w:r>
      <w:r>
        <w:t xml:space="preserve"> </w:t>
      </w:r>
      <w:r>
        <w:t xml:space="preserve">root</w:t>
      </w:r>
      <w:r>
        <w:t xml:space="preserve"> </w:t>
      </w:r>
      <w:r>
        <w:t xml:space="preserve">cause</w:t>
      </w:r>
      <w:r>
        <w:t xml:space="preserve"> </w:t>
      </w:r>
      <w:r>
        <w:t xml:space="preserve">is</w:t>
      </w:r>
      <w:r>
        <w:t xml:space="preserve"> </w:t>
      </w:r>
      <w:r>
        <w:t xml:space="preserve">a</w:t>
      </w:r>
      <w:r>
        <w:t xml:space="preserve"> </w:t>
      </w:r>
      <w:r>
        <w:t xml:space="preserve">“</w:t>
      </w:r>
      <w:r>
        <w:t xml:space="preserve">Socialization</w:t>
      </w:r>
      <w:r>
        <w:t xml:space="preserve"> </w:t>
      </w:r>
      <w:r>
        <w:t xml:space="preserve">Failure</w:t>
      </w:r>
      <w:r>
        <w:t xml:space="preserve">”</w:t>
      </w:r>
      <w:r>
        <w:t xml:space="preserve">:</w:t>
      </w:r>
      <w:r>
        <w:t xml:space="preserve"> </w:t>
      </w:r>
      <w:r>
        <w:t xml:space="preserve">high</w:t>
      </w:r>
      <w:r>
        <w:t xml:space="preserve"> </w:t>
      </w:r>
      <w:r>
        <w:t xml:space="preserve">turnover</w:t>
      </w:r>
      <w:r>
        <w:t xml:space="preserve"> </w:t>
      </w:r>
      <w:r>
        <w:t xml:space="preserve">fractures</w:t>
      </w:r>
      <w:r>
        <w:t xml:space="preserve"> </w:t>
      </w:r>
      <w:r>
        <w:t xml:space="preserve">the</w:t>
      </w:r>
      <w:r>
        <w:t xml:space="preserve"> </w:t>
      </w:r>
      <w:r>
        <w:t xml:space="preserve">social</w:t>
      </w:r>
      <w:r>
        <w:t xml:space="preserve"> </w:t>
      </w:r>
      <w:r>
        <w:t xml:space="preserve">networks</w:t>
      </w:r>
      <w:r>
        <w:t xml:space="preserve"> </w:t>
      </w:r>
      <w:r>
        <w:t xml:space="preserve">required</w:t>
      </w:r>
      <w:r>
        <w:t xml:space="preserve"> </w:t>
      </w:r>
      <w:r>
        <w:t xml:space="preserve">for</w:t>
      </w:r>
      <w:r>
        <w:t xml:space="preserve"> </w:t>
      </w:r>
      <w:r>
        <w:t xml:space="preserve">mentorship,</w:t>
      </w:r>
      <w:r>
        <w:t xml:space="preserve"> </w:t>
      </w:r>
      <w:r>
        <w:t xml:space="preserve">rendering</w:t>
      </w:r>
      <w:r>
        <w:t xml:space="preserve"> </w:t>
      </w:r>
      <w:r>
        <w:t xml:space="preserve">the</w:t>
      </w:r>
      <w:r>
        <w:t xml:space="preserve"> </w:t>
      </w:r>
      <w:r>
        <w:t xml:space="preserve">traditional</w:t>
      </w:r>
      <w:r>
        <w:t xml:space="preserve"> </w:t>
      </w:r>
      <w:r>
        <w:t xml:space="preserve">apprenticeship</w:t>
      </w:r>
      <w:r>
        <w:t xml:space="preserve"> </w:t>
      </w:r>
      <w:r>
        <w:t xml:space="preserve">model</w:t>
      </w:r>
      <w:r>
        <w:t xml:space="preserve"> </w:t>
      </w:r>
      <w:r>
        <w:t xml:space="preserve">of</w:t>
      </w:r>
      <w:r>
        <w:t xml:space="preserve"> </w:t>
      </w:r>
      <w:r>
        <w:t xml:space="preserve">informatics</w:t>
      </w:r>
      <w:r>
        <w:t xml:space="preserve"> </w:t>
      </w:r>
      <w:r>
        <w:t xml:space="preserve">unsustainable.</w:t>
      </w:r>
      <w:r>
        <w:t xml:space="preserve"> </w:t>
      </w:r>
      <w:r>
        <w:t xml:space="preserve">To</w:t>
      </w:r>
      <w:r>
        <w:t xml:space="preserve"> </w:t>
      </w:r>
      <w:r>
        <w:t xml:space="preserve">address</w:t>
      </w:r>
      <w:r>
        <w:t xml:space="preserve"> </w:t>
      </w:r>
      <w:r>
        <w:t xml:space="preserve">this</w:t>
      </w:r>
      <w:r>
        <w:t xml:space="preserve"> </w:t>
      </w:r>
      <w:r>
        <w:t xml:space="preserve">failure,</w:t>
      </w:r>
      <w:r>
        <w:t xml:space="preserve"> </w:t>
      </w:r>
      <w:r>
        <w:t xml:space="preserve">we</w:t>
      </w:r>
      <w:r>
        <w:t xml:space="preserve"> </w:t>
      </w:r>
      <w:r>
        <w:t xml:space="preserve">employ</w:t>
      </w:r>
      <w:r>
        <w:t xml:space="preserve"> </w:t>
      </w:r>
      <w:r>
        <w:t xml:space="preserve">a</w:t>
      </w:r>
      <w:r>
        <w:t xml:space="preserve"> </w:t>
      </w:r>
      <w:r>
        <w:t xml:space="preserve">Design</w:t>
      </w:r>
      <w:r>
        <w:t xml:space="preserve"> </w:t>
      </w:r>
      <w:r>
        <w:t xml:space="preserve">Science</w:t>
      </w:r>
      <w:r>
        <w:t xml:space="preserve"> </w:t>
      </w:r>
      <w:r>
        <w:t xml:space="preserve">Research</w:t>
      </w:r>
      <w:r>
        <w:t xml:space="preserve"> </w:t>
      </w:r>
      <w:r>
        <w:t xml:space="preserve">(DSR)</w:t>
      </w:r>
      <w:r>
        <w:t xml:space="preserve"> </w:t>
      </w:r>
      <w:r>
        <w:t xml:space="preserve">approach,</w:t>
      </w:r>
      <w:r>
        <w:t xml:space="preserve"> </w:t>
      </w:r>
      <w:r>
        <w:t xml:space="preserve">synthesizing</w:t>
      </w:r>
      <w:r>
        <w:t xml:space="preserve"> </w:t>
      </w:r>
      <w:r>
        <w:t xml:space="preserve">evidence</w:t>
      </w:r>
      <w:r>
        <w:t xml:space="preserve"> </w:t>
      </w:r>
      <w:r>
        <w:t xml:space="preserve">from</w:t>
      </w:r>
      <w:r>
        <w:t xml:space="preserve"> </w:t>
      </w:r>
      <w:r>
        <w:t xml:space="preserve">healthcare</w:t>
      </w:r>
      <w:r>
        <w:t xml:space="preserve"> </w:t>
      </w:r>
      <w:r>
        <w:t xml:space="preserve">informatics,</w:t>
      </w:r>
      <w:r>
        <w:t xml:space="preserve"> </w:t>
      </w:r>
      <w:r>
        <w:t xml:space="preserve">knowledge</w:t>
      </w:r>
      <w:r>
        <w:t xml:space="preserve"> </w:t>
      </w:r>
      <w:r>
        <w:t xml:space="preserve">management,</w:t>
      </w:r>
      <w:r>
        <w:t xml:space="preserve"> </w:t>
      </w:r>
      <w:r>
        <w:t xml:space="preserve">and</w:t>
      </w:r>
      <w:r>
        <w:t xml:space="preserve"> </w:t>
      </w:r>
      <w:r>
        <w:t xml:space="preserve">natural</w:t>
      </w:r>
      <w:r>
        <w:t xml:space="preserve"> </w:t>
      </w:r>
      <w:r>
        <w:t xml:space="preserve">language</w:t>
      </w:r>
      <w:r>
        <w:t xml:space="preserve"> </w:t>
      </w:r>
      <w:r>
        <w:t xml:space="preserve">processing</w:t>
      </w:r>
      <w:r>
        <w:t xml:space="preserve"> </w:t>
      </w:r>
      <w:r>
        <w:t xml:space="preserve">(2024-2026</w:t>
      </w:r>
      <w:r>
        <w:t xml:space="preserve"> </w:t>
      </w:r>
      <w:r>
        <w:t xml:space="preserve">workforce</w:t>
      </w:r>
      <w:r>
        <w:t xml:space="preserve"> </w:t>
      </w:r>
      <w:r>
        <w:t xml:space="preserve">and</w:t>
      </w:r>
      <w:r>
        <w:t xml:space="preserve"> </w:t>
      </w:r>
      <w:r>
        <w:t xml:space="preserve">NL2SQL</w:t>
      </w:r>
      <w:r>
        <w:t xml:space="preserve"> </w:t>
      </w:r>
      <w:r>
        <w:t xml:space="preserve">literature)</w:t>
      </w:r>
      <w:r>
        <w:t xml:space="preserve"> </w:t>
      </w:r>
      <w:r>
        <w:t xml:space="preserve">to</w:t>
      </w:r>
      <w:r>
        <w:t xml:space="preserve"> </w:t>
      </w:r>
      <w:r>
        <w:t xml:space="preserve">develop</w:t>
      </w:r>
      <w:r>
        <w:t xml:space="preserve"> </w:t>
      </w:r>
      <w:r>
        <w:t xml:space="preserve">a</w:t>
      </w:r>
      <w:r>
        <w:t xml:space="preserve"> </w:t>
      </w:r>
      <w:r>
        <w:t xml:space="preserve">socio-technical</w:t>
      </w:r>
      <w:r>
        <w:t xml:space="preserve"> </w:t>
      </w:r>
      <w:r>
        <w:t xml:space="preserve">framework</w:t>
      </w:r>
      <w:r>
        <w:t xml:space="preserve"> </w:t>
      </w:r>
      <w:r>
        <w:t xml:space="preserve">called</w:t>
      </w:r>
      <w:r>
        <w:t xml:space="preserve"> </w:t>
      </w:r>
      <w:r>
        <w:t xml:space="preserve">Human-in-the-Loop</w:t>
      </w:r>
      <w:r>
        <w:t xml:space="preserve"> </w:t>
      </w:r>
      <w:r>
        <w:t xml:space="preserve">Knowledge</w:t>
      </w:r>
      <w:r>
        <w:t xml:space="preserve"> </w:t>
      </w:r>
      <w:r>
        <w:t xml:space="preserve">Governance</w:t>
      </w:r>
      <w:r>
        <w:t xml:space="preserve"> </w:t>
      </w:r>
      <w:r>
        <w:t xml:space="preserve">(HITL-KG).</w:t>
      </w:r>
    </w:p>
    <w:p>
      <w:pPr>
        <w:pStyle w:val="Abstract"/>
      </w:pPr>
      <w:r>
        <w:t xml:space="preserve">HITL-KG</w:t>
      </w:r>
      <w:r>
        <w:t xml:space="preserve"> </w:t>
      </w:r>
      <w:r>
        <w:t xml:space="preserve">is</w:t>
      </w:r>
      <w:r>
        <w:t xml:space="preserve"> </w:t>
      </w:r>
      <w:r>
        <w:t xml:space="preserve">designed</w:t>
      </w:r>
      <w:r>
        <w:t xml:space="preserve"> </w:t>
      </w:r>
      <w:r>
        <w:t xml:space="preserve">to</w:t>
      </w:r>
      <w:r>
        <w:t xml:space="preserve"> </w:t>
      </w:r>
      <w:r>
        <w:t xml:space="preserve">shift</w:t>
      </w:r>
      <w:r>
        <w:t xml:space="preserve"> </w:t>
      </w:r>
      <w:r>
        <w:t xml:space="preserve">the</w:t>
      </w:r>
      <w:r>
        <w:t xml:space="preserve"> </w:t>
      </w:r>
      <w:r>
        <w:t xml:space="preserve">locus</w:t>
      </w:r>
      <w:r>
        <w:t xml:space="preserve"> </w:t>
      </w:r>
      <w:r>
        <w:t xml:space="preserve">of</w:t>
      </w:r>
      <w:r>
        <w:t xml:space="preserve"> </w:t>
      </w:r>
      <w:r>
        <w:t xml:space="preserve">organizational</w:t>
      </w:r>
      <w:r>
        <w:t xml:space="preserve"> </w:t>
      </w:r>
      <w:r>
        <w:t xml:space="preserve">knowledge</w:t>
      </w:r>
      <w:r>
        <w:t xml:space="preserve"> </w:t>
      </w:r>
      <w:r>
        <w:t xml:space="preserve">from</w:t>
      </w:r>
      <w:r>
        <w:t xml:space="preserve"> </w:t>
      </w:r>
      <w:r>
        <w:t xml:space="preserve">volatile</w:t>
      </w:r>
      <w:r>
        <w:t xml:space="preserve"> </w:t>
      </w:r>
      <w:r>
        <w:t xml:space="preserve">human</w:t>
      </w:r>
      <w:r>
        <w:t xml:space="preserve"> </w:t>
      </w:r>
      <w:r>
        <w:t xml:space="preserve">memory</w:t>
      </w:r>
      <w:r>
        <w:t xml:space="preserve"> </w:t>
      </w:r>
      <w:r>
        <w:t xml:space="preserve">to</w:t>
      </w:r>
      <w:r>
        <w:t xml:space="preserve"> </w:t>
      </w:r>
      <w:r>
        <w:t xml:space="preserve">durable</w:t>
      </w:r>
      <w:r>
        <w:t xml:space="preserve"> </w:t>
      </w:r>
      <w:r>
        <w:t xml:space="preserve">semantic</w:t>
      </w:r>
      <w:r>
        <w:t xml:space="preserve"> </w:t>
      </w:r>
      <w:r>
        <w:t xml:space="preserve">artifacts</w:t>
      </w:r>
      <w:r>
        <w:t xml:space="preserve"> </w:t>
      </w:r>
      <w:r>
        <w:t xml:space="preserve">called</w:t>
      </w:r>
      <w:r>
        <w:t xml:space="preserve"> </w:t>
      </w:r>
      <w:r>
        <w:t xml:space="preserve">“</w:t>
      </w:r>
      <w:r>
        <w:t xml:space="preserve">Validated</w:t>
      </w:r>
      <w:r>
        <w:t xml:space="preserve"> </w:t>
      </w:r>
      <w:r>
        <w:t xml:space="preserve">Query</w:t>
      </w:r>
      <w:r>
        <w:t xml:space="preserve"> </w:t>
      </w:r>
      <w:r>
        <w:t xml:space="preserve">Triples,</w:t>
      </w:r>
      <w:r>
        <w:t xml:space="preserve">”</w:t>
      </w:r>
      <w:r>
        <w:t xml:space="preserve"> </w:t>
      </w:r>
      <w:r>
        <w:t xml:space="preserve">each</w:t>
      </w:r>
      <w:r>
        <w:t xml:space="preserve"> </w:t>
      </w:r>
      <w:r>
        <w:t xml:space="preserve">comprising</w:t>
      </w:r>
      <w:r>
        <w:t xml:space="preserve"> </w:t>
      </w:r>
      <w:r>
        <w:t xml:space="preserve">a</w:t>
      </w:r>
      <w:r>
        <w:t xml:space="preserve"> </w:t>
      </w:r>
      <w:r>
        <w:t xml:space="preserve">natural</w:t>
      </w:r>
      <w:r>
        <w:t xml:space="preserve"> </w:t>
      </w:r>
      <w:r>
        <w:t xml:space="preserve">language</w:t>
      </w:r>
      <w:r>
        <w:t xml:space="preserve"> </w:t>
      </w:r>
      <w:r>
        <w:t xml:space="preserve">intent,</w:t>
      </w:r>
      <w:r>
        <w:t xml:space="preserve"> </w:t>
      </w:r>
      <w:r>
        <w:t xml:space="preserve">executable</w:t>
      </w:r>
      <w:r>
        <w:t xml:space="preserve"> </w:t>
      </w:r>
      <w:r>
        <w:t xml:space="preserve">SQL,</w:t>
      </w:r>
      <w:r>
        <w:t xml:space="preserve"> </w:t>
      </w:r>
      <w:r>
        <w:t xml:space="preserve">and</w:t>
      </w:r>
      <w:r>
        <w:t xml:space="preserve"> </w:t>
      </w:r>
      <w:r>
        <w:t xml:space="preserve">rationale</w:t>
      </w:r>
      <w:r>
        <w:t xml:space="preserve"> </w:t>
      </w:r>
      <w:r>
        <w:t xml:space="preserve">metadata.</w:t>
      </w:r>
      <w:r>
        <w:t xml:space="preserve"> </w:t>
      </w:r>
      <w:r>
        <w:t xml:space="preserve">By</w:t>
      </w:r>
      <w:r>
        <w:t xml:space="preserve"> </w:t>
      </w:r>
      <w:r>
        <w:t xml:space="preserve">embedding</w:t>
      </w:r>
      <w:r>
        <w:t xml:space="preserve"> </w:t>
      </w:r>
      <w:r>
        <w:t xml:space="preserve">knowledge</w:t>
      </w:r>
      <w:r>
        <w:t xml:space="preserve"> </w:t>
      </w:r>
      <w:r>
        <w:t xml:space="preserve">capture</w:t>
      </w:r>
      <w:r>
        <w:t xml:space="preserve"> </w:t>
      </w:r>
      <w:r>
        <w:t xml:space="preserve">into</w:t>
      </w:r>
      <w:r>
        <w:t xml:space="preserve"> </w:t>
      </w:r>
      <w:r>
        <w:t xml:space="preserve">the</w:t>
      </w:r>
      <w:r>
        <w:t xml:space="preserve"> </w:t>
      </w:r>
      <w:r>
        <w:t xml:space="preserve">daily</w:t>
      </w:r>
      <w:r>
        <w:t xml:space="preserve"> </w:t>
      </w:r>
      <w:r>
        <w:t xml:space="preserve">workflow</w:t>
      </w:r>
      <w:r>
        <w:t xml:space="preserve"> </w:t>
      </w:r>
      <w:r>
        <w:t xml:space="preserve">of</w:t>
      </w:r>
      <w:r>
        <w:t xml:space="preserve"> </w:t>
      </w:r>
      <w:r>
        <w:t xml:space="preserve">query</w:t>
      </w:r>
      <w:r>
        <w:t xml:space="preserve"> </w:t>
      </w:r>
      <w:r>
        <w:t xml:space="preserve">generation,</w:t>
      </w:r>
      <w:r>
        <w:t xml:space="preserve"> </w:t>
      </w:r>
      <w:r>
        <w:t xml:space="preserve">the</w:t>
      </w:r>
      <w:r>
        <w:t xml:space="preserve"> </w:t>
      </w:r>
      <w:r>
        <w:t xml:space="preserve">framework</w:t>
      </w:r>
      <w:r>
        <w:t xml:space="preserve"> </w:t>
      </w:r>
      <w:r>
        <w:t xml:space="preserve">aims</w:t>
      </w:r>
      <w:r>
        <w:t xml:space="preserve"> </w:t>
      </w:r>
      <w:r>
        <w:t xml:space="preserve">to</w:t>
      </w:r>
      <w:r>
        <w:t xml:space="preserve"> </w:t>
      </w:r>
      <w:r>
        <w:t xml:space="preserve">convert</w:t>
      </w:r>
      <w:r>
        <w:t xml:space="preserve"> </w:t>
      </w:r>
      <w:r>
        <w:t xml:space="preserve">the</w:t>
      </w:r>
      <w:r>
        <w:t xml:space="preserve"> </w:t>
      </w:r>
      <w:r>
        <w:t xml:space="preserve">ephemeral</w:t>
      </w:r>
      <w:r>
        <w:t xml:space="preserve"> </w:t>
      </w:r>
      <w:r>
        <w:t xml:space="preserve">act</w:t>
      </w:r>
      <w:r>
        <w:t xml:space="preserve"> </w:t>
      </w:r>
      <w:r>
        <w:t xml:space="preserve">of</w:t>
      </w:r>
      <w:r>
        <w:t xml:space="preserve"> </w:t>
      </w:r>
      <w:r>
        <w:t xml:space="preserve">analytics</w:t>
      </w:r>
      <w:r>
        <w:t xml:space="preserve"> </w:t>
      </w:r>
      <w:r>
        <w:t xml:space="preserve">into</w:t>
      </w:r>
      <w:r>
        <w:t xml:space="preserve"> </w:t>
      </w:r>
      <w:r>
        <w:t xml:space="preserve">permanent</w:t>
      </w:r>
      <w:r>
        <w:t xml:space="preserve"> </w:t>
      </w:r>
      <w:r>
        <w:t xml:space="preserve">institutional</w:t>
      </w:r>
      <w:r>
        <w:t xml:space="preserve"> </w:t>
      </w:r>
      <w:r>
        <w:t xml:space="preserve">assets.</w:t>
      </w:r>
      <w:r>
        <w:t xml:space="preserve"> </w:t>
      </w:r>
      <w:r>
        <w:t xml:space="preserve">The</w:t>
      </w:r>
      <w:r>
        <w:t xml:space="preserve"> </w:t>
      </w:r>
      <w:r>
        <w:t xml:space="preserve">accompanying</w:t>
      </w:r>
      <w:r>
        <w:t xml:space="preserve"> </w:t>
      </w:r>
      <w:r>
        <w:t xml:space="preserve">Three-Pillar</w:t>
      </w:r>
      <w:r>
        <w:t xml:space="preserve"> </w:t>
      </w:r>
      <w:r>
        <w:t xml:space="preserve">Assessment</w:t>
      </w:r>
      <w:r>
        <w:t xml:space="preserve"> </w:t>
      </w:r>
      <w:r>
        <w:t xml:space="preserve">Rubric</w:t>
      </w:r>
      <w:r>
        <w:t xml:space="preserve"> </w:t>
      </w:r>
      <w:r>
        <w:t xml:space="preserve">provides</w:t>
      </w:r>
      <w:r>
        <w:t xml:space="preserve"> </w:t>
      </w:r>
      <w:r>
        <w:t xml:space="preserve">a</w:t>
      </w:r>
      <w:r>
        <w:t xml:space="preserve"> </w:t>
      </w:r>
      <w:r>
        <w:t xml:space="preserve">structured</w:t>
      </w:r>
      <w:r>
        <w:t xml:space="preserve"> </w:t>
      </w:r>
      <w:r>
        <w:t xml:space="preserve">self-assessment</w:t>
      </w:r>
      <w:r>
        <w:t xml:space="preserve"> </w:t>
      </w:r>
      <w:r>
        <w:t xml:space="preserve">tool</w:t>
      </w:r>
      <w:r>
        <w:t xml:space="preserve"> </w:t>
      </w:r>
      <w:r>
        <w:t xml:space="preserve">that</w:t>
      </w:r>
      <w:r>
        <w:t xml:space="preserve"> </w:t>
      </w:r>
      <w:r>
        <w:t xml:space="preserve">enables</w:t>
      </w:r>
      <w:r>
        <w:t xml:space="preserve"> </w:t>
      </w:r>
      <w:r>
        <w:t xml:space="preserve">organizations</w:t>
      </w:r>
      <w:r>
        <w:t xml:space="preserve"> </w:t>
      </w:r>
      <w:r>
        <w:t xml:space="preserve">to</w:t>
      </w:r>
      <w:r>
        <w:t xml:space="preserve"> </w:t>
      </w:r>
      <w:r>
        <w:t xml:space="preserve">identify</w:t>
      </w:r>
      <w:r>
        <w:t xml:space="preserve"> </w:t>
      </w:r>
      <w:r>
        <w:t xml:space="preserve">compounding</w:t>
      </w:r>
      <w:r>
        <w:t xml:space="preserve"> </w:t>
      </w:r>
      <w:r>
        <w:t xml:space="preserve">vulnerabilities</w:t>
      </w:r>
      <w:r>
        <w:t xml:space="preserve"> </w:t>
      </w:r>
      <w:r>
        <w:t xml:space="preserve">across</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bstract"/>
      </w:pPr>
      <w:r>
        <w:t xml:space="preserve">A</w:t>
      </w:r>
      <w:r>
        <w:t xml:space="preserve"> </w:t>
      </w:r>
      <w:r>
        <w:t xml:space="preserve">critical</w:t>
      </w:r>
      <w:r>
        <w:t xml:space="preserve"> </w:t>
      </w:r>
      <w:r>
        <w:t xml:space="preserve">objection,</w:t>
      </w:r>
      <w:r>
        <w:t xml:space="preserve"> </w:t>
      </w:r>
      <w:r>
        <w:t xml:space="preserve">the</w:t>
      </w:r>
      <w:r>
        <w:t xml:space="preserve"> </w:t>
      </w:r>
      <w:r>
        <w:t xml:space="preserve">“</w:t>
      </w:r>
      <w:r>
        <w:t xml:space="preserve">Validator</w:t>
      </w:r>
      <w:r>
        <w:t xml:space="preserve"> </w:t>
      </w:r>
      <w:r>
        <w:t xml:space="preserve">Paradox</w:t>
      </w:r>
      <w:r>
        <w:t xml:space="preserve">”</w:t>
      </w:r>
      <w:r>
        <w:t xml:space="preserve"> </w:t>
      </w:r>
      <w:r>
        <w:t xml:space="preserve">(who</w:t>
      </w:r>
      <w:r>
        <w:t xml:space="preserve"> </w:t>
      </w:r>
      <w:r>
        <w:t xml:space="preserve">validates</w:t>
      </w:r>
      <w:r>
        <w:t xml:space="preserve"> </w:t>
      </w:r>
      <w:r>
        <w:t xml:space="preserve">the</w:t>
      </w:r>
      <w:r>
        <w:t xml:space="preserve"> </w:t>
      </w:r>
      <w:r>
        <w:t xml:space="preserve">AI</w:t>
      </w:r>
      <w:r>
        <w:t xml:space="preserve"> </w:t>
      </w:r>
      <w:r>
        <w:t xml:space="preserve">when</w:t>
      </w:r>
      <w:r>
        <w:t xml:space="preserve"> </w:t>
      </w:r>
      <w:r>
        <w:t xml:space="preserve">experts</w:t>
      </w:r>
      <w:r>
        <w:t xml:space="preserve"> </w:t>
      </w:r>
      <w:r>
        <w:t xml:space="preserve">leave?),</w:t>
      </w:r>
      <w:r>
        <w:t xml:space="preserve"> </w:t>
      </w:r>
      <w:r>
        <w:t xml:space="preserve">is</w:t>
      </w:r>
      <w:r>
        <w:t xml:space="preserve"> </w:t>
      </w:r>
      <w:r>
        <w:t xml:space="preserve">resolved</w:t>
      </w:r>
      <w:r>
        <w:t xml:space="preserve"> </w:t>
      </w:r>
      <w:r>
        <w:t xml:space="preserve">by</w:t>
      </w:r>
      <w:r>
        <w:t xml:space="preserve"> </w:t>
      </w:r>
      <w:r>
        <w:t xml:space="preserve">reframing</w:t>
      </w:r>
      <w:r>
        <w:t xml:space="preserve"> </w:t>
      </w:r>
      <w:r>
        <w:t xml:space="preserve">validation</w:t>
      </w:r>
      <w:r>
        <w:t xml:space="preserve"> </w:t>
      </w:r>
      <w:r>
        <w:t xml:space="preserve">through</w:t>
      </w:r>
      <w:r>
        <w:t xml:space="preserve"> </w:t>
      </w:r>
      <w:r>
        <w:t xml:space="preserve">Lean</w:t>
      </w:r>
      <w:r>
        <w:t xml:space="preserve"> </w:t>
      </w:r>
      <w:r>
        <w:t xml:space="preserve">“</w:t>
      </w:r>
      <w:r>
        <w:t xml:space="preserve">Standard</w:t>
      </w:r>
      <w:r>
        <w:t xml:space="preserve"> </w:t>
      </w:r>
      <w:r>
        <w:t xml:space="preserve">Work</w:t>
      </w:r>
      <w:r>
        <w:t xml:space="preserve">”</w:t>
      </w:r>
      <w:r>
        <w:t xml:space="preserve">:</w:t>
      </w:r>
      <w:r>
        <w:t xml:space="preserve"> </w:t>
      </w:r>
      <w:r>
        <w:t xml:space="preserve">each</w:t>
      </w:r>
      <w:r>
        <w:t xml:space="preserve"> </w:t>
      </w:r>
      <w:r>
        <w:t xml:space="preserve">validated</w:t>
      </w:r>
      <w:r>
        <w:t xml:space="preserve"> </w:t>
      </w:r>
      <w:r>
        <w:t xml:space="preserve">query</w:t>
      </w:r>
      <w:r>
        <w:t xml:space="preserve"> </w:t>
      </w:r>
      <w:r>
        <w:t xml:space="preserve">establishes</w:t>
      </w:r>
      <w:r>
        <w:t xml:space="preserve"> </w:t>
      </w:r>
      <w:r>
        <w:t xml:space="preserve">the</w:t>
      </w:r>
      <w:r>
        <w:t xml:space="preserve"> </w:t>
      </w:r>
      <w:r>
        <w:t xml:space="preserve">current</w:t>
      </w:r>
      <w:r>
        <w:t xml:space="preserve"> </w:t>
      </w:r>
      <w:r>
        <w:t xml:space="preserve">known</w:t>
      </w:r>
      <w:r>
        <w:t xml:space="preserve"> </w:t>
      </w:r>
      <w:r>
        <w:t xml:space="preserve">standard</w:t>
      </w:r>
      <w:r>
        <w:t xml:space="preserve"> </w:t>
      </w:r>
      <w:r>
        <w:t xml:space="preserve">rather</w:t>
      </w:r>
      <w:r>
        <w:t xml:space="preserve"> </w:t>
      </w:r>
      <w:r>
        <w:t xml:space="preserve">than</w:t>
      </w:r>
      <w:r>
        <w:t xml:space="preserve"> </w:t>
      </w:r>
      <w:r>
        <w:t xml:space="preserve">eternal</w:t>
      </w:r>
      <w:r>
        <w:t xml:space="preserve"> </w:t>
      </w:r>
      <w:r>
        <w:t xml:space="preserve">truth,</w:t>
      </w:r>
      <w:r>
        <w:t xml:space="preserve"> </w:t>
      </w:r>
      <w:r>
        <w:t xml:space="preserve">functioning</w:t>
      </w:r>
      <w:r>
        <w:t xml:space="preserve"> </w:t>
      </w:r>
      <w:r>
        <w:t xml:space="preserve">as</w:t>
      </w:r>
      <w:r>
        <w:t xml:space="preserve"> </w:t>
      </w:r>
      <w:r>
        <w:t xml:space="preserve">a</w:t>
      </w:r>
      <w:r>
        <w:t xml:space="preserve"> </w:t>
      </w:r>
      <w:r>
        <w:t xml:space="preserve">“</w:t>
      </w:r>
      <w:r>
        <w:t xml:space="preserve">knowledge</w:t>
      </w:r>
      <w:r>
        <w:t xml:space="preserve"> </w:t>
      </w:r>
      <w:r>
        <w:t xml:space="preserve">ratchet</w:t>
      </w:r>
      <w:r>
        <w:t xml:space="preserve">”</w:t>
      </w:r>
      <w:r>
        <w:t xml:space="preserve"> </w:t>
      </w:r>
      <w:r>
        <w:t xml:space="preserve">that</w:t>
      </w:r>
      <w:r>
        <w:t xml:space="preserve"> </w:t>
      </w:r>
      <w:r>
        <w:t xml:space="preserve">prevents</w:t>
      </w:r>
      <w:r>
        <w:t xml:space="preserve"> </w:t>
      </w:r>
      <w:r>
        <w:t xml:space="preserve">regression.</w:t>
      </w:r>
      <w:r>
        <w:t xml:space="preserve"> </w:t>
      </w:r>
      <w:r>
        <w:t xml:space="preserve">By</w:t>
      </w:r>
      <w:r>
        <w:t xml:space="preserve"> </w:t>
      </w:r>
      <w:r>
        <w:t xml:space="preserve">decoupling</w:t>
      </w:r>
      <w:r>
        <w:t xml:space="preserve"> </w:t>
      </w:r>
      <w:r>
        <w:t xml:space="preserve">analytical</w:t>
      </w:r>
      <w:r>
        <w:t xml:space="preserve"> </w:t>
      </w:r>
      <w:r>
        <w:t xml:space="preserve">capability</w:t>
      </w:r>
      <w:r>
        <w:t xml:space="preserve"> </w:t>
      </w:r>
      <w:r>
        <w:t xml:space="preserve">from</w:t>
      </w:r>
      <w:r>
        <w:t xml:space="preserve"> </w:t>
      </w:r>
      <w:r>
        <w:t xml:space="preserve">individual</w:t>
      </w:r>
      <w:r>
        <w:t xml:space="preserve"> </w:t>
      </w:r>
      <w:r>
        <w:t xml:space="preserve">tenure,</w:t>
      </w:r>
      <w:r>
        <w:t xml:space="preserve"> </w:t>
      </w:r>
      <w:r>
        <w:t xml:space="preserve">healthcare</w:t>
      </w:r>
      <w:r>
        <w:t xml:space="preserve"> </w:t>
      </w:r>
      <w:r>
        <w:t xml:space="preserve">systems</w:t>
      </w:r>
      <w:r>
        <w:t xml:space="preserve"> </w:t>
      </w:r>
      <w:r>
        <w:t xml:space="preserve">can</w:t>
      </w:r>
      <w:r>
        <w:t xml:space="preserve"> </w:t>
      </w:r>
      <w:r>
        <w:t xml:space="preserve">ensure</w:t>
      </w:r>
      <w:r>
        <w:t xml:space="preserve"> </w:t>
      </w:r>
      <w:r>
        <w:t xml:space="preserve">that</w:t>
      </w:r>
      <w:r>
        <w:t xml:space="preserve"> </w:t>
      </w:r>
      <w:r>
        <w:t xml:space="preserve">analytics</w:t>
      </w:r>
      <w:r>
        <w:t xml:space="preserve"> </w:t>
      </w:r>
      <w:r>
        <w:t xml:space="preserve">maturity</w:t>
      </w:r>
      <w:r>
        <w:t xml:space="preserve"> </w:t>
      </w:r>
      <w:r>
        <w:t xml:space="preserve">advances</w:t>
      </w:r>
      <w:r>
        <w:t xml:space="preserve"> </w:t>
      </w:r>
      <w:r>
        <w:t xml:space="preserve">even</w:t>
      </w:r>
      <w:r>
        <w:t xml:space="preserve"> </w:t>
      </w:r>
      <w:r>
        <w:t xml:space="preserve">as</w:t>
      </w:r>
      <w:r>
        <w:t xml:space="preserve"> </w:t>
      </w:r>
      <w:r>
        <w:t xml:space="preserve">the</w:t>
      </w:r>
      <w:r>
        <w:t xml:space="preserve"> </w:t>
      </w:r>
      <w:r>
        <w:t xml:space="preserve">workforce</w:t>
      </w:r>
      <w:r>
        <w:t xml:space="preserve"> </w:t>
      </w:r>
      <w:r>
        <w:t xml:space="preserve">evolves.</w:t>
      </w:r>
      <w:r>
        <w:t xml:space="preserve"> </w:t>
      </w:r>
      <w:r>
        <w:t xml:space="preserve">This</w:t>
      </w:r>
      <w:r>
        <w:t xml:space="preserve"> </w:t>
      </w:r>
      <w:r>
        <w:t xml:space="preserve">paper</w:t>
      </w:r>
      <w:r>
        <w:t xml:space="preserve"> </w:t>
      </w:r>
      <w:r>
        <w:t xml:space="preserve">proposes</w:t>
      </w:r>
      <w:r>
        <w:t xml:space="preserve"> </w:t>
      </w:r>
      <w:r>
        <w:t xml:space="preserve">and</w:t>
      </w:r>
      <w:r>
        <w:t xml:space="preserve"> </w:t>
      </w:r>
      <w:r>
        <w:t xml:space="preserve">theoretically</w:t>
      </w:r>
      <w:r>
        <w:t xml:space="preserve"> </w:t>
      </w:r>
      <w:r>
        <w:t xml:space="preserve">motivates</w:t>
      </w:r>
      <w:r>
        <w:t xml:space="preserve"> </w:t>
      </w:r>
      <w:r>
        <w:t xml:space="preserve">the</w:t>
      </w:r>
      <w:r>
        <w:t xml:space="preserve"> </w:t>
      </w:r>
      <w:r>
        <w:t xml:space="preserve">framework;</w:t>
      </w:r>
      <w:r>
        <w:t xml:space="preserve"> </w:t>
      </w:r>
      <w:r>
        <w:t xml:space="preserve">empirical</w:t>
      </w:r>
      <w:r>
        <w:t xml:space="preserve"> </w:t>
      </w:r>
      <w:r>
        <w:t xml:space="preserve">validation</w:t>
      </w:r>
      <w:r>
        <w:t xml:space="preserve"> </w:t>
      </w:r>
      <w:r>
        <w:t xml:space="preserve">is</w:t>
      </w:r>
      <w:r>
        <w:t xml:space="preserve"> </w:t>
      </w:r>
      <w:r>
        <w:t xml:space="preserve">deferred</w:t>
      </w:r>
      <w:r>
        <w:t xml:space="preserve"> </w:t>
      </w:r>
      <w:r>
        <w:t xml:space="preserve">to</w:t>
      </w:r>
      <w:r>
        <w:t xml:space="preserve"> </w:t>
      </w:r>
      <w:r>
        <w:t xml:space="preserve">a</w:t>
      </w:r>
      <w:r>
        <w:t xml:space="preserve"> </w:t>
      </w:r>
      <w:r>
        <w:t xml:space="preserve">companion</w:t>
      </w:r>
      <w:r>
        <w:t xml:space="preserve"> </w:t>
      </w:r>
      <w:r>
        <w:t xml:space="preserve">study.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a772df4b8f827734714eb2cb65812cb56df5f7d"/>
    <w:p>
      <w:pPr>
        <w:pStyle w:val="Heading1"/>
      </w:pPr>
      <w:r>
        <w:t xml:space="preserve">The Triple Threat: Institutional Amnesia in Healthcare Analytics</w:t>
      </w:r>
    </w:p>
    <w:p>
      <w:pPr>
        <w:pStyle w:val="FirstParagraph"/>
      </w:pPr>
      <w:r>
        <w:t xml:space="preserve">The healthcare analytics landscape is currently paralyzed by a</w:t>
      </w:r>
      <w:r>
        <w:t xml:space="preserve"> </w:t>
      </w:r>
      <w:r>
        <w:t xml:space="preserve">“</w:t>
      </w:r>
      <w:r>
        <w:t xml:space="preserve">Triple Threat</w:t>
      </w:r>
      <w:r>
        <w:t xml:space="preserve">”</w:t>
      </w:r>
      <w:r>
        <w:t xml:space="preserve"> </w:t>
      </w:r>
      <w:r>
        <w:t xml:space="preserve">of compounding failures: (1) persistently</w:t>
      </w:r>
      <w:r>
        <w:t xml:space="preserve"> </w:t>
      </w:r>
      <w:r>
        <w:rPr>
          <w:i/>
          <w:iCs/>
        </w:rPr>
        <w:t xml:space="preserve">Low Analytics Maturity</w:t>
      </w:r>
      <w:r>
        <w:t xml:space="preserve">, where despite decades of investment, only 39 organizations globally have reached the top tiers of the Healthcare Information and Management Systems Society (HIMSS) Analytics Maturity Assessment Model (AMAM), 26 at Stage 6 and 13 at Stage 7</w:t>
      </w:r>
      <w:r>
        <w:t xml:space="preserve"> </w:t>
      </w:r>
      <w:r>
        <w:t xml:space="preserve">[</w:t>
      </w:r>
      <w:hyperlink w:anchor="ref-himss2024">
        <w:r>
          <w:rPr>
            <w:rStyle w:val="Hyperlink"/>
          </w:rPr>
          <w:t xml:space="preserve">1</w:t>
        </w:r>
      </w:hyperlink>
      <w:r>
        <w:t xml:space="preserve">]</w:t>
      </w:r>
      <w:r>
        <w:t xml:space="preserve">; (2) a</w:t>
      </w:r>
      <w:r>
        <w:t xml:space="preserve"> </w:t>
      </w:r>
      <w:r>
        <w:rPr>
          <w:i/>
          <w:i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r>
        <w:t xml:space="preserve">; and (3) a profound crisis of</w:t>
      </w:r>
      <w:r>
        <w:t xml:space="preserve"> </w:t>
      </w:r>
      <w:r>
        <w:rPr>
          <w:i/>
          <w:iCs/>
        </w:rPr>
        <w:t xml:space="preserve">Workforce Instability</w:t>
      </w:r>
      <w:r>
        <w:t xml:space="preserve"> </w:t>
      </w:r>
      <w:r>
        <w:t xml:space="preserve">that creates</w:t>
      </w:r>
      <w:r>
        <w:t xml:space="preserve"> </w:t>
      </w:r>
      <w:r>
        <w:t xml:space="preserve">“</w:t>
      </w:r>
      <w:r>
        <w:t xml:space="preserve">Institutional Amnesia</w:t>
      </w:r>
      <w:r>
        <w:t xml:space="preserve">”</w:t>
      </w:r>
      <w:r>
        <w:t xml:space="preserve"> </w:t>
      </w:r>
      <w:r>
        <w:t xml:space="preserve">[</w:t>
      </w:r>
      <w:hyperlink w:anchor="ref-hong2025">
        <w:r>
          <w:rPr>
            <w:rStyle w:val="Hyperlink"/>
          </w:rPr>
          <w:t xml:space="preserve">4</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CIOs have held their roles for less than three years</w:t>
      </w:r>
      <w:r>
        <w:t xml:space="preserve"> </w:t>
      </w:r>
      <w:r>
        <w:t xml:space="preserve">[</w:t>
      </w:r>
      <w:hyperlink w:anchor="ref-wittkieffer2024">
        <w:r>
          <w:rPr>
            <w:rStyle w:val="Hyperlink"/>
          </w:rPr>
          <w:t xml:space="preserve">5</w:t>
        </w:r>
      </w:hyperlink>
      <w:r>
        <w:t xml:space="preserve">]</w:t>
      </w:r>
      <w:r>
        <w:t xml:space="preserve">, creating a strategic vacuum at the top. At the operational level, the situation is equally precarious: 79% of provider organizations report persistent shortages in digital health roles</w:t>
      </w:r>
      <w:r>
        <w:t xml:space="preserve"> </w:t>
      </w:r>
      <w:r>
        <w:t xml:space="preserve">[</w:t>
      </w:r>
      <w:hyperlink w:anchor="ref-himssworkforce2024">
        <w:r>
          <w:rPr>
            <w:rStyle w:val="Hyperlink"/>
          </w:rPr>
          <w:t xml:space="preserve">6</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7</w:t>
        </w:r>
      </w:hyperlink>
      <w:r>
        <w:t xml:space="preserve">]</w:t>
      </w:r>
      <w:r>
        <w:t xml:space="preserve">.</w:t>
      </w:r>
    </w:p>
    <w:p>
      <w:pPr>
        <w:pStyle w:val="BodyText"/>
      </w:pPr>
      <w:r>
        <w:t xml:space="preserve">This turnover creates a phenomenon we define as</w:t>
      </w:r>
      <w:r>
        <w:t xml:space="preserve"> </w:t>
      </w:r>
      <w:r>
        <w:rPr>
          <w:i/>
          <w:iCs/>
        </w:rPr>
        <w:t xml:space="preserve">Institutional Amnesia</w:t>
      </w:r>
      <w:r>
        <w:t xml:space="preserve">: the systematic erasure of the tacit knowledge required to interpret complex health data. In healthcare,</w:t>
      </w:r>
      <w:r>
        <w:t xml:space="preserve"> </w:t>
      </w:r>
      <w:r>
        <w:t xml:space="preserve">“</w:t>
      </w:r>
      <w:r>
        <w:t xml:space="preserve">data</w:t>
      </w:r>
      <w:r>
        <w:t xml:space="preserve">”</w:t>
      </w:r>
      <w:r>
        <w:t xml:space="preserve"> </w:t>
      </w:r>
      <w:r>
        <w:t xml:space="preserve">is never raw; it is wrapped in layers of institutional context (billing rules, workflow workarounds, and unwritten exclusions)</w:t>
      </w:r>
      <w:r>
        <w:t xml:space="preserve"> </w:t>
      </w:r>
      <w:r>
        <w:t xml:space="preserve">[</w:t>
      </w:r>
      <w:hyperlink w:anchor="ref-american2023">
        <w:r>
          <w:rPr>
            <w:rStyle w:val="Hyperlink"/>
          </w:rPr>
          <w:t xml:space="preserve">8</w:t>
        </w:r>
      </w:hyperlink>
      <w:r>
        <w:t xml:space="preserve">]</w:t>
      </w:r>
      <w:r>
        <w:t xml:space="preserve">. When the analyst who knows that</w:t>
      </w:r>
      <w:r>
        <w:t xml:space="preserve"> </w:t>
      </w:r>
      <w:r>
        <w:t xml:space="preserve">“</w:t>
      </w:r>
      <w:r>
        <w:t xml:space="preserve">exclusion code 99</w:t>
      </w:r>
      <w:r>
        <w:t xml:space="preserve">”</w:t>
      </w:r>
      <w:r>
        <w:t xml:space="preserve"> </w:t>
      </w:r>
      <w:r>
        <w:t xml:space="preserve">actually means</w:t>
      </w:r>
      <w:r>
        <w:t xml:space="preserve"> </w:t>
      </w:r>
      <w:r>
        <w:t xml:space="preserve">“</w:t>
      </w:r>
      <w:r>
        <w:t xml:space="preserve">hospice transfer</w:t>
      </w:r>
      <w:r>
        <w:t xml:space="preserve">”</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hyperlink w:anchor="ref-wang2018">
        <w:r>
          <w:rPr>
            <w:rStyle w:val="Hyperlink"/>
          </w:rPr>
          <w:t xml:space="preserve">9</w:t>
        </w:r>
      </w:hyperlink>
      <w:r>
        <w:t xml:space="preserve">]</w:t>
      </w:r>
      <w:r>
        <w:t xml:space="preserve">. Technical solutions (e.g., natural language to SQL, or NL2SQL) assume a stable schema and clear intent</w:t>
      </w:r>
      <w:r>
        <w:t xml:space="preserve"> </w:t>
      </w:r>
      <w:r>
        <w:t xml:space="preserve">[</w:t>
      </w:r>
      <w:hyperlink w:anchor="ref-wang2020">
        <w:r>
          <w:rPr>
            <w:rStyle w:val="Hyperlink"/>
          </w:rPr>
          <w:t xml:space="preserve">10</w:t>
        </w:r>
      </w:hyperlink>
      <w:r>
        <w:t xml:space="preserve">]</w:t>
      </w:r>
      <w:r>
        <w:t xml:space="preserve">. Neither accounts for the reality of the</w:t>
      </w:r>
      <w:r>
        <w:t xml:space="preserve"> </w:t>
      </w:r>
      <w:r>
        <w:t xml:space="preserve">“</w:t>
      </w:r>
      <w:r>
        <w:t xml:space="preserve">Great Resignation,</w:t>
      </w:r>
      <w:r>
        <w:t xml:space="preserve">”</w:t>
      </w:r>
      <w:r>
        <w:t xml:space="preserve"> </w:t>
      </w:r>
      <w:r>
        <w:t xml:space="preserve">where the rate of knowledge loss (</w:t>
      </w:r>
      <w:r>
        <w:t xml:space="preserve">“</w:t>
      </w:r>
      <w:r>
        <w:t xml:space="preserve">organizational forgetting</w:t>
      </w:r>
      <w:r>
        <w:t xml:space="preserve">”</w:t>
      </w:r>
      <w:r>
        <w:t xml:space="preserve">) often exceeds the rate of knowledge capture</w:t>
      </w:r>
      <w:r>
        <w:t xml:space="preserve"> </w:t>
      </w:r>
      <w:r>
        <w:t xml:space="preserve">[</w:t>
      </w:r>
      <w:hyperlink w:anchor="ref-rao2006">
        <w:r>
          <w:rPr>
            <w:rStyle w:val="Hyperlink"/>
          </w:rPr>
          <w:t xml:space="preserve">11</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12</w:t>
        </w:r>
      </w:hyperlink>
      <w:r>
        <w:t xml:space="preserve">]</w:t>
      </w:r>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13</w:t>
        </w:r>
      </w:hyperlink>
      <w:r>
        <w:t xml:space="preserve">,</w:t>
      </w:r>
      <w:hyperlink w:anchor="ref-mantas2010">
        <w:r>
          <w:rPr>
            <w:rStyle w:val="Hyperlink"/>
          </w:rPr>
          <w:t xml:space="preserve">14</w:t>
        </w:r>
      </w:hyperlink>
      <w:r>
        <w:t xml:space="preserve">]</w:t>
      </w:r>
      <w:r>
        <w:t xml:space="preserve">. A foundational 2004 study established that healthcare IT staff had the lowest expected tenure among all IT sectors at just 2.9 years</w:t>
      </w:r>
      <w:r>
        <w:t xml:space="preserve"> </w:t>
      </w:r>
      <w:r>
        <w:t xml:space="preserve">[</w:t>
      </w:r>
      <w:hyperlink w:anchor="ref-ang2004">
        <w:r>
          <w:rPr>
            <w:rStyle w:val="Hyperlink"/>
          </w:rPr>
          <w:t xml:space="preserve">15</w:t>
        </w:r>
      </w:hyperlink>
      <w:r>
        <w:t xml:space="preserve">]</w:t>
      </w:r>
      <w:r>
        <w:t xml:space="preserve">. That this two-decade-old study remains a key benchmark is itself evidence of the crisis: the industry lacks the stability to track its own attrition. Contemporary signals suggest the situation has worsened, as detailed in the following section.</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20"/>
    <w:bookmarkStart w:id="23" w:name="Xd1e5d85c386cb0a54481a328e393ff51b6e18a9"/>
    <w:p>
      <w:pPr>
        <w:pStyle w:val="Heading1"/>
      </w:pPr>
      <w:r>
        <w:t xml:space="preserve">Theoretical Grounding: SECI and the Unstable Workforce</w:t>
      </w:r>
    </w:p>
    <w:p>
      <w:pPr>
        <w:pStyle w:val="FirstParagraph"/>
      </w:pPr>
      <w:r>
        <w:t xml:space="preserve">We ground our analysis in Nonaka’s SECI model of knowledge creation</w:t>
      </w:r>
      <w:r>
        <w:t xml:space="preserve"> </w:t>
      </w:r>
      <w:r>
        <w:t xml:space="preserve">[</w:t>
      </w:r>
      <w:hyperlink w:anchor="ref-farnese2019">
        <w:r>
          <w:rPr>
            <w:rStyle w:val="Hyperlink"/>
          </w:rPr>
          <w:t xml:space="preserve">16</w:t>
        </w:r>
      </w:hyperlink>
      <w:r>
        <w:t xml:space="preserve">]</w:t>
      </w:r>
      <w:r>
        <w:t xml:space="preserve">, informed by a narrative review of the literature across healthcare analytics maturity, workforce turnover dynamics, and natural language processing, with grey literature assessed using the AACODS checklist</w:t>
      </w:r>
      <w:r>
        <w:t xml:space="preserve"> </w:t>
      </w:r>
      <w:r>
        <w:t xml:space="preserve">[</w:t>
      </w:r>
      <w:hyperlink w:anchor="ref-tyndall2010">
        <w:r>
          <w:rPr>
            <w:rStyle w:val="Hyperlink"/>
          </w:rPr>
          <w:t xml:space="preserve">17</w:t>
        </w:r>
      </w:hyperlink>
      <w:r>
        <w:t xml:space="preserve">]</w:t>
      </w:r>
      <w:r>
        <w:t xml:space="preserve">. Grey literature sources were retained only when no peer-reviewed equivalent was available or when the source provided unique industry data not captured in academic literature. The SECI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16</w:t>
        </w:r>
      </w:hyperlink>
      <w:r>
        <w:t xml:space="preserve">]</w:t>
      </w:r>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Framework alignment with established models.</w:t>
      </w:r>
      <w:r>
        <w:t xml:space="preserve"> </w:t>
      </w:r>
    </w:p>
    <w:tbl>
      <w:tblPr>
        <w:tblStyle w:val="Table"/>
        <w:tblW w:type="pct" w:w="5000"/>
        <w:jc w:val="left"/>
        <w:tblLayout w:type="fixed"/>
        <w:tblLook w:firstRow="1" w:lastRow="0" w:firstColumn="0" w:lastColumn="0" w:noHBand="0" w:noVBand="0" w:val="0020"/>
        <w:tblCaption w:val="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-&gt;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-&gt;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-&gt;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r>
        <w:t xml:space="preserve"> </w:t>
      </w:r>
      <w:r>
        <w:t xml:space="preserve">[</w:t>
      </w:r>
      <w:hyperlink w:anchor="ref-rao2006">
        <w:r>
          <w:rPr>
            <w:rStyle w:val="Hyperlink"/>
          </w:rPr>
          <w:t xml:space="preserve">11</w:t>
        </w:r>
      </w:hyperlink>
      <w:r>
        <w:t xml:space="preserve">,</w:t>
      </w:r>
      <w:hyperlink w:anchor="ref-farnese2019">
        <w:r>
          <w:rPr>
            <w:rStyle w:val="Hyperlink"/>
          </w:rPr>
          <w:t xml:space="preserve">16</w:t>
        </w:r>
      </w:hyperlink>
      <w:r>
        <w:t xml:space="preserve">]</w:t>
      </w:r>
      <w:r>
        <w:t xml:space="preserve">.</w:t>
      </w:r>
    </w:p>
    <w:bookmarkStart w:id="21" w:name="the-broken-cycle-socialization-failure"/>
    <w:p>
      <w:pPr>
        <w:pStyle w:val="Heading2"/>
      </w:pP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16</w:t>
        </w:r>
      </w:hyperlink>
      <w:r>
        <w:t xml:space="preserve">]</w:t>
      </w:r>
      <w:r>
        <w:t xml:space="preserve">. Socialization depends on two preconditions: sustained interaction and sufficient temporal overlap between knowledge holders and receivers</w:t>
      </w:r>
      <w:r>
        <w:t xml:space="preserve"> </w:t>
      </w:r>
      <w:r>
        <w:t xml:space="preserve">[</w:t>
      </w:r>
      <w:hyperlink w:anchor="ref-foos2006">
        <w:r>
          <w:rPr>
            <w:rStyle w:val="Hyperlink"/>
          </w:rPr>
          <w:t xml:space="preserve">18</w:t>
        </w:r>
      </w:hyperlink>
      <w:r>
        <w:t xml:space="preserve">]</w:t>
      </w:r>
      <w:r>
        <w:t xml:space="preserve">. It is, in effect, an apprenticeship model requiring years of shared practice.</w:t>
      </w:r>
    </w:p>
    <w:p>
      <w:pPr>
        <w:pStyle w:val="BodyText"/>
      </w:pPr>
      <w:r>
        <w:t xml:space="preserve">In the current healthcare environment, this mechanism has collapsed. The leadership and operational turnover documented above reveals an</w:t>
      </w:r>
      <w:r>
        <w:t xml:space="preserve"> </w:t>
      </w:r>
      <w:r>
        <w:t xml:space="preserve">“</w:t>
      </w:r>
      <w:r>
        <w:t xml:space="preserve">apprenticeship window</w:t>
      </w:r>
      <w:r>
        <w:t xml:space="preserve">”</w:t>
      </w:r>
      <w:r>
        <w:t xml:space="preserve"> </w:t>
      </w:r>
      <w:r>
        <w:t xml:space="preserve">shorter than the knowledge transfer cycle it must support: 30% of new employees depart within their first year</w:t>
      </w:r>
      <w:r>
        <w:t xml:space="preserve"> </w:t>
      </w:r>
      <w:r>
        <w:t xml:space="preserve">[</w:t>
      </w:r>
      <w:hyperlink w:anchor="ref-nsi2025">
        <w:r>
          <w:rPr>
            <w:rStyle w:val="Hyperlink"/>
          </w:rPr>
          <w:t xml:space="preserve">19</w:t>
        </w:r>
      </w:hyperlink>
      <w:r>
        <w:t xml:space="preserve">]</w:t>
      </w:r>
      <w:r>
        <w:t xml:space="preserve">, while specialized informatics roles require 18 to 24 months to reach fluency</w:t>
      </w:r>
      <w:r>
        <w:t xml:space="preserve"> </w:t>
      </w:r>
      <w:r>
        <w:t xml:space="preserve">[</w:t>
      </w:r>
      <w:hyperlink w:anchor="ref-ledikwe2013">
        <w:r>
          <w:rPr>
            <w:rStyle w:val="Hyperlink"/>
          </w:rPr>
          <w:t xml:space="preserve">13</w:t>
        </w:r>
      </w:hyperlink>
      <w:r>
        <w:t xml:space="preserve">,</w:t>
      </w:r>
      <w:hyperlink w:anchor="ref-konrad2022">
        <w:r>
          <w:rPr>
            <w:rStyle w:val="Hyperlink"/>
          </w:rPr>
          <w:t xml:space="preserve">20</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wu2024">
        <w:r>
          <w:rPr>
            <w:rStyle w:val="Hyperlink"/>
          </w:rPr>
          <w:t xml:space="preserve">21</w:t>
        </w:r>
      </w:hyperlink>
      <w:r>
        <w:t xml:space="preserve">,</w:t>
      </w:r>
      <w:hyperlink w:anchor="ref-ren2024">
        <w:r>
          <w:rPr>
            <w:rStyle w:val="Hyperlink"/>
          </w:rPr>
          <w:t xml:space="preserve">22</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23</w:t>
        </w:r>
      </w:hyperlink>
      <w:r>
        <w:t xml:space="preserve">]</w:t>
      </w:r>
      <w:r>
        <w:t xml:space="preserve">. Socialization is no longer a viable strategy for resilience.</w:t>
      </w:r>
    </w:p>
    <w:bookmarkEnd w:id="21"/>
    <w:bookmarkStart w:id="22" w:name="Xf458f350ef8764fcb7ec571ecbc945d28921a42"/>
    <w:p>
      <w:pPr>
        <w:pStyle w:val="Heading2"/>
      </w:pP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r>
        <w:t xml:space="preserve"> </w:t>
      </w:r>
      <w:r>
        <w:t xml:space="preserve">[</w:t>
      </w:r>
      <w:hyperlink w:anchor="ref-zhang2025">
        <w:r>
          <w:rPr>
            <w:rStyle w:val="Hyperlink"/>
          </w:rPr>
          <w:t xml:space="preserve">24</w:t>
        </w:r>
      </w:hyperlink>
      <w:r>
        <w:t xml:space="preserve">]</w:t>
      </w:r>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25</w:t>
        </w:r>
      </w:hyperlink>
      <w:r>
        <w:t xml:space="preserve">]</w:t>
      </w:r>
      <w:r>
        <w:t xml:space="preserve">. In a high-burnout environment where provider organizations report persistent shortages in digital health roles</w:t>
      </w:r>
      <w:r>
        <w:t xml:space="preserve"> </w:t>
      </w:r>
      <w:r>
        <w:t xml:space="preserve">[</w:t>
      </w:r>
      <w:hyperlink w:anchor="ref-himssworkforce2024">
        <w:r>
          <w:rPr>
            <w:rStyle w:val="Hyperlink"/>
          </w:rPr>
          <w:t xml:space="preserve">6</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18</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workflow of analytics rather than as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w:t>
      </w:r>
      <w:r>
        <w:t xml:space="preserve">Hypertension readmissions excluding planned transfers</w:t>
      </w:r>
      <w:r>
        <w:t xml:space="preserve">”</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t>
      </w:r>
      <w:r>
        <w:t xml:space="preserve">why</w:t>
      </w:r>
      <w:r>
        <w:t xml:space="preserve">”</w:t>
      </w:r>
      <w:r>
        <w:t xml:space="preserve"> </w:t>
      </w:r>
      <w:r>
        <w:t xml:space="preserve">behind the logic (e.g.,</w:t>
      </w:r>
      <w:r>
        <w:t xml:space="preserve"> </w:t>
      </w:r>
      <w:r>
        <w:t xml:space="preserve">“</w:t>
      </w:r>
      <w:r>
        <w:t xml:space="preserve">Excluding status 02 per Centers for Medicare and Medicaid Services (CMS) 2025 rule</w:t>
      </w:r>
      <w:r>
        <w:t xml:space="preserv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26</w:t>
        </w:r>
      </w:hyperlink>
      <w:r>
        <w:t xml:space="preserve">]</w:t>
      </w:r>
      <w:r>
        <w:t xml:space="preserve">.</w:t>
      </w:r>
    </w:p>
    <w:bookmarkEnd w:id="22"/>
    <w:bookmarkEnd w:id="23"/>
    <w:bookmarkStart w:id="33" w:name="human-in-the-loop-knowledge-governance"/>
    <w:p>
      <w:pPr>
        <w:pStyle w:val="Heading1"/>
      </w:pP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r>
        <w:t xml:space="preserve"> </w:t>
      </w:r>
      <w:r>
        <w:t xml:space="preserve">[</w:t>
      </w:r>
      <w:hyperlink w:anchor="ref-foss2007">
        <w:r>
          <w:rPr>
            <w:rStyle w:val="Hyperlink"/>
          </w:rPr>
          <w:t xml:space="preserve">27</w:t>
        </w:r>
      </w:hyperlink>
      <w:r>
        <w:t xml:space="preserve">]</w:t>
      </w:r>
      <w:r>
        <w:t xml:space="preserve"> </w:t>
      </w:r>
      <w:r>
        <w:t xml:space="preserve">with the Validated Query Cycle as its core operational process. This framing reflects that the system serves as a governance mechanism, not just a productivity tool.</w:t>
      </w:r>
    </w:p>
    <w:bookmarkStart w:id="30" w:name="the-hitl-kg-architecture"/>
    <w:p>
      <w:pPr>
        <w:pStyle w:val="Heading2"/>
      </w:pP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the</w:t>
      </w:r>
      <w:r>
        <w:t xml:space="preserve"> </w:t>
      </w:r>
      <w:r>
        <w:t xml:space="preserve">“</w:t>
      </w:r>
      <w:r>
        <w:t xml:space="preserve">laundering</w:t>
      </w:r>
      <w:r>
        <w:t xml:space="preserve">”</w:t>
      </w:r>
      <w:r>
        <w:t xml:space="preserve"> </w:t>
      </w:r>
      <w:r>
        <w:t xml:space="preserve">of hallucinations while simultaneously capturing expert knowledge.</w:t>
      </w:r>
    </w:p>
    <w:p>
      <w:pPr>
        <w:pStyle w:val="CaptionedFigure"/>
      </w:pPr>
      <w:r>
        <w:drawing>
          <wp:inline>
            <wp:extent cx="4613700" cy="5263754"/>
            <wp:effectExtent b="0" l="0" r="0" t="0"/>
            <wp:docPr descr="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both informs future queries and curates the Knowledge Base of ontologies and best practices (step 8), closing a continuous-learning loop so that best practices evolve as new knowledge is validated rather than remaining static." title="" id="25" name="Picture"/>
            <a:graphic>
              <a:graphicData uri="http://schemas.openxmlformats.org/drawingml/2006/picture">
                <pic:pic>
                  <pic:nvPicPr>
                    <pic:cNvPr descr="figures/architecture.mmd.png" id="26" name="Picture"/>
                    <pic:cNvPicPr>
                      <a:picLocks noChangeArrowheads="1" noChangeAspect="1"/>
                    </pic:cNvPicPr>
                  </pic:nvPicPr>
                  <pic:blipFill>
                    <a:blip r:embed="rId24"/>
                    <a:stretch>
                      <a:fillRect/>
                    </a:stretch>
                  </pic:blipFill>
                  <pic:spPr bwMode="auto">
                    <a:xfrm>
                      <a:off x="0" y="0"/>
                      <a:ext cx="4613700" cy="5263754"/>
                    </a:xfrm>
                    <a:prstGeom prst="rect">
                      <a:avLst/>
                    </a:prstGeom>
                    <a:noFill/>
                    <a:ln w="9525">
                      <a:noFill/>
                      <a:headEnd/>
                      <a:tailEnd/>
                    </a:ln>
                  </pic:spPr>
                </pic:pic>
              </a:graphicData>
            </a:graphic>
          </wp:inline>
        </w:drawing>
      </w:r>
    </w:p>
    <w:p>
      <w:pPr>
        <w:pStyle w:val="ImageCaption"/>
      </w:pPr>
      <w:r>
        <w:t xml:space="preserve">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both informs future queries and curates the Knowledge Base of ontologies and best practices (step 8), closing a continuous-learning loop so that best practices evolve as new knowledge is validated rather than remaining static.</w:t>
      </w:r>
    </w:p>
    <w:p>
      <w:pPr>
        <w:pStyle w:val="BodyText"/>
      </w:pPr>
      <w:r>
        <w:t xml:space="preserve">The corresponding six step Validated Query Cycle is summarized in Figure 2, which shows how queries move from initial clinical intent through expert validation into durable organizational memory.</w:t>
      </w:r>
    </w:p>
    <w:p>
      <w:pPr>
        <w:pStyle w:val="CaptionedFigure"/>
      </w:pPr>
      <w:r>
        <w:drawing>
          <wp:inline>
            <wp:extent cx="3381271" cy="6099048"/>
            <wp:effectExtent b="0" l="0" r="0" t="0"/>
            <wp:docPr descr="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 title="" id="28" name="Picture"/>
            <a:graphic>
              <a:graphicData uri="http://schemas.openxmlformats.org/drawingml/2006/picture">
                <pic:pic>
                  <pic:nvPicPr>
                    <pic:cNvPr descr="figures/knowledge-cycle.mmd.png" id="29" name="Picture"/>
                    <pic:cNvPicPr>
                      <a:picLocks noChangeArrowheads="1" noChangeAspect="1"/>
                    </pic:cNvPicPr>
                  </pic:nvPicPr>
                  <pic:blipFill>
                    <a:blip r:embed="rId27"/>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w:t>
      </w:r>
    </w:p>
    <w:bookmarkEnd w:id="30"/>
    <w:bookmarkStart w:id="31" w:name="the-process-of-externalization"/>
    <w:p>
      <w:pPr>
        <w:pStyle w:val="Heading2"/>
      </w:pPr>
      <w:r>
        <w:t xml:space="preserve">The Process of Externalization</w:t>
      </w:r>
    </w:p>
    <w:p>
      <w:pPr>
        <w:pStyle w:val="FirstParagraph"/>
      </w:pPr>
      <w:r>
        <w:t xml:space="preserve">The cycle proceeds from AI query generation</w:t>
      </w:r>
      <w:r>
        <w:t xml:space="preserve"> </w:t>
      </w:r>
      <w:r>
        <w:t xml:space="preserve">[</w:t>
      </w:r>
      <w:hyperlink w:anchor="ref-lee2023">
        <w:r>
          <w:rPr>
            <w:rStyle w:val="Hyperlink"/>
          </w:rPr>
          <w:t xml:space="preserve">28</w:t>
        </w:r>
      </w:hyperlink>
      <w:r>
        <w:t xml:space="preserve">]</w:t>
      </w:r>
      <w:r>
        <w:t xml:space="preserve"> </w:t>
      </w:r>
      <w:r>
        <w:t xml:space="preserve">through semantic translation to</w:t>
      </w:r>
      <w:r>
        <w:t xml:space="preserve"> </w:t>
      </w:r>
      <w:r>
        <w:rPr>
          <w:i/>
          <w:iCs/>
        </w:rPr>
        <w:t xml:space="preserve">Expert Validation</w:t>
      </w:r>
      <w:r>
        <w:t xml:space="preserve">, the critical moment of Externalization, where the domain expert confirms or corrects the AI’s interpretation and thereby captures tacit knowledge</w:t>
      </w:r>
      <w:r>
        <w:t xml:space="preserve"> </w:t>
      </w:r>
      <w:r>
        <w:t xml:space="preserve">[</w:t>
      </w:r>
      <w:hyperlink w:anchor="ref-bravorocca2023">
        <w:r>
          <w:rPr>
            <w:rStyle w:val="Hyperlink"/>
          </w:rPr>
          <w:t xml:space="preserve">29</w:t>
        </w:r>
      </w:hyperlink>
      <w:r>
        <w:t xml:space="preserve">,</w:t>
      </w:r>
      <w:hyperlink w:anchor="ref-mosqueirarey2023">
        <w:r>
          <w:rPr>
            <w:rStyle w:val="Hyperlink"/>
          </w:rPr>
          <w:t xml:space="preserve">30</w:t>
        </w:r>
      </w:hyperlink>
      <w:r>
        <w:t xml:space="preserve">]</w:t>
      </w:r>
      <w:r>
        <w:t xml:space="preserve">. The validated triple is hashed and stored in organizational memory</w:t>
      </w:r>
      <w:r>
        <w:t xml:space="preserve"> </w:t>
      </w:r>
      <w:r>
        <w:t xml:space="preserve">[</w:t>
      </w:r>
      <w:hyperlink w:anchor="ref-benbya2004">
        <w:r>
          <w:rPr>
            <w:rStyle w:val="Hyperlink"/>
          </w:rPr>
          <w:t xml:space="preserve">31</w:t>
        </w:r>
      </w:hyperlink>
      <w:r>
        <w:t xml:space="preserve">]</w:t>
      </w:r>
      <w:r>
        <w:t xml:space="preserve">, then retrieved ahead of future probabilistic generation</w:t>
      </w:r>
      <w:r>
        <w:t xml:space="preserve"> </w:t>
      </w:r>
      <w:r>
        <w:t xml:space="preserve">[</w:t>
      </w:r>
      <w:hyperlink w:anchor="ref-whittaker2008">
        <w:r>
          <w:rPr>
            <w:rStyle w:val="Hyperlink"/>
          </w:rPr>
          <w:t xml:space="preserve">32</w:t>
        </w:r>
      </w:hyperlink>
      <w:r>
        <w:t xml:space="preserve">]</w:t>
      </w:r>
      <w:r>
        <w:t xml:space="preserve">. Multimedia Appendix 1 details each step alongside worked examples.</w:t>
      </w:r>
    </w:p>
    <w:bookmarkEnd w:id="31"/>
    <w:bookmarkStart w:id="32" w:name="comparison-with-existing-approaches"/>
    <w:p>
      <w:pPr>
        <w:pStyle w:val="Heading2"/>
      </w:pPr>
      <w:r>
        <w:t xml:space="preserve">Comparison with Existing Approaches</w:t>
      </w:r>
    </w:p>
    <w:p>
      <w:pPr>
        <w:pStyle w:val="FirstParagraph"/>
      </w:pPr>
      <w:r>
        <w:t xml:space="preserve">Organizations have addressed institutional memory loss through several strategies, each with limitations HITL-KG overcomes.</w:t>
      </w:r>
    </w:p>
    <w:p>
      <w:pPr>
        <w:pStyle w:val="BodyText"/>
      </w:pPr>
      <w:r>
        <w:rPr>
          <w:i/>
          <w:iCs/>
        </w:rPr>
        <w:t xml:space="preserve">Code-based semantic layers</w:t>
      </w:r>
      <w:r>
        <w:t xml:space="preserve"> </w:t>
      </w:r>
      <w:r>
        <w:t xml:space="preserve">(e.g., dbt, LookML) encode business logic in version-controlled repositories, but suffer</w:t>
      </w:r>
      <w:r>
        <w:t xml:space="preserve"> </w:t>
      </w:r>
      <w:r>
        <w:t xml:space="preserve">“</w:t>
      </w:r>
      <w:r>
        <w:t xml:space="preserve">schema rot</w:t>
      </w:r>
      <w:r>
        <w:t xml:space="preserve">”</w:t>
      </w:r>
      <w:r>
        <w:t xml:space="preserve"> </w:t>
      </w:r>
      <w:r>
        <w:t xml:space="preserve">where electronic medical record (EMR) data models change frequently and maintenance exceeds high-turnover teams’ capacity, misaligning the layer from the underlying data</w:t>
      </w:r>
      <w:r>
        <w:t xml:space="preserve"> </w:t>
      </w:r>
      <w:r>
        <w:t xml:space="preserve">[</w:t>
      </w:r>
      <w:hyperlink w:anchor="ref-mannapur2025">
        <w:r>
          <w:rPr>
            <w:rStyle w:val="Hyperlink"/>
          </w:rPr>
          <w:t xml:space="preserve">33</w:t>
        </w:r>
      </w:hyperlink>
      <w:r>
        <w:t xml:space="preserve">,</w:t>
      </w:r>
      <w:hyperlink w:anchor="ref-battula2025">
        <w:r>
          <w:rPr>
            <w:rStyle w:val="Hyperlink"/>
          </w:rPr>
          <w:t xml:space="preserve">34</w:t>
        </w:r>
      </w:hyperlink>
      <w:r>
        <w:t xml:space="preserve">]</w:t>
      </w:r>
      <w:r>
        <w:t xml:space="preserve">. HITL-KG’s validated query triples share the version-control principle but add the rationale metadata semantic layers lack: not just</w:t>
      </w:r>
      <w:r>
        <w:t xml:space="preserve"> </w:t>
      </w:r>
      <w:r>
        <w:rPr>
          <w:i/>
          <w:iCs/>
        </w:rPr>
        <w:t xml:space="preserve">what</w:t>
      </w:r>
      <w:r>
        <w:t xml:space="preserve"> </w:t>
      </w:r>
      <w:r>
        <w:t xml:space="preserve">a query does, but</w:t>
      </w:r>
      <w:r>
        <w:t xml:space="preserve"> </w:t>
      </w:r>
      <w:r>
        <w:rPr>
          <w:i/>
          <w:iCs/>
        </w:rPr>
        <w:t xml:space="preserve">why</w:t>
      </w:r>
      <w:r>
        <w:t xml:space="preserve">.</w:t>
      </w:r>
    </w:p>
    <w:p>
      <w:pPr>
        <w:pStyle w:val="BodyText"/>
      </w:pPr>
      <w:r>
        <w:rPr>
          <w:i/>
          <w:iCs/>
        </w:rPr>
        <w:t xml:space="preserve">Traditional knowledge management</w:t>
      </w:r>
      <w:r>
        <w:t xml:space="preserve"> </w:t>
      </w:r>
      <w:r>
        <w:t xml:space="preserve">(wikis, data dictionaries, runbooks) relies on passive capture where users must stop working to document, which reduces participation and produces inaccurate records under cognitive load</w:t>
      </w:r>
      <w:r>
        <w:t xml:space="preserve"> </w:t>
      </w:r>
      <w:r>
        <w:t xml:space="preserve">[</w:t>
      </w:r>
      <w:hyperlink w:anchor="ref-mayo2016">
        <w:r>
          <w:rPr>
            <w:rStyle w:val="Hyperlink"/>
          </w:rPr>
          <w:t xml:space="preserve">12</w:t>
        </w:r>
      </w:hyperlink>
      <w:r>
        <w:t xml:space="preserve">,</w:t>
      </w:r>
      <w:hyperlink w:anchor="ref-goffin2011">
        <w:r>
          <w:rPr>
            <w:rStyle w:val="Hyperlink"/>
          </w:rPr>
          <w:t xml:space="preserve">25</w:t>
        </w:r>
      </w:hyperlink>
      <w:r>
        <w:t xml:space="preserve">]</w:t>
      </w:r>
      <w:r>
        <w:t xml:space="preserve">. Such documentation might suffice for a small, stable query set, but real workloads are neither: more than half of queries recur at large providers</w:t>
      </w:r>
      <w:r>
        <w:t xml:space="preserve"> </w:t>
      </w:r>
      <w:r>
        <w:t xml:space="preserve">[</w:t>
      </w:r>
      <w:hyperlink w:anchor="ref-jindal2019">
        <w:r>
          <w:rPr>
            <w:rStyle w:val="Hyperlink"/>
          </w:rPr>
          <w:t xml:space="preserve">35</w:t>
        </w:r>
      </w:hyperlink>
      <w:r>
        <w:t xml:space="preserve">]</w:t>
      </w:r>
      <w:r>
        <w:t xml:space="preserve">, yet even small databases log thousands of distinct query strings</w:t>
      </w:r>
      <w:r>
        <w:t xml:space="preserve"> </w:t>
      </w:r>
      <w:r>
        <w:t xml:space="preserve">[</w:t>
      </w:r>
      <w:hyperlink w:anchor="ref-kul2018">
        <w:r>
          <w:rPr>
            <w:rStyle w:val="Hyperlink"/>
          </w:rPr>
          <w:t xml:space="preserve">36</w:t>
        </w:r>
      </w:hyperlink>
      <w:r>
        <w:t xml:space="preserve">]</w:t>
      </w:r>
      <w:r>
        <w:t xml:space="preserve">, so a fixed set of documented queries captures neither the large recurring core nor the evolving ad-hoc tail. HITL-KG instead implements active capture across both regimes: the query itself is the documentation, validated at the point of use</w:t>
      </w:r>
      <w:r>
        <w:t xml:space="preserve"> </w:t>
      </w:r>
      <w:r>
        <w:t xml:space="preserve">[</w:t>
      </w:r>
      <w:hyperlink w:anchor="ref-moore2018">
        <w:r>
          <w:rPr>
            <w:rStyle w:val="Hyperlink"/>
          </w:rPr>
          <w:t xml:space="preserve">26</w:t>
        </w:r>
      </w:hyperlink>
      <w:r>
        <w:t xml:space="preserve">]</w:t>
      </w:r>
      <w:r>
        <w:t xml:space="preserve">.</w:t>
      </w:r>
    </w:p>
    <w:p>
      <w:pPr>
        <w:pStyle w:val="BodyText"/>
      </w:pPr>
      <w:r>
        <w:rPr>
          <w:i/>
          <w:iCs/>
        </w:rPr>
        <w:t xml:space="preserve">Unsupervised AI querying</w:t>
      </w:r>
      <w:r>
        <w:t xml:space="preserve"> </w:t>
      </w:r>
      <w:r>
        <w:t xml:space="preserve">removes human oversight entirely; current NL2SQL accuracy makes this unsafe for clinical analytics</w:t>
      </w:r>
      <w:r>
        <w:t xml:space="preserve"> </w:t>
      </w:r>
      <w:r>
        <w:t xml:space="preserve">[</w:t>
      </w:r>
      <w:hyperlink w:anchor="ref-ziletti2024">
        <w:r>
          <w:rPr>
            <w:rStyle w:val="Hyperlink"/>
          </w:rPr>
          <w:t xml:space="preserve">37</w:t>
        </w:r>
      </w:hyperlink>
      <w:r>
        <w:t xml:space="preserve">]</w:t>
      </w:r>
      <w:r>
        <w:t xml:space="preserve">. HITL-KG occupies the middle ground: AI generates, humans validate.</w:t>
      </w:r>
    </w:p>
    <w:bookmarkEnd w:id="32"/>
    <w:bookmarkEnd w:id="33"/>
    <w:bookmarkStart w:id="37" w:name="the-evidence-base-three-pillars"/>
    <w:p>
      <w:pPr>
        <w:pStyle w:val="Heading1"/>
      </w:pP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over 130 sources.</w:t>
      </w:r>
    </w:p>
    <w:bookmarkStart w:id="34" w:name="pillar-1-analytics-maturity-evidence"/>
    <w:p>
      <w:pPr>
        <w:pStyle w:val="Heading2"/>
      </w:pPr>
      <w:r>
        <w:t xml:space="preserve">Pillar 1: Analytics Maturity Evidence</w:t>
      </w:r>
    </w:p>
    <w:p>
      <w:pPr>
        <w:pStyle w:val="FirstParagraph"/>
      </w:pPr>
      <w:r>
        <w:rPr>
          <w:i/>
          <w:iCs/>
        </w:rPr>
        <w:t xml:space="preserve">Analytics maturity</w:t>
      </w:r>
      <w:r>
        <w:t xml:space="preserve"> </w:t>
      </w:r>
      <w:r>
        <w:t xml:space="preserve">describes an organization’s progression in using data and quantitative models for fact-based decisions</w:t>
      </w:r>
      <w:r>
        <w:t xml:space="preserve"> </w:t>
      </w:r>
      <w:r>
        <w:t xml:space="preserve">[</w:t>
      </w:r>
      <w:hyperlink w:anchor="ref-davenport2007">
        <w:r>
          <w:rPr>
            <w:rStyle w:val="Hyperlink"/>
          </w:rPr>
          <w:t xml:space="preserve">38</w:t>
        </w:r>
      </w:hyperlink>
      <w:r>
        <w:t xml:space="preserve">]</w:t>
      </w:r>
      <w:r>
        <w:t xml:space="preserve">, a construct operationalized by staged maturity models that extend beyond the HIMSS AMAM</w:t>
      </w:r>
      <w:r>
        <w:t xml:space="preserve"> </w:t>
      </w:r>
      <w:r>
        <w:t xml:space="preserve">[</w:t>
      </w:r>
      <w:hyperlink w:anchor="ref-grossman2018">
        <w:r>
          <w:rPr>
            <w:rStyle w:val="Hyperlink"/>
          </w:rPr>
          <w:t xml:space="preserve">39</w:t>
        </w:r>
      </w:hyperlink>
      <w:r>
        <w:t xml:space="preserve">,</w:t>
      </w:r>
      <w:hyperlink w:anchor="ref-langer2025">
        <w:r>
          <w:rPr>
            <w:rStyle w:val="Hyperlink"/>
          </w:rPr>
          <w:t xml:space="preserve">40</w:t>
        </w:r>
      </w:hyperlink>
      <w:r>
        <w:t xml:space="preserve">]</w:t>
      </w:r>
      <w:r>
        <w:t xml:space="preserve">. Healthcare maturity remains chronically low. Assessments reveal only 26 organizations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41</w:t>
        </w:r>
      </w:hyperlink>
      <w:r>
        <w:t xml:space="preserve">]</w:t>
      </w:r>
      <w:r>
        <w:t xml:space="preserve">. Because AMAM assessment is voluntary and self-selected, these figures likely overrepresent analytics-committed organizations, so low maturity may be even more widespread than the counts suggest</w:t>
      </w:r>
      <w:r>
        <w:t xml:space="preserve"> </w:t>
      </w:r>
      <w:r>
        <w:t xml:space="preserve">[</w:t>
      </w:r>
      <w:hyperlink w:anchor="ref-halbesleben2013">
        <w:r>
          <w:rPr>
            <w:rStyle w:val="Hyperlink"/>
          </w:rPr>
          <w:t xml:space="preserve">42</w:t>
        </w:r>
      </w:hyperlink>
      <w:r>
        <w:t xml:space="preserve">,</w:t>
      </w:r>
      <w:hyperlink w:anchor="ref-tomaskovic1994">
        <w:r>
          <w:rPr>
            <w:rStyle w:val="Hyperlink"/>
          </w:rPr>
          <w:t xml:space="preserve">43</w:t>
        </w:r>
      </w:hyperlink>
      <w:r>
        <w:t xml:space="preserve">]</w:t>
      </w:r>
      <w:r>
        <w:t xml:space="preserve">. Most organizations remain at Stages 0-3, characterized by fragmented data and limited predictive capabilities</w:t>
      </w:r>
      <w:r>
        <w:t xml:space="preserve"> </w:t>
      </w:r>
      <w:r>
        <w:t xml:space="preserve">[</w:t>
      </w:r>
      <w:hyperlink w:anchor="ref-health2020">
        <w:r>
          <w:rPr>
            <w:rStyle w:val="Hyperlink"/>
          </w:rPr>
          <w:t xml:space="preserve">44</w:t>
        </w:r>
      </w:hyperlink>
      <w:r>
        <w:t xml:space="preserve">]</w:t>
      </w:r>
      <w:r>
        <w:t xml:space="preserve">. However, maturity is not merely an IT metric; it is a clinical safety predictor. Electronic Medical Record Adoption Model (EMRAM) levels 6-7 correlate with 3.25 times higher odds of better Leapfrog Safety Grades</w:t>
      </w:r>
      <w:r>
        <w:t xml:space="preserve"> </w:t>
      </w:r>
      <w:r>
        <w:t xml:space="preserve">[</w:t>
      </w:r>
      <w:hyperlink w:anchor="ref-snowdon2024">
        <w:r>
          <w:rPr>
            <w:rStyle w:val="Hyperlink"/>
          </w:rPr>
          <w:t xml:space="preserve">45</w:t>
        </w:r>
      </w:hyperlink>
      <w:r>
        <w:t xml:space="preserve">]</w:t>
      </w:r>
      <w:r>
        <w:t xml:space="preserve">. Low maturity creates a</w:t>
      </w:r>
      <w:r>
        <w:t xml:space="preserve"> </w:t>
      </w:r>
      <w:r>
        <w:t xml:space="preserve">“</w:t>
      </w:r>
      <w:r>
        <w:t xml:space="preserve">low-maturity trap</w:t>
      </w:r>
      <w:r>
        <w:t xml:space="preserve">”</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46</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creating a vicious cycle in which poor data quality goes unrecognized because no systems exist to measure it. The clinical consequences of this trap are measurable: one Medicare accountable care organization (ACO) that implemented analytics to overcome electronic health record (EHR) fragmentation reduced readmission rates from 24% to 17.8% and achieved $1.6 million in cost savings</w:t>
      </w:r>
      <w:r>
        <w:t xml:space="preserve"> </w:t>
      </w:r>
      <w:r>
        <w:t xml:space="preserve">[</w:t>
      </w:r>
      <w:hyperlink w:anchor="ref-latrella2024">
        <w:r>
          <w:rPr>
            <w:rStyle w:val="Hyperlink"/>
          </w:rPr>
          <w:t xml:space="preserve">47</w:t>
        </w:r>
      </w:hyperlink>
      <w:r>
        <w:t xml:space="preserve">]</w:t>
      </w:r>
      <w:r>
        <w:t xml:space="preserve">, demonstrating what becomes possible when organizations escape this cycle. Yet 68% of healthcare organizations continue to cite data interoperability as the leading obstacle to analytics adoption, followed by privacy concerns (64%) and insufficient staff training (59%)</w:t>
      </w:r>
      <w:r>
        <w:t xml:space="preserve"> </w:t>
      </w:r>
      <w:r>
        <w:t xml:space="preserve">[</w:t>
      </w:r>
      <w:hyperlink w:anchor="ref-nashid2023">
        <w:r>
          <w:rPr>
            <w:rStyle w:val="Hyperlink"/>
          </w:rPr>
          <w:t xml:space="preserve">48</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49</w:t>
        </w:r>
      </w:hyperlink>
      <w:r>
        <w:t xml:space="preserve">,</w:t>
      </w:r>
      <w:hyperlink w:anchor="ref-kamble2019">
        <w:r>
          <w:rPr>
            <w:rStyle w:val="Hyperlink"/>
          </w:rPr>
          <w:t xml:space="preserve">50</w:t>
        </w:r>
      </w:hyperlink>
      <w:r>
        <w:t xml:space="preserve">]</w:t>
      </w:r>
      <w:r>
        <w:t xml:space="preserve">. The low-maturity trap thus compounds over time: each year of delayed investment widens the gap between what the organization could know and what it actually knows.</w:t>
      </w:r>
    </w:p>
    <w:bookmarkEnd w:id="34"/>
    <w:bookmarkStart w:id="35" w:name="pillar-2-workforce-agility-evidence"/>
    <w:p>
      <w:pPr>
        <w:pStyle w:val="Heading2"/>
      </w:pPr>
      <w:r>
        <w:t xml:space="preserve">Pillar 2: Workforce Agility Evidence</w:t>
      </w:r>
    </w:p>
    <w:p>
      <w:pPr>
        <w:pStyle w:val="FirstParagraph"/>
      </w:pPr>
      <w:r>
        <w:rPr>
          <w:i/>
          <w:iCs/>
        </w:rPr>
        <w:t xml:space="preserve">Workforce agility</w:t>
      </w:r>
      <w:r>
        <w:t xml:space="preserve"> </w:t>
      </w:r>
      <w:r>
        <w:t xml:space="preserve">is a workforce’s capacity for proactivity, adaptability, and resilience under change</w:t>
      </w:r>
      <w:r>
        <w:t xml:space="preserve"> </w:t>
      </w:r>
      <w:r>
        <w:t xml:space="preserve">[</w:t>
      </w:r>
      <w:hyperlink w:anchor="ref-breu2002">
        <w:r>
          <w:rPr>
            <w:rStyle w:val="Hyperlink"/>
          </w:rPr>
          <w:t xml:space="preserve">51</w:t>
        </w:r>
      </w:hyperlink>
      <w:r>
        <w:t xml:space="preserve">,</w:t>
      </w:r>
      <w:hyperlink w:anchor="ref-tessarini2021">
        <w:r>
          <w:rPr>
            <w:rStyle w:val="Hyperlink"/>
          </w:rPr>
          <w:t xml:space="preserve">52</w:t>
        </w:r>
      </w:hyperlink>
      <w:r>
        <w:t xml:space="preserve">]</w:t>
      </w:r>
      <w:r>
        <w:t xml:space="preserve">. The cost of turnover in informatics is higher than standard IT. Knowledge loss can cost up to three times annual salary</w:t>
      </w:r>
      <w:r>
        <w:t xml:space="preserve"> </w:t>
      </w:r>
      <w:r>
        <w:t xml:space="preserve">[</w:t>
      </w:r>
      <w:hyperlink w:anchor="ref-massingham2018">
        <w:r>
          <w:rPr>
            <w:rStyle w:val="Hyperlink"/>
          </w:rPr>
          <w:t xml:space="preserve">23</w:t>
        </w:r>
      </w:hyperlink>
      <w:r>
        <w:t xml:space="preserve">,</w:t>
      </w:r>
      <w:hyperlink w:anchor="ref-wynendaele2025">
        <w:r>
          <w:rPr>
            <w:rStyle w:val="Hyperlink"/>
          </w:rPr>
          <w:t xml:space="preserve">53</w:t>
        </w:r>
      </w:hyperlink>
      <w:r>
        <w:t xml:space="preserve">]</w:t>
      </w:r>
      <w:r>
        <w:t xml:space="preserve">. In clinical informatics specifically, replacement costs range from $50,000 to $230,000 per departing employee, with a single department losing 39 staff in one year at a total cost of up to $8.97 million</w:t>
      </w:r>
      <w:r>
        <w:t xml:space="preserve"> </w:t>
      </w:r>
      <w:r>
        <w:t xml:space="preserve">[</w:t>
      </w:r>
      <w:hyperlink w:anchor="ref-hackney2024">
        <w:r>
          <w:rPr>
            <w:rStyle w:val="Hyperlink"/>
          </w:rPr>
          <w:t xml:space="preserve">54</w:t>
        </w:r>
      </w:hyperlink>
      <w:r>
        <w:t xml:space="preserve">]</w:t>
      </w:r>
      <w:r>
        <w:t xml:space="preserve">. With 30% of new employees leaving within their first year</w:t>
      </w:r>
      <w:r>
        <w:t xml:space="preserve"> </w:t>
      </w:r>
      <w:r>
        <w:t xml:space="preserve">[</w:t>
      </w:r>
      <w:hyperlink w:anchor="ref-nsi2025">
        <w:r>
          <w:rPr>
            <w:rStyle w:val="Hyperlink"/>
          </w:rPr>
          <w:t xml:space="preserve">19</w:t>
        </w:r>
      </w:hyperlink>
      <w:r>
        <w:t xml:space="preserve">]</w:t>
      </w:r>
      <w:r>
        <w:t xml:space="preserve">, healthcare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13</w:t>
        </w:r>
      </w:hyperlink>
      <w:r>
        <w:t xml:space="preserve">,</w:t>
      </w:r>
      <w:hyperlink w:anchor="ref-konrad2022">
        <w:r>
          <w:rPr>
            <w:rStyle w:val="Hyperlink"/>
          </w:rPr>
          <w:t xml:space="preserve">20</w:t>
        </w:r>
      </w:hyperlink>
      <w:r>
        <w:t xml:space="preserve">]</w:t>
      </w:r>
      <w:r>
        <w:t xml:space="preserve">. This</w:t>
      </w:r>
      <w:r>
        <w:t xml:space="preserve"> </w:t>
      </w:r>
      <w:r>
        <w:t xml:space="preserve">“</w:t>
      </w:r>
      <w:r>
        <w:t xml:space="preserve">revolving door</w:t>
      </w:r>
      <w:r>
        <w:t xml:space="preserve">”</w:t>
      </w:r>
      <w:r>
        <w:t xml:space="preserve"> </w:t>
      </w:r>
      <w:r>
        <w:t xml:space="preserve">prevents the accumulation of the</w:t>
      </w:r>
      <w:r>
        <w:t xml:space="preserve"> </w:t>
      </w:r>
      <w:r>
        <w:t xml:space="preserve">“</w:t>
      </w:r>
      <w:r>
        <w:t xml:space="preserve">Collective Knowledge Structures</w:t>
      </w:r>
      <w:r>
        <w:t xml:space="preserve">”</w:t>
      </w:r>
      <w:r>
        <w:t xml:space="preserve"> </w:t>
      </w:r>
      <w:r>
        <w:t xml:space="preserve">required for complex task performance</w:t>
      </w:r>
      <w:r>
        <w:t xml:space="preserve"> </w:t>
      </w:r>
      <w:r>
        <w:t xml:space="preserve">[</w:t>
      </w:r>
      <w:hyperlink w:anchor="ref-rao2006">
        <w:r>
          <w:rPr>
            <w:rStyle w:val="Hyperlink"/>
          </w:rPr>
          <w:t xml:space="preserve">11</w:t>
        </w:r>
      </w:hyperlink>
      <w:r>
        <w:t xml:space="preserve">]</w:t>
      </w:r>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w:t>
      </w:r>
    </w:p>
    <w:bookmarkEnd w:id="35"/>
    <w:bookmarkStart w:id="36" w:name="pillar-3-technical-enablement-evidence"/>
    <w:p>
      <w:pPr>
        <w:pStyle w:val="Heading2"/>
      </w:pPr>
      <w:r>
        <w:t xml:space="preserve">Pillar 3: Technical Enablement Evidence</w:t>
      </w:r>
    </w:p>
    <w:p>
      <w:pPr>
        <w:pStyle w:val="FirstParagraph"/>
      </w:pPr>
      <w:r>
        <w:rPr>
          <w:i/>
          <w:iCs/>
        </w:rPr>
        <w:t xml:space="preserve">Technical enablement</w:t>
      </w:r>
      <w:r>
        <w:t xml:space="preserve"> </w:t>
      </w:r>
      <w:r>
        <w:t xml:space="preserve">denotes the technologies and practices that let non-specialist domain users access and analyze data without heavy reliance on central IT</w:t>
      </w:r>
      <w:r>
        <w:t xml:space="preserve"> </w:t>
      </w:r>
      <w:r>
        <w:t xml:space="preserve">[</w:t>
      </w:r>
      <w:hyperlink w:anchor="ref-alpar2016">
        <w:r>
          <w:rPr>
            <w:rStyle w:val="Hyperlink"/>
          </w:rPr>
          <w:t xml:space="preserve">55</w:t>
        </w:r>
      </w:hyperlink>
      <w:r>
        <w:t xml:space="preserve">,</w:t>
      </w:r>
      <w:hyperlink w:anchor="ref-banihani2020">
        <w:r>
          <w:rPr>
            <w:rStyle w:val="Hyperlink"/>
          </w:rPr>
          <w:t xml:space="preserve">56</w:t>
        </w:r>
      </w:hyperlink>
      <w:r>
        <w:t xml:space="preserve">]</w:t>
      </w:r>
      <w:r>
        <w:t xml:space="preserve">. NL2SQL technology has matured along a clear accuracy gradient: general-purpose models achieve approximately 65% execution accuracy on healthcare-specific benchmarks such as MIMICSQL</w:t>
      </w:r>
      <w:r>
        <w:t xml:space="preserve"> </w:t>
      </w:r>
      <w:r>
        <w:t xml:space="preserve">[</w:t>
      </w:r>
      <w:hyperlink w:anchor="ref-blaskovic2025">
        <w:r>
          <w:rPr>
            <w:rStyle w:val="Hyperlink"/>
          </w:rPr>
          <w:t xml:space="preserve">57</w:t>
        </w:r>
      </w:hyperlink>
      <w:r>
        <w:t xml:space="preserve">]</w:t>
      </w:r>
      <w:r>
        <w:t xml:space="preserve">; domain-adapted systems like MedT5SQL reach 80%</w:t>
      </w:r>
      <w:r>
        <w:t xml:space="preserve"> </w:t>
      </w:r>
      <w:r>
        <w:t xml:space="preserve">[</w:t>
      </w:r>
      <w:hyperlink w:anchor="ref-marshan2024">
        <w:r>
          <w:rPr>
            <w:rStyle w:val="Hyperlink"/>
          </w:rPr>
          <w:t xml:space="preserve">58</w:t>
        </w:r>
      </w:hyperlink>
      <w:r>
        <w:t xml:space="preserve">]</w:t>
      </w:r>
      <w:r>
        <w:t xml:space="preserve">; and architecturally specialized approaches combining large language models (LLMs) with structured knowledge representations achieve 94% on the same benchmarks</w:t>
      </w:r>
      <w:r>
        <w:t xml:space="preserve"> </w:t>
      </w:r>
      <w:r>
        <w:t xml:space="preserve">[</w:t>
      </w:r>
      <w:hyperlink w:anchor="ref-chen2026graph">
        <w:r>
          <w:rPr>
            <w:rStyle w:val="Hyperlink"/>
          </w:rPr>
          <w:t xml:space="preserve">59</w:t>
        </w:r>
      </w:hyperlink>
      <w:r>
        <w:t xml:space="preserve">]</w:t>
      </w:r>
      <w:r>
        <w:t xml:space="preserve">. While insufficient for unsupervised clinical deployment</w:t>
      </w:r>
      <w:r>
        <w:t xml:space="preserve"> </w:t>
      </w:r>
      <w:r>
        <w:t xml:space="preserve">[</w:t>
      </w:r>
      <w:hyperlink w:anchor="ref-ziletti2024">
        <w:r>
          <w:rPr>
            <w:rStyle w:val="Hyperlink"/>
          </w:rPr>
          <w:t xml:space="preserve">37</w:t>
        </w:r>
      </w:hyperlink>
      <w:r>
        <w:t xml:space="preserve">]</w:t>
      </w:r>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r>
        <w:t xml:space="preserve"> </w:t>
      </w:r>
      <w:r>
        <w:t xml:space="preserve">[</w:t>
      </w:r>
      <w:hyperlink w:anchor="ref-tarbell2024">
        <w:r>
          <w:rPr>
            <w:rStyle w:val="Hyperlink"/>
          </w:rPr>
          <w:t xml:space="preserve">60</w:t>
        </w:r>
      </w:hyperlink>
      <w:r>
        <w:t xml:space="preserve">]</w:t>
      </w:r>
      <w:r>
        <w:t xml:space="preserve">, reinforcing the necessity of the human-in-the-loop architecture. Healthcare-specific natural language interfaces such as Criteria2Query achieve fully automated cohort query formulation in 1.22 seconds per criterion</w:t>
      </w:r>
      <w:r>
        <w:t xml:space="preserve"> </w:t>
      </w:r>
      <w:r>
        <w:t xml:space="preserve">[</w:t>
      </w:r>
      <w:hyperlink w:anchor="ref-yuan2019">
        <w:r>
          <w:rPr>
            <w:rStyle w:val="Hyperlink"/>
          </w:rPr>
          <w:t xml:space="preserve">61</w:t>
        </w:r>
      </w:hyperlink>
      <w:r>
        <w:t xml:space="preserve">]</w:t>
      </w:r>
      <w:r>
        <w:t xml:space="preserve">, with over 80% of clinical users indicating willingness to adopt such tools, and LLM-powered interfaces reduce task completion time by 28% compared to traditional methods</w:t>
      </w:r>
      <w:r>
        <w:t xml:space="preserve"> </w:t>
      </w:r>
      <w:r>
        <w:t xml:space="preserve">[</w:t>
      </w:r>
      <w:hyperlink w:anchor="ref-nittala2024">
        <w:r>
          <w:rPr>
            <w:rStyle w:val="Hyperlink"/>
          </w:rPr>
          <w:t xml:space="preserve">62</w:t>
        </w:r>
      </w:hyperlink>
      <w:r>
        <w:t xml:space="preserve">]</w:t>
      </w:r>
      <w:r>
        <w:t xml:space="preserve">.</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r>
        <w:t xml:space="preserve">. In other words, the technology forces organizational discipline as a precondition for functioning, making it a governance forcing function even before considering the query results.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63</w:t>
        </w:r>
      </w:hyperlink>
      <w:r>
        <w:t xml:space="preserve">–</w:t>
      </w:r>
      <w:hyperlink w:anchor="ref-arora2025">
        <w:r>
          <w:rPr>
            <w:rStyle w:val="Hyperlink"/>
          </w:rPr>
          <w:t xml:space="preserve">66</w:t>
        </w:r>
      </w:hyperlink>
      <w:r>
        <w:t xml:space="preserve">]</w:t>
      </w:r>
      <w:r>
        <w:t xml:space="preserve">. The technical barrier thus becomes, paradoxically, a governance opportunity: the very difficulty of making NL2SQL work correctly compels organizations to surface and formalize the tacit knowledge that would otherwise remain trapped in departing experts.</w:t>
      </w:r>
    </w:p>
    <w:bookmarkEnd w:id="36"/>
    <w:bookmarkEnd w:id="37"/>
    <w:bookmarkStart w:id="43" w:name="organizational-self-assessment"/>
    <w:p>
      <w:pPr>
        <w:pStyle w:val="Heading1"/>
      </w:pP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38" w:name="why-assessment-not-just-maturity"/>
    <w:p>
      <w:pPr>
        <w:pStyle w:val="Heading2"/>
      </w:pPr>
      <w:r>
        <w:t xml:space="preserve">Why Assessment, Not Just Maturity</w:t>
      </w:r>
    </w:p>
    <w:p>
      <w:pPr>
        <w:pStyle w:val="FirstParagraph"/>
      </w:pPr>
      <w:r>
        <w:t xml:space="preserve">Existing maturity models such as AMAM, the DIKW hierarchy, and established knowledge management frameworks (see Table 1) assume linear progression and implicitly presuppose a stable workforce</w:t>
      </w:r>
      <w:r>
        <w:t xml:space="preserve"> </w:t>
      </w:r>
      <w:r>
        <w:t xml:space="preserve">[</w:t>
      </w:r>
      <w:hyperlink w:anchor="ref-himss2024">
        <w:r>
          <w:rPr>
            <w:rStyle w:val="Hyperlink"/>
          </w:rPr>
          <w:t xml:space="preserve">1</w:t>
        </w:r>
      </w:hyperlink>
      <w:r>
        <w:t xml:space="preserve">,</w:t>
      </w:r>
      <w:hyperlink w:anchor="ref-wang2018">
        <w:r>
          <w:rPr>
            <w:rStyle w:val="Hyperlink"/>
          </w:rPr>
          <w:t xml:space="preserve">9</w:t>
        </w:r>
      </w:hyperlink>
      <w:r>
        <w:t xml:space="preserve">]</w:t>
      </w:r>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identified 23 distinct organizational resilience instruments applied in health facilities, yet found no consensus on what to measure</w:t>
      </w:r>
      <w:r>
        <w:t xml:space="preserve"> </w:t>
      </w:r>
      <w:r>
        <w:t xml:space="preserve">[</w:t>
      </w:r>
      <w:hyperlink w:anchor="ref-ignatowicz2023">
        <w:r>
          <w:rPr>
            <w:rStyle w:val="Hyperlink"/>
          </w:rPr>
          <w:t xml:space="preserve">67</w:t>
        </w:r>
      </w:hyperlink>
      <w:r>
        <w:t xml:space="preserve">]</w:t>
      </w:r>
      <w:r>
        <w:t xml:space="preserve">. Only four instruments have been developed specifically for healthcare, and only two have been validated</w:t>
      </w:r>
      <w:r>
        <w:t xml:space="preserve"> </w:t>
      </w:r>
      <w:r>
        <w:t xml:space="preserve">[</w:t>
      </w:r>
      <w:hyperlink w:anchor="ref-ratliff2025">
        <w:r>
          <w:rPr>
            <w:rStyle w:val="Hyperlink"/>
          </w:rPr>
          <w:t xml:space="preserve">68</w:t>
        </w:r>
      </w:hyperlink>
      <w:r>
        <w:t xml:space="preserve">]</w:t>
      </w:r>
      <w:r>
        <w:t xml:space="preserve">. The Three-Pillar Assessment addresses this gap by organizing evidence-based indicators around the specific domains where institutional amnesia operates, measuring not just where an organization stands but how vulnerable it is to the compounding effects identified in Section 1.</w:t>
      </w:r>
    </w:p>
    <w:bookmarkEnd w:id="38"/>
    <w:bookmarkStart w:id="42" w:name="the-three-pillar-rubric"/>
    <w:p>
      <w:pPr>
        <w:pStyle w:val="Heading2"/>
      </w:pPr>
      <w:r>
        <w:t xml:space="preserve">The Three-Pillar Rubric</w:t>
      </w:r>
    </w:p>
    <w:p>
      <w:pPr>
        <w:pStyle w:val="FirstParagraph"/>
      </w:pPr>
      <w:r>
        <w:t xml:space="preserve">Each indicator is scored as Low, Medium, or High Strength using evidence-based anchors from the literature reviewed in Section 4. Organizations scoring predominantly</w:t>
      </w:r>
      <w:r>
        <w:t xml:space="preserve"> </w:t>
      </w:r>
      <w:r>
        <w:t xml:space="preserve">“</w:t>
      </w:r>
      <w:r>
        <w:t xml:space="preserve">Low Strength</w:t>
      </w:r>
      <w:r>
        <w:t xml:space="preserve">”</w:t>
      </w:r>
      <w:r>
        <w:t xml:space="preserve"> </w:t>
      </w:r>
      <w:r>
        <w:t xml:space="preserve">across multiple pillars face the self-reinforcing degradation cycle that the framework identifies as the central threat.</w:t>
      </w:r>
    </w:p>
    <w:bookmarkStart w:id="39" w:name="pillar-1-analytics-maturity"/>
    <w:p>
      <w:pPr>
        <w:pStyle w:val="Heading3"/>
      </w:pPr>
      <w:r>
        <w:t xml:space="preserve">Pillar 1: Analytics Maturity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1</w:t>
              </w:r>
            </w:hyperlink>
            <w:r>
              <w:t xml:space="preserve">,</w:t>
            </w:r>
            <w:hyperlink w:anchor="ref-himss2024news">
              <w:r>
                <w:rPr>
                  <w:rStyle w:val="Hyperlink"/>
                </w:rPr>
                <w:t xml:space="preserve">41</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health2020">
              <w:r>
                <w:rPr>
                  <w:rStyle w:val="Hyperlink"/>
                </w:rPr>
                <w:t xml:space="preserve">44</w:t>
              </w:r>
            </w:hyperlink>
            <w:r>
              <w:t xml:space="preserve">,</w:t>
            </w:r>
            <w:hyperlink w:anchor="ref-shahbaz2019">
              <w:r>
                <w:rPr>
                  <w:rStyle w:val="Hyperlink"/>
                </w:rPr>
                <w:t xml:space="preserve">49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37</w:t>
              </w:r>
            </w:hyperlink>
            <w:r>
              <w:t xml:space="preserve">,</w:t>
            </w:r>
            <w:hyperlink w:anchor="ref-yuan2019">
              <w:r>
                <w:rPr>
                  <w:rStyle w:val="Hyperlink"/>
                </w:rPr>
                <w:t xml:space="preserve">61</w:t>
              </w:r>
            </w:hyperlink>
            <w:r>
              <w:t xml:space="preserve">]</w:t>
            </w:r>
          </w:p>
        </w:tc>
      </w:tr>
    </w:tbl>
    <w:bookmarkEnd w:id="39"/>
    <w:bookmarkStart w:id="40" w:name="pillar-2-workforce-agility"/>
    <w:p>
      <w:pPr>
        <w:pStyle w:val="Heading3"/>
      </w:pPr>
      <w:r>
        <w:t xml:space="preserve">Pillar 2: Workforce Agility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First-year analytics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19</w:t>
              </w:r>
            </w:hyperlink>
            <w:r>
              <w:t xml:space="preserve">,</w:t>
            </w:r>
            <w:hyperlink w:anchor="ref-hackney2024">
              <w:r>
                <w:rPr>
                  <w:rStyle w:val="Hyperlink"/>
                </w:rPr>
                <w:t xml:space="preserve">54</w:t>
              </w:r>
            </w:hyperlink>
            <w:r>
              <w:t xml:space="preserve">]</w:t>
            </w:r>
          </w:p>
        </w:tc>
      </w:tr>
      <w:tr>
        <w:tc>
          <w:tcPr/>
          <w:p>
            <w:pPr>
              <w:pStyle w:val="Compact"/>
              <w:jc w:val="left"/>
            </w:pPr>
            <w:r>
              <w:t xml:space="preserve">Avg. leadership tenure</w:t>
            </w:r>
          </w:p>
        </w:tc>
        <w:tc>
          <w:tcPr/>
          <w:p>
            <w:pPr>
              <w:pStyle w:val="Compact"/>
              <w:jc w:val="left"/>
            </w:pPr>
            <w:r>
              <w:t xml:space="preserve">&lt; 3 years</w:t>
            </w:r>
          </w:p>
        </w:tc>
        <w:tc>
          <w:tcPr/>
          <w:p>
            <w:pPr>
              <w:pStyle w:val="Compact"/>
              <w:jc w:val="left"/>
            </w:pPr>
            <w:r>
              <w:t xml:space="preserve">3-5 years</w:t>
            </w:r>
          </w:p>
        </w:tc>
        <w:tc>
          <w:tcPr/>
          <w:p>
            <w:pPr>
              <w:pStyle w:val="Compact"/>
              <w:jc w:val="left"/>
            </w:pPr>
            <w:r>
              <w:t xml:space="preserve">&gt; 5 years</w:t>
            </w:r>
          </w:p>
        </w:tc>
        <w:tc>
          <w:tcPr/>
          <w:p>
            <w:pPr>
              <w:pStyle w:val="Compact"/>
              <w:jc w:val="left"/>
            </w:pPr>
            <w:r>
              <w:t xml:space="preserve">[</w:t>
            </w:r>
            <w:hyperlink w:anchor="ref-wittkieffer2024">
              <w:r>
                <w:rPr>
                  <w:rStyle w:val="Hyperlink"/>
                </w:rPr>
                <w:t xml:space="preserve">5</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or fewer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massingham2018">
              <w:r>
                <w:rPr>
                  <w:rStyle w:val="Hyperlink"/>
                </w:rPr>
                <w:t xml:space="preserve">23</w:t>
              </w:r>
            </w:hyperlink>
            <w:r>
              <w:t xml:space="preserve">,</w:t>
            </w:r>
            <w:hyperlink w:anchor="ref-foss2007">
              <w:r>
                <w:rPr>
                  <w:rStyle w:val="Hyperlink"/>
                </w:rPr>
                <w:t xml:space="preserve">27</w:t>
              </w:r>
            </w:hyperlink>
            <w:r>
              <w:t xml:space="preserve">]</w:t>
            </w:r>
          </w:p>
        </w:tc>
      </w:tr>
    </w:tbl>
    <w:bookmarkEnd w:id="40"/>
    <w:bookmarkStart w:id="41" w:name="pillar-3-technical-enablement"/>
    <w:p>
      <w:pPr>
        <w:pStyle w:val="Heading3"/>
      </w:pPr>
      <w:r>
        <w:t xml:space="preserve">Pillar 3: Technical Enablement</w:t>
      </w:r>
    </w:p>
    <w:p>
      <w:pPr>
        <w:pStyle w:val="TableCaption"/>
      </w:pPr>
      <w:r>
        <w:t xml:space="preserve">Three-Pillar Organizational Assessment Rubric.</w:t>
      </w:r>
      <w:r>
        <w:t xml:space="preserve"> </w:t>
      </w:r>
    </w:p>
    <w:tbl>
      <w:tblPr>
        <w:tblStyle w:val="Table"/>
        <w:tblW w:type="pct" w:w="5000"/>
        <w:jc w:val="left"/>
        <w:tblLayout w:type="fixed"/>
        <w:tblLook w:firstRow="1" w:lastRow="0" w:firstColumn="0" w:lastColumn="0" w:noHBand="0" w:noVBand="0" w:val="0020"/>
        <w:tblCaption w:val="Three-Pillar Organizational Assessment Rubric. "/>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shahbaz2019">
              <w:r>
                <w:rPr>
                  <w:rStyle w:val="Hyperlink"/>
                </w:rPr>
                <w:t xml:space="preserve">49</w:t>
              </w:r>
            </w:hyperlink>
            <w:r>
              <w:t xml:space="preserve">,</w:t>
            </w:r>
            <w:hyperlink w:anchor="ref-yuan2019">
              <w:r>
                <w:rPr>
                  <w:rStyle w:val="Hyperlink"/>
                </w:rPr>
                <w:t xml:space="preserve">61</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p>
        </w:tc>
      </w:tr>
      <w:tr>
        <w:tc>
          <w:tcPr/>
          <w:p>
            <w:pPr>
              <w:pStyle w:val="Compact"/>
              <w:jc w:val="left"/>
            </w:pPr>
            <w:r>
              <w:t xml:space="preserve">Schema coupling</w:t>
            </w:r>
          </w:p>
        </w:tc>
        <w:tc>
          <w:tcPr/>
          <w:p>
            <w:pPr>
              <w:pStyle w:val="Compact"/>
              <w:jc w:val="left"/>
            </w:pPr>
            <w:r>
              <w:t xml:space="preserve">Hard-coded reports break on schema change</w:t>
            </w:r>
          </w:p>
        </w:tc>
        <w:tc>
          <w:tcPr/>
          <w:p>
            <w:pPr>
              <w:pStyle w:val="Compact"/>
              <w:jc w:val="left"/>
            </w:pPr>
            <w:r>
              <w:t xml:space="preserve">Partial semantic layer; some automated feeds</w:t>
            </w:r>
          </w:p>
        </w:tc>
        <w:tc>
          <w:tcPr/>
          <w:p>
            <w:pPr>
              <w:pStyle w:val="Compact"/>
              <w:jc w:val="left"/>
            </w:pPr>
            <w:r>
              <w:t xml:space="preserve">Semantic layer adapts; CI/CD detects drift</w:t>
            </w:r>
          </w:p>
        </w:tc>
        <w:tc>
          <w:tcPr/>
          <w:p>
            <w:pPr>
              <w:pStyle w:val="Compact"/>
              <w:jc w:val="left"/>
            </w:pPr>
            <w:r>
              <w:t xml:space="preserve">[</w:t>
            </w:r>
            <w:hyperlink w:anchor="ref-mannapur2025">
              <w:r>
                <w:rPr>
                  <w:rStyle w:val="Hyperlink"/>
                </w:rPr>
                <w:t xml:space="preserve">33</w:t>
              </w:r>
            </w:hyperlink>
            <w:r>
              <w:t xml:space="preserve">,</w:t>
            </w:r>
            <w:hyperlink w:anchor="ref-battula2025">
              <w:r>
                <w:rPr>
                  <w:rStyle w:val="Hyperlink"/>
                </w:rPr>
                <w:t xml:space="preserve">34</w:t>
              </w:r>
            </w:hyperlink>
            <w:r>
              <w:t xml:space="preserve">]</w:t>
            </w:r>
          </w:p>
        </w:tc>
      </w:tr>
    </w:tbl>
    <w:p>
      <w:pPr>
        <w:pStyle w:val="BodyText"/>
      </w:pPr>
      <w:r>
        <w:t xml:space="preserve">The</w:t>
      </w:r>
      <w:r>
        <w:t xml:space="preserve"> </w:t>
      </w:r>
      <w:r>
        <w:t xml:space="preserve">“</w:t>
      </w:r>
      <w:r>
        <w:t xml:space="preserve">Schema Coupling</w:t>
      </w:r>
      <w:r>
        <w:t xml:space="preserve">”</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w:t>
      </w:r>
      <w:r>
        <w:t xml:space="preserve"> </w:t>
      </w:r>
      <w:r>
        <w:t xml:space="preserve">[</w:t>
      </w:r>
      <w:hyperlink w:anchor="ref-valiaiev2025">
        <w:r>
          <w:rPr>
            <w:rStyle w:val="Hyperlink"/>
          </w:rPr>
          <w:t xml:space="preserve">69</w:t>
        </w:r>
      </w:hyperlink>
      <w:r>
        <w:t xml:space="preserve">]</w:t>
      </w:r>
      <w:r>
        <w:t xml:space="preserve">. When a data warehouse schema is updated, the system automatically re-runs stored queries and flags failures, transforming institutional memory into a living test suite</w:t>
      </w:r>
      <w:r>
        <w:t xml:space="preserve"> </w:t>
      </w:r>
      <w:r>
        <w:t xml:space="preserve">[</w:t>
      </w:r>
      <w:hyperlink w:anchor="ref-betha2023">
        <w:r>
          <w:rPr>
            <w:rStyle w:val="Hyperlink"/>
          </w:rPr>
          <w:t xml:space="preserve">70</w:t>
        </w:r>
      </w:hyperlink>
      <w:r>
        <w:t xml:space="preserve">,</w:t>
      </w:r>
      <w:hyperlink w:anchor="ref-kottam2025">
        <w:r>
          <w:rPr>
            <w:rStyle w:val="Hyperlink"/>
          </w:rPr>
          <w:t xml:space="preserve">71</w:t>
        </w:r>
      </w:hyperlink>
      <w:r>
        <w:t xml:space="preserve">]</w:t>
      </w:r>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41"/>
    <w:bookmarkEnd w:id="42"/>
    <w:bookmarkEnd w:id="43"/>
    <w:bookmarkStart w:id="44" w:name="the-validator-paradox-and-standard-work"/>
    <w:p>
      <w:pPr>
        <w:pStyle w:val="Heading1"/>
      </w:pP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w:t>
      </w:r>
      <w:r>
        <w:t xml:space="preserve">Standard Work</w:t>
      </w:r>
      <w:r>
        <w:t xml:space="preserve">”</w:t>
      </w:r>
      <w:r>
        <w:t xml:space="preserve"> </w:t>
      </w:r>
      <w:r>
        <w:t xml:space="preserve">[</w:t>
      </w:r>
      <w:hyperlink w:anchor="ref-alukal2006">
        <w:r>
          <w:rPr>
            <w:rStyle w:val="Hyperlink"/>
          </w:rPr>
          <w:t xml:space="preserve">72</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time an analyst validates a query triple, they record the best available understanding of how a business question maps to a data operation at that moment in time. The validation is time-stamped and contextual, not permanent. Critically, as Alukal and Manos</w:t>
      </w:r>
      <w:r>
        <w:t xml:space="preserve"> </w:t>
      </w:r>
      <w:r>
        <w:t xml:space="preserve">[</w:t>
      </w:r>
      <w:hyperlink w:anchor="ref-alukal2006">
        <w:r>
          <w:rPr>
            <w:rStyle w:val="Hyperlink"/>
          </w:rPr>
          <w:t xml:space="preserve">72</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When the next expert arrives (whether a seasoned veteran or a competent mid-career hire), they inherit a baseline and can refine it rather than reconstructing institutional knowledge from scratch.</w:t>
      </w:r>
    </w:p>
    <w:p>
      <w:pPr>
        <w:pStyle w:val="BodyText"/>
      </w:pPr>
      <w:r>
        <w:t xml:space="preserve">This mechanism functions as a</w:t>
      </w:r>
      <w:r>
        <w:t xml:space="preserve"> </w:t>
      </w:r>
      <w:r>
        <w:rPr>
          <w:i/>
          <w:iCs/>
        </w:rPr>
        <w:t xml:space="preserve">Knowledge Ratchet</w:t>
      </w:r>
      <w:r>
        <w:t xml:space="preserve"> </w:t>
      </w:r>
      <w:r>
        <w:t xml:space="preserve">[</w:t>
      </w:r>
      <w:hyperlink w:anchor="ref-rao2006">
        <w:r>
          <w:rPr>
            <w:rStyle w:val="Hyperlink"/>
          </w:rPr>
          <w:t xml:space="preserve">11</w:t>
        </w:r>
      </w:hyperlink>
      <w:r>
        <w:t xml:space="preserve">]</w:t>
      </w:r>
      <w:r>
        <w:t xml:space="preserve">. Each validated triple prevents regression below the last confirmed state. Even if a subsequent validator is less experienced than their predecessor, the organization cannot slide below the previously validated standard. The analogy to version control is instructive: each commit preserves a known-good state that future contributors build upon. The ratchet does not guarantee forward progress, but it prevents the catastrophic backsliding that is the central failure mode of institutional amnesia.</w:t>
      </w:r>
    </w:p>
    <w:p>
      <w:pPr>
        <w:pStyle w:val="BodyText"/>
      </w:pPr>
      <w:r>
        <w:t xml:space="preserve">Real-world evidence supports this mechanism. UC Davis Health moved from AMAM Stage 0 to Stage 6 by establishing standardized</w:t>
      </w:r>
      <w:r>
        <w:t xml:space="preserve"> </w:t>
      </w:r>
      <w:r>
        <w:t xml:space="preserve">“</w:t>
      </w:r>
      <w:r>
        <w:t xml:space="preserve">S.M.A.R.T.</w:t>
      </w:r>
      <w:r>
        <w:t xml:space="preserve">”</w:t>
      </w:r>
      <w:r>
        <w:t xml:space="preserve"> </w:t>
      </w:r>
      <w:r>
        <w:t xml:space="preserve">definitions for its analytics metrics</w:t>
      </w:r>
      <w:r>
        <w:t xml:space="preserve"> </w:t>
      </w:r>
      <w:r>
        <w:t xml:space="preserve">[</w:t>
      </w:r>
      <w:hyperlink w:anchor="ref-himss2025ucdavis">
        <w:r>
          <w:rPr>
            <w:rStyle w:val="Hyperlink"/>
          </w:rPr>
          <w:t xml:space="preserve">73</w:t>
        </w:r>
      </w:hyperlink>
      <w:r>
        <w:t xml:space="preserve">]</w:t>
      </w:r>
      <w:r>
        <w:t xml:space="preserve">. Those codified standards survived staff turnover precisely because they existed as organizational artifacts rather than as knowledge held solely by the individuals who created them. The HITL-KG validated query library serves an analogous function: it encodes analytical decisions into durable, retrievable structures that persist independent of any single analyst’s tenure.</w:t>
      </w:r>
    </w:p>
    <w:p>
      <w:pPr>
        <w:pStyle w:val="BodyText"/>
      </w:pPr>
      <w:r>
        <w:t xml:space="preserve">However, the Validator Paradox is not fully resolved. There exists a minimum viable expertise threshold below which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r>
        <w:t xml:space="preserve"> </w:t>
      </w:r>
      <w:r>
        <w:t xml:space="preserve">[</w:t>
      </w:r>
      <w:hyperlink w:anchor="ref-kumar2025caos">
        <w:r>
          <w:rPr>
            <w:rStyle w:val="Hyperlink"/>
          </w:rPr>
          <w:t xml:space="preserve">74</w:t>
        </w:r>
      </w:hyperlink>
      <w:r>
        <w:t xml:space="preserve">,</w:t>
      </w:r>
      <w:hyperlink w:anchor="ref-labkoff2024">
        <w:r>
          <w:rPr>
            <w:rStyle w:val="Hyperlink"/>
          </w:rPr>
          <w:t xml:space="preserve">75</w:t>
        </w:r>
      </w:hyperlink>
      <w:r>
        <w:t xml:space="preserve">]</w:t>
      </w:r>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this is the default mode.</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w:t>
      </w:r>
      <w:r>
        <w:t xml:space="preserve">provisional</w:t>
      </w:r>
      <w:r>
        <w:t xml:space="preserve">”</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but logs it for periodic audit.</w:t>
      </w:r>
    </w:p>
    <w:p>
      <w:pPr>
        <w:pStyle w:val="BodyText"/>
      </w:pPr>
      <w:r>
        <w:t xml:space="preserve">At the organizational level, governance requirements include defining who can validate queries (domain expertise thresholds), establishing review workflows for high-stakes queries, managing query versioning as schemas evolve, and implementing retrieval policies. Drawing on established master data governance practice</w:t>
      </w:r>
      <w:r>
        <w:t xml:space="preserve"> </w:t>
      </w:r>
      <w:r>
        <w:t xml:space="preserve">[</w:t>
      </w:r>
      <w:hyperlink w:anchor="ref-loshin2010">
        <w:r>
          <w:rPr>
            <w:rStyle w:val="Hyperlink"/>
          </w:rPr>
          <w:t xml:space="preserve">76</w:t>
        </w:r>
      </w:hyperlink>
      <w:r>
        <w:t xml:space="preserve">,</w:t>
      </w:r>
      <w:hyperlink w:anchor="ref-kalyanasundaram2025">
        <w:r>
          <w:rPr>
            <w:rStyle w:val="Hyperlink"/>
          </w:rPr>
          <w:t xml:space="preserve">77</w:t>
        </w:r>
      </w:hyperlink>
      <w:r>
        <w:t xml:space="preserve">]</w:t>
      </w:r>
      <w:r>
        <w:t xml:space="preserve">, organizations can designate specific validated triples as</w:t>
      </w:r>
      <w:r>
        <w:t xml:space="preserve"> </w:t>
      </w:r>
      <w:r>
        <w:t xml:space="preserve">“</w:t>
      </w:r>
      <w:r>
        <w:t xml:space="preserve">Golden Queries,</w:t>
      </w:r>
      <w:r>
        <w:t xml:space="preserve">”</w:t>
      </w:r>
      <w:r>
        <w:t xml:space="preserve"> </w:t>
      </w:r>
      <w:r>
        <w:t xml:space="preserve">certified by a governance committee as the authoritative source of truth for key metrics. While many users can create and validate queries, only these certified triples serve as official standards, mitigating Shadow IT risks</w:t>
      </w:r>
      <w:r>
        <w:t xml:space="preserve"> </w:t>
      </w:r>
      <w:r>
        <w:t xml:space="preserve">[</w:t>
      </w:r>
      <w:hyperlink w:anchor="ref-zimmermann2017">
        <w:r>
          <w:rPr>
            <w:rStyle w:val="Hyperlink"/>
          </w:rPr>
          <w:t xml:space="preserve">78</w:t>
        </w:r>
      </w:hyperlink>
      <w:r>
        <w:t xml:space="preserve">]</w:t>
      </w:r>
      <w:r>
        <w:t xml:space="preserve"> </w:t>
      </w:r>
      <w:r>
        <w:t xml:space="preserve">while preserving analytical agility.</w:t>
      </w:r>
    </w:p>
    <w:bookmarkEnd w:id="44"/>
    <w:bookmarkStart w:id="45" w:name="safety-as-cognitive-forcing"/>
    <w:p>
      <w:pPr>
        <w:pStyle w:val="Heading1"/>
      </w:pP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w:t>
      </w:r>
      <w:r>
        <w:t xml:space="preserve">laundering hallucinations</w:t>
      </w:r>
      <w:r>
        <w:t xml:space="preserve">”</w:t>
      </w:r>
      <w:r>
        <w:t xml:space="preserve">: a plausible-sounding but factually incorrect query result that enters the decision pipeline undetected and influences clinical or operational choices. Because large language models generate fluent, confident output regardless of correctness, the absence of a structured validation step means that errors arrive dressed in the language of expertise, making them harder to catch than obviously malformed output.</w:t>
      </w:r>
    </w:p>
    <w:p>
      <w:pPr>
        <w:pStyle w:val="BodyText"/>
      </w:pPr>
      <w:r>
        <w:t xml:space="preserve">HITL-KG mitigates this risk through</w:t>
      </w:r>
      <w:r>
        <w:t xml:space="preserve"> </w:t>
      </w:r>
      <w:r>
        <w:rPr>
          <w:i/>
          <w:iCs/>
        </w:rPr>
        <w:t xml:space="preserve">Cognitive Forcing Functions</w:t>
      </w:r>
      <w:r>
        <w:t xml:space="preserve"> </w:t>
      </w:r>
      <w:r>
        <w:t xml:space="preserve">[</w:t>
      </w:r>
      <w:hyperlink w:anchor="ref-ziletti2024">
        <w:r>
          <w:rPr>
            <w:rStyle w:val="Hyperlink"/>
          </w:rPr>
          <w:t xml:space="preserve">37</w:t>
        </w:r>
      </w:hyperlink>
      <w:r>
        <w:t xml:space="preserve">]</w:t>
      </w:r>
      <w:r>
        <w:t xml:space="preserve">, a design pattern borrowed from clinical decision-making and safety engineering. By requiring the AI to explain its reasoning</w:t>
      </w:r>
      <w:r>
        <w:t xml:space="preserve"> </w:t>
      </w:r>
      <w:r>
        <w:rPr>
          <w:i/>
          <w:iCs/>
        </w:rPr>
        <w:t xml:space="preserve">before</w:t>
      </w:r>
      <w:r>
        <w:t xml:space="preserve"> </w:t>
      </w:r>
      <w:r>
        <w:t xml:space="preserve">presenting results, the architecture forces the human validator into System 2 (analytical, deliberate) thinking rather than allowing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79</w:t>
        </w:r>
      </w:hyperlink>
      <w:r>
        <w:t xml:space="preserve">]</w:t>
      </w:r>
      <w:r>
        <w:t xml:space="preserve">.</w:t>
      </w:r>
    </w:p>
    <w:p>
      <w:pPr>
        <w:pStyle w:val="BodyText"/>
      </w:pPr>
      <w:r>
        <w:t xml:space="preserve">Critically, the human validator’s value is not merely assumed. Recent studies show that human oversight measurably improves AI-generated analytics: large-language-model output verified by a reviewer outperformed a human-only workflow (91.0% versus 89.0% accuracy) across six systematic reviews</w:t>
      </w:r>
      <w:r>
        <w:t xml:space="preserve"> </w:t>
      </w:r>
      <w:r>
        <w:t xml:space="preserve">[</w:t>
      </w:r>
      <w:hyperlink w:anchor="ref-gartlehner2025">
        <w:r>
          <w:rPr>
            <w:rStyle w:val="Hyperlink"/>
          </w:rPr>
          <w:t xml:space="preserve">80</w:t>
        </w:r>
      </w:hyperlink>
      <w:r>
        <w:t xml:space="preserve">]</w:t>
      </w:r>
      <w:r>
        <w:t xml:space="preserve">, and a text-to-SQL validation gate in which experts correct generated queries improved semantic correctness by 28.4% over end-to-end model output</w:t>
      </w:r>
      <w:r>
        <w:t xml:space="preserve"> </w:t>
      </w:r>
      <w:r>
        <w:t xml:space="preserve">[</w:t>
      </w:r>
      <w:hyperlink w:anchor="ref-benzarti2026">
        <w:r>
          <w:rPr>
            <w:rStyle w:val="Hyperlink"/>
          </w:rPr>
          <w:t xml:space="preserve">81</w:t>
        </w:r>
      </w:hyperlink>
      <w:r>
        <w:t xml:space="preserve">]</w:t>
      </w:r>
      <w:r>
        <w:t xml:space="preserve">. These gains are conditional on well-designed interaction</w:t>
      </w:r>
      <w:r>
        <w:t xml:space="preserve"> </w:t>
      </w:r>
      <w:r>
        <w:t xml:space="preserve">[</w:t>
      </w:r>
      <w:hyperlink w:anchor="ref-ning2024">
        <w:r>
          <w:rPr>
            <w:rStyle w:val="Hyperlink"/>
          </w:rPr>
          <w:t xml:space="preserve">82</w:t>
        </w:r>
      </w:hyperlink>
      <w:r>
        <w:t xml:space="preserve">]</w:t>
      </w:r>
      <w:r>
        <w:t xml:space="preserve">; the comparative effectiveness of HITL-KG itself remains the subject of the planned empirical validation.</w:t>
      </w:r>
    </w:p>
    <w:p>
      <w:pPr>
        <w:pStyle w:val="BodyText"/>
      </w:pPr>
      <w:r>
        <w:t xml:space="preserve">The parallel to aviation safety is instructive: checklists and mandatory call-outs made commercial aviation one of the safest modes of transportation not by eliminating human error but by surfacing errors before they propagate. HITL-KG applies the same principle: the mandatory validation step is an analytical</w:t>
      </w:r>
      <w:r>
        <w:t xml:space="preserve"> </w:t>
      </w:r>
      <w:r>
        <w:t xml:space="preserve">“</w:t>
      </w:r>
      <w:r>
        <w:t xml:space="preserve">call-out</w:t>
      </w:r>
      <w:r>
        <w:t xml:space="preserve">”</w:t>
      </w:r>
      <w:r>
        <w:t xml:space="preserve"> </w:t>
      </w:r>
      <w:r>
        <w:t xml:space="preserve">that interrupts uncritical acceptance, so the friction of validation is not a cost but the mechanism of safety itself.</w:t>
      </w:r>
    </w:p>
    <w:bookmarkEnd w:id="45"/>
    <w:bookmarkStart w:id="46" w:name="Xf414813cd0afe621d2dc19456f0dc09d0fd73a3"/>
    <w:p>
      <w:pPr>
        <w:pStyle w:val="Heading1"/>
      </w:pP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83</w:t>
        </w:r>
      </w:hyperlink>
      <w:r>
        <w:t xml:space="preserve">,</w:t>
      </w:r>
      <w:hyperlink w:anchor="ref-strickland2019">
        <w:r>
          <w:rPr>
            <w:rStyle w:val="Hyperlink"/>
          </w:rPr>
          <w:t xml:space="preserve">84</w:t>
        </w:r>
      </w:hyperlink>
      <w:r>
        <w:t xml:space="preserve">]</w:t>
      </w:r>
      <w:r>
        <w:t xml:space="preserve">, Haven</w:t>
      </w:r>
      <w:r>
        <w:t xml:space="preserve"> </w:t>
      </w:r>
      <w:r>
        <w:t xml:space="preserve">[</w:t>
      </w:r>
      <w:hyperlink w:anchor="ref-lavito2021">
        <w:r>
          <w:rPr>
            <w:rStyle w:val="Hyperlink"/>
          </w:rPr>
          <w:t xml:space="preserve">85</w:t>
        </w:r>
      </w:hyperlink>
      <w:r>
        <w:t xml:space="preserve">,</w:t>
      </w:r>
      <w:hyperlink w:anchor="ref-acchiardo2021">
        <w:r>
          <w:rPr>
            <w:rStyle w:val="Hyperlink"/>
          </w:rPr>
          <w:t xml:space="preserve">86</w:t>
        </w:r>
      </w:hyperlink>
      <w:r>
        <w:t xml:space="preserve">]</w:t>
      </w:r>
      <w:r>
        <w:t xml:space="preserve">) demonstrate that centralized models fail clinical reality. Metadata uncertainties and</w:t>
      </w:r>
      <w:r>
        <w:t xml:space="preserve"> </w:t>
      </w:r>
      <w:r>
        <w:t xml:space="preserve">“</w:t>
      </w:r>
      <w:r>
        <w:t xml:space="preserve">messy</w:t>
      </w:r>
      <w:r>
        <w:t xml:space="preserve">”</w:t>
      </w:r>
      <w:r>
        <w:t xml:space="preserve"> </w:t>
      </w:r>
      <w:r>
        <w:t xml:space="preserve">institution-specific business logic require localized solutions</w:t>
      </w:r>
      <w:r>
        <w:t xml:space="preserve"> </w:t>
      </w:r>
      <w:r>
        <w:t xml:space="preserve">[</w:t>
      </w:r>
      <w:hyperlink w:anchor="ref-gal2019">
        <w:r>
          <w:rPr>
            <w:rStyle w:val="Hyperlink"/>
          </w:rPr>
          <w:t xml:space="preserve">2</w:t>
        </w:r>
      </w:hyperlink>
      <w:r>
        <w:t xml:space="preserve">,</w:t>
      </w:r>
      <w:hyperlink w:anchor="ref-yang2020">
        <w:r>
          <w:rPr>
            <w:rStyle w:val="Hyperlink"/>
          </w:rPr>
          <w:t xml:space="preserve">87</w:t>
        </w:r>
      </w:hyperlink>
      <w:r>
        <w:t xml:space="preserve">]</w:t>
      </w:r>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46"/>
    <w:bookmarkStart w:id="47" w:name="limitations"/>
    <w:p>
      <w:pPr>
        <w:pStyle w:val="Heading1"/>
      </w:pP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p>
      <w:pPr>
        <w:pStyle w:val="BodyText"/>
      </w:pPr>
      <w:r>
        <w:t xml:space="preserve">HITL-KG also complements rather than replaces workforce development: it decouples institutional knowledge from individual tenure, but still presumes investment in the training and analytics literacy through which staff learn to pose, validate, and interpret queries</w:t>
      </w:r>
      <w:r>
        <w:t xml:space="preserve"> </w:t>
      </w:r>
      <w:r>
        <w:t xml:space="preserve">[</w:t>
      </w:r>
      <w:hyperlink w:anchor="ref-konrad2022">
        <w:r>
          <w:rPr>
            <w:rStyle w:val="Hyperlink"/>
          </w:rPr>
          <w:t xml:space="preserve">20</w:t>
        </w:r>
      </w:hyperlink>
      <w:r>
        <w:t xml:space="preserve">]</w:t>
      </w:r>
      <w:r>
        <w:t xml:space="preserve">. This complementarity also bounds the framework. Where data models and business rules change continually, no approach is self-maintaining; precisely because retained expertise cannot manually keep pace with constant change, knowledge must be externalized into curated artifacts, yet the validated query library must itself be actively maintained, a burden the Continuous Analytic Integration mechanism mitigates but does not remove.</w:t>
      </w:r>
    </w:p>
    <w:bookmarkEnd w:id="47"/>
    <w:bookmarkStart w:id="48" w:name="implications-and-future-research"/>
    <w:p>
      <w:pPr>
        <w:pStyle w:val="Heading1"/>
      </w:pP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across diverse health systems will be needed to test these claims and adapt the framework to varying organizational, regulatory, and data environments.</w:t>
      </w:r>
    </w:p>
    <w:bookmarkEnd w:id="48"/>
    <w:bookmarkStart w:id="49" w:name="acknowledgments"/>
    <w:p>
      <w:pPr>
        <w:pStyle w:val="Heading1"/>
      </w:pPr>
      <w:r>
        <w:t xml:space="preserve">Acknowledgments</w:t>
      </w:r>
    </w:p>
    <w:p>
      <w:pPr>
        <w:pStyle w:val="FirstParagraph"/>
      </w:pPr>
      <w:r>
        <w:t xml:space="preserve">The author (S.T.H.) is the sole author and takes full responsibility for the manuscript’s content. Generative AI disclosure: generative AI was used to assist this work, specifically Gemini CLI (Gemini 3, Google) and Claude Code (Claude Opus 4, Anthropic) for manuscript editing, language refinement, and literature search. Generative AI was not used to generate research findings, data, or conclusions; the author conducted the research and verified all claims, citations, and AI-assisted text. Figures were generated using the Mermaid graph language.</w:t>
      </w:r>
    </w:p>
    <w:bookmarkEnd w:id="49"/>
    <w:bookmarkStart w:id="50" w:name="author-contributions"/>
    <w:p>
      <w:pPr>
        <w:pStyle w:val="Heading1"/>
      </w:pPr>
      <w:r>
        <w:t xml:space="preserve">Author Contributions</w:t>
      </w:r>
    </w:p>
    <w:p>
      <w:pPr>
        <w:pStyle w:val="FirstParagraph"/>
      </w:pPr>
      <w:r>
        <w:t xml:space="preserve">S.T.H.: Conceptualization, Investigation, Methodology, Writing (Original Draft), Writing (Review and Editing), Visualization.</w:t>
      </w:r>
    </w:p>
    <w:bookmarkEnd w:id="50"/>
    <w:bookmarkStart w:id="51" w:name="conflicts-of-interest"/>
    <w:p>
      <w:pPr>
        <w:pStyle w:val="Heading1"/>
      </w:pP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51"/>
    <w:bookmarkStart w:id="52" w:name="data-availability"/>
    <w:p>
      <w:pPr>
        <w:pStyle w:val="Heading1"/>
      </w:pP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 The manuscript source, build pipeline, and literature review tool are available at https://doi.org/10.5281/zenodo.18264359</w:t>
      </w:r>
    </w:p>
    <w:bookmarkEnd w:id="52"/>
    <w:bookmarkStart w:id="53" w:name="funding"/>
    <w:p>
      <w:pPr>
        <w:pStyle w:val="Heading1"/>
      </w:pPr>
      <w:r>
        <w:t xml:space="preserve">Funding</w:t>
      </w:r>
    </w:p>
    <w:p>
      <w:pPr>
        <w:pStyle w:val="FirstParagraph"/>
      </w:pPr>
      <w:r>
        <w:t xml:space="preserve">Yuimedi, Inc. provided financial support for the author’s time researching and writing this manuscript.</w:t>
      </w:r>
    </w:p>
    <w:bookmarkEnd w:id="53"/>
    <w:bookmarkStart w:id="54" w:name="abbreviations"/>
    <w:p>
      <w:pPr>
        <w:pStyle w:val="Heading1"/>
      </w:pP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BI: Business Intelligence</w:t>
      </w:r>
      <w:r>
        <w:t xml:space="preserve"> </w:t>
      </w:r>
      <w:r>
        <w:t xml:space="preserve">CI/CD: Continuous Integration and Continuous Delivery</w:t>
      </w:r>
      <w:r>
        <w:t xml:space="preserve"> </w:t>
      </w:r>
      <w:r>
        <w:t xml:space="preserve">CIO: Chief Information Officer</w:t>
      </w:r>
      <w:r>
        <w:t xml:space="preserve"> </w:t>
      </w:r>
      <w:r>
        <w:t xml:space="preserve">CMS: Centers for Medicare and Medicaid Services</w:t>
      </w:r>
      <w:r>
        <w:t xml:space="preserve"> </w:t>
      </w:r>
      <w:r>
        <w:t xml:space="preserve">DIKW: Data, Information, Knowledge, Wisdom</w:t>
      </w:r>
      <w:r>
        <w:t xml:space="preserve"> </w:t>
      </w:r>
      <w:r>
        <w:t xml:space="preserve">DSR: Design Science Research</w:t>
      </w:r>
      <w:r>
        <w:t xml:space="preserve"> </w:t>
      </w:r>
      <w:r>
        <w:t xml:space="preserve">EHR: Electronic Health Record</w:t>
      </w:r>
      <w:r>
        <w:t xml:space="preserve"> </w:t>
      </w:r>
      <w:r>
        <w:t xml:space="preserve">EMR: Electronic Medical Record</w:t>
      </w:r>
      <w:r>
        <w:t xml:space="preserve"> </w:t>
      </w:r>
      <w:r>
        <w:t xml:space="preserve">EMRAM: Electronic Medical Record Adoption Model</w:t>
      </w:r>
      <w:r>
        <w:t xml:space="preserve"> </w:t>
      </w:r>
      <w:r>
        <w:t xml:space="preserve">HIMSS: Healthcare Information and Management Systems Society</w:t>
      </w:r>
      <w:r>
        <w:t xml:space="preserve"> </w:t>
      </w:r>
      <w:r>
        <w:t xml:space="preserve">HITL: Human-in-the-Loop</w:t>
      </w:r>
      <w:r>
        <w:t xml:space="preserve"> </w:t>
      </w:r>
      <w:r>
        <w:t xml:space="preserve">HITL-KG: Human-in-the-Loop Knowledge Governance</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NLP: Natural Language Processing</w:t>
      </w:r>
      <w:r>
        <w:t xml:space="preserve"> </w:t>
      </w:r>
      <w:r>
        <w:t xml:space="preserve">SECI: Socialization, Externalization, Combination, Internalization</w:t>
      </w:r>
      <w:r>
        <w:t xml:space="preserve"> </w:t>
      </w:r>
      <w:r>
        <w:t xml:space="preserve">SQL: Structured Query Language</w:t>
      </w:r>
    </w:p>
    <w:bookmarkEnd w:id="54"/>
    <w:bookmarkStart w:id="228" w:name="references"/>
    <w:p>
      <w:pPr>
        <w:pStyle w:val="Heading1"/>
      </w:pPr>
      <w:r>
        <w:t xml:space="preserve">References</w:t>
      </w:r>
    </w:p>
    <w:bookmarkStart w:id="227" w:name="refs"/>
    <w:bookmarkStart w:id="56"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55">
        <w:r>
          <w:rPr>
            <w:rStyle w:val="Hyperlink"/>
          </w:rPr>
          <w:t xml:space="preserve">https://www.himss.org/maturity-models/amam/</w:t>
        </w:r>
      </w:hyperlink>
    </w:p>
    <w:bookmarkEnd w:id="56"/>
    <w:bookmarkStart w:id="58" w:name="ref-gal2019"/>
    <w:p>
      <w:pPr>
        <w:pStyle w:val="Bibliography"/>
      </w:pPr>
      <w:r>
        <w:t xml:space="preserve">2.</w:t>
      </w:r>
      <w:r>
        <w:t xml:space="preserve"> </w:t>
      </w:r>
      <w:r>
        <w:t xml:space="preserve">	</w:t>
      </w:r>
      <w:r>
        <w:t xml:space="preserve">Michal S. Gal, Daniel L. Rubinfeld.</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57">
        <w:r>
          <w:rPr>
            <w:rStyle w:val="Hyperlink"/>
          </w:rPr>
          <w:t xml:space="preserve">https://www.nyulawreview.org/issues/volume-94-number-4/data-standardization/</w:t>
        </w:r>
      </w:hyperlink>
    </w:p>
    <w:bookmarkEnd w:id="58"/>
    <w:bookmarkStart w:id="59" w:name="ref-zhang2024"/>
    <w:p>
      <w:pPr>
        <w:pStyle w:val="Bibliography"/>
      </w:pPr>
      <w:r>
        <w:t xml:space="preserve">3.</w:t>
      </w:r>
      <w:r>
        <w:t xml:space="preserve"> </w:t>
      </w:r>
      <w:r>
        <w:t xml:space="preserve">	</w:t>
      </w:r>
      <w:r>
        <w:t xml:space="preserve">Yue Zhang, Jennifer A Callaghan-Koru, G"unes Koru.</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2024;7(2):ooae042.</w:t>
      </w:r>
    </w:p>
    <w:bookmarkEnd w:id="59"/>
    <w:bookmarkStart w:id="61" w:name="ref-hong2025"/>
    <w:p>
      <w:pPr>
        <w:pStyle w:val="Bibliography"/>
      </w:pPr>
      <w:r>
        <w:t xml:space="preserve">4.</w:t>
      </w:r>
      <w:r>
        <w:t xml:space="preserve"> </w:t>
      </w:r>
      <w:r>
        <w:t xml:space="preserve">	</w:t>
      </w:r>
      <w:r>
        <w:t xml:space="preserve">J. H. Hong. When does employee turnover matter? Organizational memory in federal IT.</w:t>
      </w:r>
      <w:r>
        <w:t xml:space="preserve"> </w:t>
      </w:r>
      <w:r>
        <w:rPr>
          <w:i/>
          <w:iCs/>
        </w:rPr>
        <w:t xml:space="preserve">Journal of Public Administration Research and Theory</w:t>
      </w:r>
      <w:r>
        <w:t xml:space="preserve">. Published online 2025.</w:t>
      </w:r>
      <w:r>
        <w:t xml:space="preserve"> </w:t>
      </w:r>
      <w:hyperlink r:id="rId60">
        <w:r>
          <w:rPr>
            <w:rStyle w:val="Hyperlink"/>
          </w:rPr>
          <w:t xml:space="preserve">https://academic.oup.com/jpart/advance-article-abstract/doi/10.1093/jopart/muaf019/8162522</w:t>
        </w:r>
      </w:hyperlink>
    </w:p>
    <w:bookmarkEnd w:id="61"/>
    <w:bookmarkStart w:id="63" w:name="ref-wittkieffer2024"/>
    <w:p>
      <w:pPr>
        <w:pStyle w:val="Bibliography"/>
      </w:pPr>
      <w:r>
        <w:t xml:space="preserve">5.</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62">
        <w:r>
          <w:rPr>
            <w:rStyle w:val="Hyperlink"/>
          </w:rPr>
          <w:t xml:space="preserve">https://api.wittkieffer.com/wp-content/uploads/2012/10/cio-insights-the-state-of-healthcare-it-leadership-wittkieffer-october-2024.pdf</w:t>
        </w:r>
      </w:hyperlink>
    </w:p>
    <w:bookmarkEnd w:id="63"/>
    <w:bookmarkStart w:id="65" w:name="ref-himssworkforce2024"/>
    <w:p>
      <w:pPr>
        <w:pStyle w:val="Bibliography"/>
      </w:pPr>
      <w:r>
        <w:t xml:space="preserve">6.</w:t>
      </w:r>
      <w:r>
        <w:t xml:space="preserve"> </w:t>
      </w:r>
      <w:r>
        <w:t xml:space="preserve">	</w:t>
      </w:r>
      <w:r>
        <w:t xml:space="preserve">HIMSS.</w:t>
      </w:r>
      <w:r>
        <w:t xml:space="preserve"> </w:t>
      </w:r>
      <w:r>
        <w:rPr>
          <w:i/>
          <w:iCs/>
        </w:rPr>
        <w:t xml:space="preserve">The Future of Workforce</w:t>
      </w:r>
      <w:r>
        <w:t xml:space="preserve">. Healthcare Information; Management Systems Society; 2024.</w:t>
      </w:r>
      <w:r>
        <w:t xml:space="preserve"> </w:t>
      </w:r>
      <w:hyperlink r:id="rId64">
        <w:r>
          <w:rPr>
            <w:rStyle w:val="Hyperlink"/>
          </w:rPr>
          <w:t xml:space="preserve">https://www.himss.org/resources/the-future-of-workforce/</w:t>
        </w:r>
      </w:hyperlink>
    </w:p>
    <w:bookmarkEnd w:id="65"/>
    <w:bookmarkStart w:id="67" w:name="ref-rajamani2025"/>
    <w:p>
      <w:pPr>
        <w:pStyle w:val="Bibliography"/>
      </w:pPr>
      <w:r>
        <w:t xml:space="preserve">7.</w:t>
      </w:r>
      <w:r>
        <w:t xml:space="preserve"> </w:t>
      </w:r>
      <w:r>
        <w:t xml:space="preserve">	</w:t>
      </w:r>
      <w:r>
        <w:t xml:space="preserve">Leider Rajamani S.</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Public Health Management and Practice</w:t>
      </w:r>
      <w:r>
        <w:t xml:space="preserve">. Published online 2025. doi:</w:t>
      </w:r>
      <w:hyperlink r:id="rId66">
        <w:r>
          <w:rPr>
            <w:rStyle w:val="Hyperlink"/>
          </w:rPr>
          <w:t xml:space="preserve">10.1097/PHH.0000000000001234</w:t>
        </w:r>
      </w:hyperlink>
    </w:p>
    <w:bookmarkEnd w:id="67"/>
    <w:bookmarkStart w:id="69" w:name="ref-american2023"/>
    <w:p>
      <w:pPr>
        <w:pStyle w:val="Bibliography"/>
      </w:pPr>
      <w:r>
        <w:t xml:space="preserve">8.</w:t>
      </w:r>
      <w:r>
        <w:t xml:space="preserve"> </w:t>
      </w:r>
      <w:r>
        <w:t xml:space="preserve">	</w:t>
      </w:r>
      <w:r>
        <w:t xml:space="preserve">American Health Information Management Association and NORC at the University of Chicago.</w:t>
      </w:r>
      <w:r>
        <w:t xml:space="preserve"> </w:t>
      </w:r>
      <w:r>
        <w:rPr>
          <w:i/>
          <w:iCs/>
        </w:rPr>
        <w:t xml:space="preserve">Health information workforce survey report</w:t>
      </w:r>
      <w:r>
        <w:t xml:space="preserve">.</w:t>
      </w:r>
      <w:r>
        <w:t xml:space="preserve"> </w:t>
      </w:r>
      <w:r>
        <w:t xml:space="preserve">American Health Information Management Association and NORC at the University of Chicago</w:t>
      </w:r>
      <w:r>
        <w:t xml:space="preserve">; 2023.</w:t>
      </w:r>
      <w:r>
        <w:t xml:space="preserve"> </w:t>
      </w:r>
      <w:hyperlink r:id="rId68">
        <w:r>
          <w:rPr>
            <w:rStyle w:val="Hyperlink"/>
          </w:rPr>
          <w:t xml:space="preserve">https://www.ahima.org/news-publications/press-room-press-releases/2023-press-releases/health-information-workforce-shortages-persist-as-ai-shows-promise-ahima-survey-reveals/</w:t>
        </w:r>
      </w:hyperlink>
    </w:p>
    <w:bookmarkEnd w:id="69"/>
    <w:bookmarkStart w:id="71" w:name="ref-wang2018"/>
    <w:p>
      <w:pPr>
        <w:pStyle w:val="Bibliography"/>
      </w:pPr>
      <w:r>
        <w:t xml:space="preserve">9.</w:t>
      </w:r>
      <w:r>
        <w:t xml:space="preserve"> </w:t>
      </w:r>
      <w:r>
        <w:t xml:space="preserve">	</w:t>
      </w:r>
      <w:r>
        <w:t xml:space="preserve">Kung Wang Y., T. A. Byrd.</w:t>
      </w:r>
      <w:r>
        <w:t xml:space="preserve"> </w:t>
      </w:r>
      <w:r>
        <w:t xml:space="preserve">Big data analytics: Understanding its capabilities and potential benefits for healthcare organizations</w:t>
      </w:r>
      <w:r>
        <w:t xml:space="preserve">.</w:t>
      </w:r>
      <w:r>
        <w:t xml:space="preserve"> </w:t>
      </w:r>
      <w:r>
        <w:rPr>
          <w:i/>
          <w:iCs/>
        </w:rPr>
        <w:t xml:space="preserve">Technological Forecasting and Social Change</w:t>
      </w:r>
      <w:r>
        <w:t xml:space="preserve">. 2018;126:3-13. doi:</w:t>
      </w:r>
      <w:hyperlink r:id="rId70">
        <w:r>
          <w:rPr>
            <w:rStyle w:val="Hyperlink"/>
          </w:rPr>
          <w:t xml:space="preserve">10.1016/j.techfore.2015.12.019</w:t>
        </w:r>
      </w:hyperlink>
    </w:p>
    <w:bookmarkEnd w:id="71"/>
    <w:bookmarkStart w:id="73" w:name="ref-wang2020"/>
    <w:p>
      <w:pPr>
        <w:pStyle w:val="Bibliography"/>
      </w:pPr>
      <w:r>
        <w:t xml:space="preserve">10.</w:t>
      </w:r>
      <w:r>
        <w:t xml:space="preserve"> </w:t>
      </w:r>
      <w:r>
        <w:t xml:space="preserve">	</w:t>
      </w:r>
      <w:r>
        <w:t xml:space="preserve">Shi Wang P.</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72">
        <w:r>
          <w:rPr>
            <w:rStyle w:val="Hyperlink"/>
          </w:rPr>
          <w:t xml:space="preserve">10.1145/3366423.3380120</w:t>
        </w:r>
      </w:hyperlink>
    </w:p>
    <w:bookmarkEnd w:id="73"/>
    <w:bookmarkStart w:id="75" w:name="ref-rao2006"/>
    <w:p>
      <w:pPr>
        <w:pStyle w:val="Bibliography"/>
      </w:pPr>
      <w:r>
        <w:t xml:space="preserve">11.</w:t>
      </w:r>
      <w:r>
        <w:t xml:space="preserve"> </w:t>
      </w:r>
      <w:r>
        <w:t xml:space="preserve">	</w:t>
      </w:r>
      <w:r>
        <w:t xml:space="preserve">R. D. Rao, L. Argote. Organizational learning and forgetting: The effects of turnover and structure.</w:t>
      </w:r>
      <w:r>
        <w:t xml:space="preserve"> </w:t>
      </w:r>
      <w:r>
        <w:rPr>
          <w:i/>
          <w:iCs/>
        </w:rPr>
        <w:t xml:space="preserve">European Management Review</w:t>
      </w:r>
      <w:r>
        <w:t xml:space="preserve">. 2006;3(2):77-85.</w:t>
      </w:r>
      <w:r>
        <w:t xml:space="preserve"> </w:t>
      </w:r>
      <w:hyperlink r:id="rId74">
        <w:r>
          <w:rPr>
            <w:rStyle w:val="Hyperlink"/>
          </w:rPr>
          <w:t xml:space="preserve">https://onlinelibrary.wiley.com/doi/abs/10.1057/palgrave.emr.1500057</w:t>
        </w:r>
      </w:hyperlink>
    </w:p>
    <w:bookmarkEnd w:id="75"/>
    <w:bookmarkStart w:id="77" w:name="ref-mayo2016"/>
    <w:p>
      <w:pPr>
        <w:pStyle w:val="Bibliography"/>
      </w:pPr>
      <w:r>
        <w:t xml:space="preserve">12.</w:t>
      </w:r>
      <w:r>
        <w:t xml:space="preserve"> </w:t>
      </w:r>
      <w:r>
        <w:t xml:space="preserve">	</w:t>
      </w:r>
      <w:r>
        <w:t xml:space="preserve">Deasy Mayo C. S.</w:t>
      </w:r>
      <w:r>
        <w:t xml:space="preserve"> </w:t>
      </w:r>
      <w:r>
        <w:t xml:space="preserve">How can we effect culture change toward data-driven medicine?</w:t>
      </w:r>
      <w:r>
        <w:t xml:space="preserve"> </w:t>
      </w:r>
      <w:r>
        <w:rPr>
          <w:i/>
          <w:iCs/>
        </w:rPr>
        <w:t xml:space="preserve">International Journal of Radiation Oncology, Biology, Physics</w:t>
      </w:r>
      <w:r>
        <w:t xml:space="preserve">. Published online 2016. doi:</w:t>
      </w:r>
      <w:hyperlink r:id="rId76">
        <w:r>
          <w:rPr>
            <w:rStyle w:val="Hyperlink"/>
          </w:rPr>
          <w:t xml:space="preserve">10.1016/j.ijrobp.2016.03.003</w:t>
        </w:r>
      </w:hyperlink>
    </w:p>
    <w:bookmarkEnd w:id="77"/>
    <w:bookmarkStart w:id="79" w:name="ref-ledikwe2013"/>
    <w:p>
      <w:pPr>
        <w:pStyle w:val="Bibliography"/>
      </w:pPr>
      <w:r>
        <w:t xml:space="preserve">13.</w:t>
      </w:r>
      <w:r>
        <w:t xml:space="preserve"> </w:t>
      </w:r>
      <w:r>
        <w:t xml:space="preserve">	</w:t>
      </w:r>
      <w:r>
        <w:t xml:space="preserve">Reason Ledikwe J. H.</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Published online 2013. doi:</w:t>
      </w:r>
      <w:hyperlink r:id="rId78">
        <w:r>
          <w:rPr>
            <w:rStyle w:val="Hyperlink"/>
          </w:rPr>
          <w:t xml:space="preserve">10.1186/1478-4491-11-35</w:t>
        </w:r>
      </w:hyperlink>
    </w:p>
    <w:bookmarkEnd w:id="79"/>
    <w:bookmarkStart w:id="81" w:name="ref-mantas2010"/>
    <w:p>
      <w:pPr>
        <w:pStyle w:val="Bibliography"/>
      </w:pPr>
      <w:r>
        <w:t xml:space="preserve">14.</w:t>
      </w:r>
      <w:r>
        <w:t xml:space="preserve"> </w:t>
      </w:r>
      <w:r>
        <w:t xml:space="preserve">	</w:t>
      </w:r>
      <w:r>
        <w:t xml:space="preserve">Ammenwerth Mantas J.</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Published online 2010. doi:</w:t>
      </w:r>
      <w:hyperlink r:id="rId80">
        <w:r>
          <w:rPr>
            <w:rStyle w:val="Hyperlink"/>
          </w:rPr>
          <w:t xml:space="preserve">10.3414/ME5119</w:t>
        </w:r>
      </w:hyperlink>
    </w:p>
    <w:bookmarkEnd w:id="81"/>
    <w:bookmarkStart w:id="83" w:name="ref-ang2004"/>
    <w:p>
      <w:pPr>
        <w:pStyle w:val="Bibliography"/>
      </w:pPr>
      <w:r>
        <w:t xml:space="preserve">15.</w:t>
      </w:r>
      <w:r>
        <w:t xml:space="preserve"> </w:t>
      </w:r>
      <w:r>
        <w:t xml:space="preserve">	</w:t>
      </w:r>
      <w:r>
        <w:t xml:space="preserve">S. Ang, S. Slaughter.</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2004;35(3):11-27. doi:</w:t>
      </w:r>
      <w:hyperlink r:id="rId82">
        <w:r>
          <w:rPr>
            <w:rStyle w:val="Hyperlink"/>
          </w:rPr>
          <w:t xml:space="preserve">10.1145/1017114.1017118</w:t>
        </w:r>
      </w:hyperlink>
    </w:p>
    <w:bookmarkEnd w:id="83"/>
    <w:bookmarkStart w:id="85" w:name="ref-farnese2019"/>
    <w:p>
      <w:pPr>
        <w:pStyle w:val="Bibliography"/>
      </w:pPr>
      <w:r>
        <w:t xml:space="preserve">16.</w:t>
      </w:r>
      <w:r>
        <w:t xml:space="preserve"> </w:t>
      </w:r>
      <w:r>
        <w:t xml:space="preserve">	</w:t>
      </w:r>
      <w:r>
        <w:t xml:space="preserve">Barbieri Farnese M. L.</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Published online 2019. doi:</w:t>
      </w:r>
      <w:hyperlink r:id="rId84">
        <w:r>
          <w:rPr>
            <w:rStyle w:val="Hyperlink"/>
          </w:rPr>
          <w:t xml:space="preserve">10.3389/fpsyg.2019.02730</w:t>
        </w:r>
      </w:hyperlink>
    </w:p>
    <w:bookmarkEnd w:id="85"/>
    <w:bookmarkStart w:id="87" w:name="ref-tyndall2010"/>
    <w:p>
      <w:pPr>
        <w:pStyle w:val="Bibliography"/>
      </w:pPr>
      <w:r>
        <w:t xml:space="preserve">17.</w:t>
      </w:r>
      <w:r>
        <w:t xml:space="preserve"> </w:t>
      </w:r>
      <w:r>
        <w:t xml:space="preserve">	</w:t>
      </w:r>
      <w:r>
        <w:t xml:space="preserve">J Tyndall.</w:t>
      </w:r>
      <w:r>
        <w:t xml:space="preserve"> </w:t>
      </w:r>
      <w:r>
        <w:t xml:space="preserve">AACODS</w:t>
      </w:r>
      <w:r>
        <w:t xml:space="preserve"> </w:t>
      </w:r>
      <w:r>
        <w:t xml:space="preserve">Checklist. Flinders University</w:t>
      </w:r>
      <w:r>
        <w:t xml:space="preserve">. Published online 2010.</w:t>
      </w:r>
      <w:r>
        <w:t xml:space="preserve"> </w:t>
      </w:r>
      <w:hyperlink r:id="rId86">
        <w:r>
          <w:rPr>
            <w:rStyle w:val="Hyperlink"/>
          </w:rPr>
          <w:t xml:space="preserve">https://dspace.flinders.edu.au/jspui/bitstream/2328/3326/4/AACODS_Checklist.pdf</w:t>
        </w:r>
      </w:hyperlink>
    </w:p>
    <w:bookmarkEnd w:id="87"/>
    <w:bookmarkStart w:id="89" w:name="ref-foos2006"/>
    <w:p>
      <w:pPr>
        <w:pStyle w:val="Bibliography"/>
      </w:pPr>
      <w:r>
        <w:t xml:space="preserve">18.</w:t>
      </w:r>
      <w:r>
        <w:t xml:space="preserve"> </w:t>
      </w:r>
      <w:r>
        <w:t xml:space="preserve">	</w:t>
      </w:r>
      <w:r>
        <w:t xml:space="preserve">Schum Foos T.</w:t>
      </w:r>
      <w:r>
        <w:t xml:space="preserve"> </w:t>
      </w:r>
      <w:r>
        <w:t xml:space="preserve">Tacit knowledge transfer and the knowledge disconnect</w:t>
      </w:r>
      <w:r>
        <w:t xml:space="preserve">.</w:t>
      </w:r>
      <w:r>
        <w:t xml:space="preserve"> </w:t>
      </w:r>
      <w:r>
        <w:rPr>
          <w:i/>
          <w:iCs/>
        </w:rPr>
        <w:t xml:space="preserve">Journal of Knowledge Management</w:t>
      </w:r>
      <w:r>
        <w:t xml:space="preserve">. Published online 2006. doi:</w:t>
      </w:r>
      <w:hyperlink r:id="rId88">
        <w:r>
          <w:rPr>
            <w:rStyle w:val="Hyperlink"/>
          </w:rPr>
          <w:t xml:space="preserve">10.1108/13673270610650067</w:t>
        </w:r>
      </w:hyperlink>
    </w:p>
    <w:bookmarkEnd w:id="89"/>
    <w:bookmarkStart w:id="91" w:name="ref-nsi2025"/>
    <w:p>
      <w:pPr>
        <w:pStyle w:val="Bibliography"/>
      </w:pPr>
      <w:r>
        <w:t xml:space="preserve">19.</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90">
        <w:r>
          <w:rPr>
            <w:rStyle w:val="Hyperlink"/>
          </w:rPr>
          <w:t xml:space="preserve">https://www.nsinursingsolutions.com/documents/library/nsi_national_health_care_retention_report.pdf</w:t>
        </w:r>
      </w:hyperlink>
    </w:p>
    <w:bookmarkEnd w:id="91"/>
    <w:bookmarkStart w:id="93" w:name="ref-konrad2022"/>
    <w:p>
      <w:pPr>
        <w:pStyle w:val="Bibliography"/>
      </w:pPr>
      <w:r>
        <w:t xml:space="preserve">20.</w:t>
      </w:r>
      <w:r>
        <w:t xml:space="preserve"> </w:t>
      </w:r>
      <w:r>
        <w:t xml:space="preserve">	</w:t>
      </w:r>
      <w:r>
        <w:t xml:space="preserve">&amp; Saidizand Konrad I.</w:t>
      </w:r>
      <w:r>
        <w:t xml:space="preserve"> </w:t>
      </w:r>
      <w:r>
        <w:rPr>
          <w:i/>
          <w:iCs/>
        </w:rPr>
        <w:t xml:space="preserve">Exploring the potential of an</w:t>
      </w:r>
      <w:r>
        <w:rPr>
          <w:i/>
          <w:iCs/>
        </w:rPr>
        <w:t xml:space="preserve"> </w:t>
      </w:r>
      <w:r>
        <w:rPr>
          <w:i/>
          <w:iCs/>
        </w:rPr>
        <w:t xml:space="preserve">IT</w:t>
      </w:r>
      <w:r>
        <w:rPr>
          <w:i/>
          <w:iCs/>
        </w:rPr>
        <w:t xml:space="preserve"> </w:t>
      </w:r>
      <w:r>
        <w:rPr>
          <w:i/>
          <w:iCs/>
        </w:rPr>
        <w:t xml:space="preserve">capability in its bootstrap phase from a task driven onboarding perspective: Insights toward information infrastructure in healthcare</w:t>
      </w:r>
      <w:r>
        <w:t xml:space="preserve">. Master’s thesis. 2022.</w:t>
      </w:r>
      <w:r>
        <w:t xml:space="preserve"> </w:t>
      </w:r>
      <w:hyperlink r:id="rId92">
        <w:r>
          <w:rPr>
            <w:rStyle w:val="Hyperlink"/>
          </w:rPr>
          <w:t xml:space="preserve">https://www.diva-portal.org/smash/record.jsf?pid=diva2:1684142</w:t>
        </w:r>
      </w:hyperlink>
    </w:p>
    <w:bookmarkEnd w:id="93"/>
    <w:bookmarkStart w:id="95" w:name="ref-wu2024"/>
    <w:p>
      <w:pPr>
        <w:pStyle w:val="Bibliography"/>
      </w:pPr>
      <w:r>
        <w:t xml:space="preserve">21.</w:t>
      </w:r>
      <w:r>
        <w:t xml:space="preserve"> </w:t>
      </w:r>
      <w:r>
        <w:t xml:space="preserve">	</w:t>
      </w:r>
      <w:r>
        <w:t xml:space="preserve">Lao Wu F., L. Li.</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94">
        <w:r>
          <w:rPr>
            <w:rStyle w:val="Hyperlink"/>
          </w:rPr>
          <w:t xml:space="preserve">10.1002/nop2.2097</w:t>
        </w:r>
      </w:hyperlink>
    </w:p>
    <w:bookmarkEnd w:id="95"/>
    <w:bookmarkStart w:id="97" w:name="ref-ren2024"/>
    <w:p>
      <w:pPr>
        <w:pStyle w:val="Bibliography"/>
      </w:pPr>
      <w:r>
        <w:t xml:space="preserve">22.</w:t>
      </w:r>
      <w:r>
        <w:t xml:space="preserve"> </w:t>
      </w:r>
      <w:r>
        <w:t xml:space="preserve">	</w:t>
      </w:r>
      <w:r>
        <w:t xml:space="preserve">Wang Ren L.</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Published online 2024. doi:</w:t>
      </w:r>
      <w:hyperlink r:id="rId96">
        <w:r>
          <w:rPr>
            <w:rStyle w:val="Hyperlink"/>
          </w:rPr>
          <w:t xml:space="preserve">10.1155/2024/5063998</w:t>
        </w:r>
      </w:hyperlink>
    </w:p>
    <w:bookmarkEnd w:id="97"/>
    <w:bookmarkStart w:id="99" w:name="ref-massingham2018"/>
    <w:p>
      <w:pPr>
        <w:pStyle w:val="Bibliography"/>
      </w:pPr>
      <w:r>
        <w:t xml:space="preserve">23.</w:t>
      </w:r>
      <w:r>
        <w:t xml:space="preserve"> </w:t>
      </w:r>
      <w:r>
        <w:t xml:space="preserve">	</w:t>
      </w:r>
      <w:r>
        <w:t xml:space="preserve">P. R Massingham.</w:t>
      </w:r>
      <w:r>
        <w:t xml:space="preserve"> </w:t>
      </w:r>
      <w:r>
        <w:t xml:space="preserve">Measuring the impact of knowledge loss: A longitudinal study</w:t>
      </w:r>
      <w:r>
        <w:t xml:space="preserve">.</w:t>
      </w:r>
      <w:r>
        <w:t xml:space="preserve"> </w:t>
      </w:r>
      <w:r>
        <w:rPr>
          <w:i/>
          <w:iCs/>
        </w:rPr>
        <w:t xml:space="preserve">Journal of Knowledge Management</w:t>
      </w:r>
      <w:r>
        <w:t xml:space="preserve">. Published online 2018. doi:</w:t>
      </w:r>
      <w:hyperlink r:id="rId98">
        <w:r>
          <w:rPr>
            <w:rStyle w:val="Hyperlink"/>
          </w:rPr>
          <w:t xml:space="preserve">10.1108/JKM-08-2016-0338</w:t>
        </w:r>
      </w:hyperlink>
    </w:p>
    <w:bookmarkEnd w:id="99"/>
    <w:bookmarkStart w:id="101" w:name="ref-zhang2025"/>
    <w:p>
      <w:pPr>
        <w:pStyle w:val="Bibliography"/>
      </w:pPr>
      <w:r>
        <w:t xml:space="preserve">24.</w:t>
      </w:r>
      <w:r>
        <w:t xml:space="preserve"> </w:t>
      </w:r>
      <w:r>
        <w:t xml:space="preserve">	</w:t>
      </w:r>
      <w:r>
        <w:t xml:space="preserve">Daim Zhang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Published online 2025. doi:</w:t>
      </w:r>
      <w:hyperlink r:id="rId100">
        <w:r>
          <w:rPr>
            <w:rStyle w:val="Hyperlink"/>
          </w:rPr>
          <w:t xml:space="preserve">10.1108/JKM-03-2024-0262</w:t>
        </w:r>
      </w:hyperlink>
    </w:p>
    <w:bookmarkEnd w:id="101"/>
    <w:bookmarkStart w:id="103" w:name="ref-goffin2011"/>
    <w:p>
      <w:pPr>
        <w:pStyle w:val="Bibliography"/>
      </w:pPr>
      <w:r>
        <w:t xml:space="preserve">25.</w:t>
      </w:r>
      <w:r>
        <w:t xml:space="preserve"> </w:t>
      </w:r>
      <w:r>
        <w:t xml:space="preserve">	</w:t>
      </w:r>
      <w:r>
        <w:t xml:space="preserve">&amp; Koners Goffin K.</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Published online 2011. doi:</w:t>
      </w:r>
      <w:hyperlink r:id="rId102">
        <w:r>
          <w:rPr>
            <w:rStyle w:val="Hyperlink"/>
          </w:rPr>
          <w:t xml:space="preserve">10.1111/j.1540-5885.2010.00798.x</w:t>
        </w:r>
      </w:hyperlink>
    </w:p>
    <w:bookmarkEnd w:id="103"/>
    <w:bookmarkStart w:id="105" w:name="ref-moore2018"/>
    <w:p>
      <w:pPr>
        <w:pStyle w:val="Bibliography"/>
      </w:pPr>
      <w:r>
        <w:t xml:space="preserve">26.</w:t>
      </w:r>
      <w:r>
        <w:t xml:space="preserve"> </w:t>
      </w:r>
      <w:r>
        <w:t xml:space="preserve">	</w:t>
      </w:r>
      <w:r>
        <w:t xml:space="preserve">D. Moore, others.</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104">
        <w:r>
          <w:rPr>
            <w:rStyle w:val="Hyperlink"/>
          </w:rPr>
          <w:t xml:space="preserve">https://wendyju.com/publications/18_ijee3593.pdf</w:t>
        </w:r>
      </w:hyperlink>
    </w:p>
    <w:bookmarkEnd w:id="105"/>
    <w:bookmarkStart w:id="107" w:name="ref-foss2007"/>
    <w:p>
      <w:pPr>
        <w:pStyle w:val="Bibliography"/>
      </w:pPr>
      <w:r>
        <w:t xml:space="preserve">27.</w:t>
      </w:r>
      <w:r>
        <w:t xml:space="preserve"> </w:t>
      </w:r>
      <w:r>
        <w:t xml:space="preserve">	</w:t>
      </w:r>
      <w:r>
        <w:t xml:space="preserve">Nicolai J. Foss.</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106">
        <w:r>
          <w:rPr>
            <w:rStyle w:val="Hyperlink"/>
          </w:rPr>
          <w:t xml:space="preserve">10.1177/1350508407071859</w:t>
        </w:r>
      </w:hyperlink>
    </w:p>
    <w:bookmarkEnd w:id="107"/>
    <w:bookmarkStart w:id="109" w:name="ref-lee2023"/>
    <w:p>
      <w:pPr>
        <w:pStyle w:val="Bibliography"/>
      </w:pPr>
      <w:r>
        <w:t xml:space="preserve">28.</w:t>
      </w:r>
      <w:r>
        <w:t xml:space="preserve"> </w:t>
      </w:r>
      <w:r>
        <w:t xml:space="preserve">	</w:t>
      </w:r>
      <w:r>
        <w:t xml:space="preserve">et al Lee G.</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108">
        <w:r>
          <w:rPr>
            <w:rStyle w:val="Hyperlink"/>
          </w:rPr>
          <w:t xml:space="preserve">https://arxiv.org/abs/2301.07695</w:t>
        </w:r>
      </w:hyperlink>
    </w:p>
    <w:bookmarkEnd w:id="109"/>
    <w:bookmarkStart w:id="111" w:name="ref-bravorocca2023"/>
    <w:p>
      <w:pPr>
        <w:pStyle w:val="Bibliography"/>
      </w:pPr>
      <w:r>
        <w:t xml:space="preserve">29.</w:t>
      </w:r>
      <w:r>
        <w:t xml:space="preserve"> </w:t>
      </w:r>
      <w:r>
        <w:t xml:space="preserve">	</w:t>
      </w:r>
      <w:r>
        <w:t xml:space="preserve">G. J. Bravo Rocca.</w:t>
      </w:r>
      <w:r>
        <w:t xml:space="preserve"> </w:t>
      </w:r>
      <w:r>
        <w:rPr>
          <w:i/>
          <w:iCs/>
        </w:rPr>
        <w:t xml:space="preserve">Human-on-the-Loop Continual Learning</w:t>
      </w:r>
      <w:r>
        <w:t xml:space="preserve">. PhD thesis. Universitat Polit</w:t>
      </w:r>
      <w:r>
        <w:t xml:space="preserve">è</w:t>
      </w:r>
      <w:r>
        <w:t xml:space="preserve">cnica de Catalunya; 2023.</w:t>
      </w:r>
      <w:r>
        <w:t xml:space="preserve"> </w:t>
      </w:r>
      <w:hyperlink r:id="rId110">
        <w:r>
          <w:rPr>
            <w:rStyle w:val="Hyperlink"/>
          </w:rPr>
          <w:t xml:space="preserve">https://www.tdx.cat/bitstream/handle/10803/695722/TGJBR1de1.pdf?sequence=1</w:t>
        </w:r>
      </w:hyperlink>
    </w:p>
    <w:bookmarkEnd w:id="111"/>
    <w:bookmarkStart w:id="113" w:name="ref-mosqueirarey2023"/>
    <w:p>
      <w:pPr>
        <w:pStyle w:val="Bibliography"/>
      </w:pPr>
      <w:r>
        <w:t xml:space="preserve">30.</w:t>
      </w:r>
      <w:r>
        <w:t xml:space="preserve"> </w:t>
      </w:r>
      <w:r>
        <w:t xml:space="preserve">	</w:t>
      </w:r>
      <w:r>
        <w:t xml:space="preserve">E. Mosqueira-Rey, others. Human-in-the-loop machine learning: A state of the art.</w:t>
      </w:r>
      <w:r>
        <w:t xml:space="preserve"> </w:t>
      </w:r>
      <w:r>
        <w:rPr>
          <w:i/>
          <w:iCs/>
        </w:rPr>
        <w:t xml:space="preserve">Artificial Intelligence Review</w:t>
      </w:r>
      <w:r>
        <w:t xml:space="preserve">. 2023;56:3005-3054.</w:t>
      </w:r>
      <w:r>
        <w:t xml:space="preserve"> </w:t>
      </w:r>
      <w:hyperlink r:id="rId112">
        <w:r>
          <w:rPr>
            <w:rStyle w:val="Hyperlink"/>
          </w:rPr>
          <w:t xml:space="preserve">https://link.springer.com/content/pdf/10.1007/s10462-022-10246-w.pdf</w:t>
        </w:r>
      </w:hyperlink>
    </w:p>
    <w:bookmarkEnd w:id="113"/>
    <w:bookmarkStart w:id="115" w:name="ref-benbya2004"/>
    <w:p>
      <w:pPr>
        <w:pStyle w:val="Bibliography"/>
      </w:pPr>
      <w:r>
        <w:t xml:space="preserve">31.</w:t>
      </w:r>
      <w:r>
        <w:t xml:space="preserve"> </w:t>
      </w:r>
      <w:r>
        <w:t xml:space="preserve">	</w:t>
      </w:r>
      <w:r>
        <w:t xml:space="preserve">Passiante Benbya H.</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Published online 2004. doi:</w:t>
      </w:r>
      <w:hyperlink r:id="rId114">
        <w:r>
          <w:rPr>
            <w:rStyle w:val="Hyperlink"/>
          </w:rPr>
          <w:t xml:space="preserve">10.1016/j.ijinfomgt.2003.12.012</w:t>
        </w:r>
      </w:hyperlink>
    </w:p>
    <w:bookmarkEnd w:id="115"/>
    <w:bookmarkStart w:id="117" w:name="ref-whittaker2008"/>
    <w:p>
      <w:pPr>
        <w:pStyle w:val="Bibliography"/>
      </w:pPr>
      <w:r>
        <w:t xml:space="preserve">32.</w:t>
      </w:r>
      <w:r>
        <w:t xml:space="preserve"> </w:t>
      </w:r>
      <w:r>
        <w:t xml:space="preserve">	</w:t>
      </w:r>
      <w:r>
        <w:t xml:space="preserve">S. Whittaker, P. Hyland, M. Wiley. Design and evaluation of systems to support interaction capture and retrieval.</w:t>
      </w:r>
      <w:r>
        <w:t xml:space="preserve"> </w:t>
      </w:r>
      <w:r>
        <w:rPr>
          <w:i/>
          <w:iCs/>
        </w:rPr>
        <w:t xml:space="preserve">Personal and Ubiquitous Computing</w:t>
      </w:r>
      <w:r>
        <w:t xml:space="preserve">. 2008;12(3):197-209.</w:t>
      </w:r>
      <w:r>
        <w:t xml:space="preserve"> </w:t>
      </w:r>
      <w:hyperlink r:id="rId116">
        <w:r>
          <w:rPr>
            <w:rStyle w:val="Hyperlink"/>
          </w:rPr>
          <w:t xml:space="preserve">https://www.academia.edu/download/41283190/Design_and_evaluation_of_systems_to_supp20160117-25708-98zc50.pdf</w:t>
        </w:r>
      </w:hyperlink>
    </w:p>
    <w:bookmarkEnd w:id="117"/>
    <w:bookmarkStart w:id="119" w:name="ref-mannapur2025"/>
    <w:p>
      <w:pPr>
        <w:pStyle w:val="Bibliography"/>
      </w:pPr>
      <w:r>
        <w:t xml:space="preserve">33.</w:t>
      </w:r>
      <w:r>
        <w:t xml:space="preserve"> </w:t>
      </w:r>
      <w:r>
        <w:t xml:space="preserve">	</w:t>
      </w:r>
      <w:r>
        <w:t xml:space="preserve">S. Mannapur. Understanding data drift and concept drift in machine learning systems.</w:t>
      </w:r>
      <w:r>
        <w:t xml:space="preserve"> </w:t>
      </w:r>
      <w:r>
        <w:rPr>
          <w:i/>
          <w:iCs/>
        </w:rPr>
        <w:t xml:space="preserve">International Journal of Scientific Research</w:t>
      </w:r>
      <w:r>
        <w:t xml:space="preserve">. Published online 2025.</w:t>
      </w:r>
      <w:r>
        <w:t xml:space="preserve"> </w:t>
      </w:r>
      <w:hyperlink r:id="rId118">
        <w:r>
          <w:rPr>
            <w:rStyle w:val="Hyperlink"/>
          </w:rPr>
          <w:t xml:space="preserve">https://www.quantbeckman.com/api/v1/file/5b240742-bf0d-4f8c-a0f9-cb29fab42611.pdf</w:t>
        </w:r>
      </w:hyperlink>
    </w:p>
    <w:bookmarkEnd w:id="119"/>
    <w:bookmarkStart w:id="121" w:name="ref-battula2025"/>
    <w:p>
      <w:pPr>
        <w:pStyle w:val="Bibliography"/>
      </w:pPr>
      <w:r>
        <w:t xml:space="preserve">34.</w:t>
      </w:r>
      <w:r>
        <w:t xml:space="preserve"> </w:t>
      </w:r>
      <w:r>
        <w:t xml:space="preserve">	</w:t>
      </w:r>
      <w:r>
        <w:t xml:space="preserve">Sai Kiran Yadav Battula.</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20">
        <w:r>
          <w:rPr>
            <w:rStyle w:val="Hyperlink"/>
          </w:rPr>
          <w:t xml:space="preserve">10.63282/3050-9262.IJAIDSML-V6I4P130</w:t>
        </w:r>
      </w:hyperlink>
    </w:p>
    <w:bookmarkEnd w:id="121"/>
    <w:bookmarkStart w:id="123" w:name="ref-jindal2019"/>
    <w:p>
      <w:pPr>
        <w:pStyle w:val="Bibliography"/>
      </w:pPr>
      <w:r>
        <w:t xml:space="preserve">35.</w:t>
      </w:r>
      <w:r>
        <w:t xml:space="preserve"> </w:t>
      </w:r>
      <w:r>
        <w:t xml:space="preserve">	</w:t>
      </w:r>
      <w:r>
        <w:t xml:space="preserve">A. Jindal, H. Patel, A. Roy, S. Qiao, Z. Yin, R. Sen, S. Krishnan.</w:t>
      </w:r>
      <w:r>
        <w:t xml:space="preserve"> </w:t>
      </w:r>
      <w:r>
        <w:t xml:space="preserve">Peregrine: Workload Optimization for Cloud Query Engines</w:t>
      </w:r>
      <w:r>
        <w:t xml:space="preserve">. In:</w:t>
      </w:r>
      <w:r>
        <w:t xml:space="preserve"> </w:t>
      </w:r>
      <w:r>
        <w:rPr>
          <w:i/>
          <w:iCs/>
        </w:rPr>
        <w:t xml:space="preserve">Proceedings of the ACM Symposium on Cloud Computing (SoCC)</w:t>
      </w:r>
      <w:r>
        <w:t xml:space="preserve">. 2019:416-427. doi:</w:t>
      </w:r>
      <w:hyperlink r:id="rId122">
        <w:r>
          <w:rPr>
            <w:rStyle w:val="Hyperlink"/>
          </w:rPr>
          <w:t xml:space="preserve">10.1145/3357223.3362726</w:t>
        </w:r>
      </w:hyperlink>
    </w:p>
    <w:bookmarkEnd w:id="123"/>
    <w:bookmarkStart w:id="125" w:name="ref-kul2018"/>
    <w:p>
      <w:pPr>
        <w:pStyle w:val="Bibliography"/>
      </w:pPr>
      <w:r>
        <w:t xml:space="preserve">36.</w:t>
      </w:r>
      <w:r>
        <w:t xml:space="preserve"> </w:t>
      </w:r>
      <w:r>
        <w:t xml:space="preserve">	</w:t>
      </w:r>
      <w:r>
        <w:t xml:space="preserve">G. Kul, D. T. A. Luong, T. Xie, V. Chandola, O. Kennedy, S. Upadhyaya.</w:t>
      </w:r>
      <w:r>
        <w:t xml:space="preserve"> </w:t>
      </w:r>
      <w:r>
        <w:t xml:space="preserve">Similarity Metrics for SQL Query Clustering</w:t>
      </w:r>
      <w:r>
        <w:t xml:space="preserve">.</w:t>
      </w:r>
      <w:r>
        <w:t xml:space="preserve"> </w:t>
      </w:r>
      <w:r>
        <w:rPr>
          <w:i/>
          <w:iCs/>
        </w:rPr>
        <w:t xml:space="preserve">IEEE Transactions on Knowledge and Data Engineering</w:t>
      </w:r>
      <w:r>
        <w:t xml:space="preserve">. 2018;30(12):2408-2420. doi:</w:t>
      </w:r>
      <w:hyperlink r:id="rId124">
        <w:r>
          <w:rPr>
            <w:rStyle w:val="Hyperlink"/>
          </w:rPr>
          <w:t xml:space="preserve">10.1109/TKDE.2018.2831214</w:t>
        </w:r>
      </w:hyperlink>
    </w:p>
    <w:bookmarkEnd w:id="125"/>
    <w:bookmarkStart w:id="127" w:name="ref-ziletti2024"/>
    <w:p>
      <w:pPr>
        <w:pStyle w:val="Bibliography"/>
      </w:pPr>
      <w:r>
        <w:t xml:space="preserve">37.</w:t>
      </w:r>
      <w:r>
        <w:t xml:space="preserve"> </w:t>
      </w:r>
      <w:r>
        <w:t xml:space="preserve">	</w:t>
      </w:r>
      <w:r>
        <w:t xml:space="preserve">&amp; D’Ambrosi Ziletti A.</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26">
        <w:r>
          <w:rPr>
            <w:rStyle w:val="Hyperlink"/>
          </w:rPr>
          <w:t xml:space="preserve">https://arxiv.org/abs/2403.09226</w:t>
        </w:r>
      </w:hyperlink>
    </w:p>
    <w:bookmarkEnd w:id="127"/>
    <w:bookmarkStart w:id="128" w:name="ref-davenport2007"/>
    <w:p>
      <w:pPr>
        <w:pStyle w:val="Bibliography"/>
      </w:pPr>
      <w:r>
        <w:t xml:space="preserve">38.</w:t>
      </w:r>
      <w:r>
        <w:t xml:space="preserve"> </w:t>
      </w:r>
      <w:r>
        <w:t xml:space="preserve">	</w:t>
      </w:r>
      <w:r>
        <w:t xml:space="preserve">T. H. Davenport, J. G. Harris.</w:t>
      </w:r>
      <w:r>
        <w:t xml:space="preserve"> </w:t>
      </w:r>
      <w:r>
        <w:rPr>
          <w:i/>
          <w:iCs/>
        </w:rPr>
        <w:t xml:space="preserve">Competing on Analytics: The New Science of Winning</w:t>
      </w:r>
      <w:r>
        <w:t xml:space="preserve">. Harvard Business School Press; 2007.</w:t>
      </w:r>
    </w:p>
    <w:bookmarkEnd w:id="128"/>
    <w:bookmarkStart w:id="130" w:name="ref-grossman2018"/>
    <w:p>
      <w:pPr>
        <w:pStyle w:val="Bibliography"/>
      </w:pPr>
      <w:r>
        <w:t xml:space="preserve">39.</w:t>
      </w:r>
      <w:r>
        <w:t xml:space="preserve"> </w:t>
      </w:r>
      <w:r>
        <w:t xml:space="preserve">	</w:t>
      </w:r>
      <w:r>
        <w:t xml:space="preserve">R. L. Grossman.</w:t>
      </w:r>
      <w:r>
        <w:t xml:space="preserve"> </w:t>
      </w:r>
      <w:r>
        <w:t xml:space="preserve">A framework for evaluating the analytic maturity of an organization</w:t>
      </w:r>
      <w:r>
        <w:t xml:space="preserve">.</w:t>
      </w:r>
      <w:r>
        <w:t xml:space="preserve"> </w:t>
      </w:r>
      <w:r>
        <w:rPr>
          <w:i/>
          <w:iCs/>
        </w:rPr>
        <w:t xml:space="preserve">International Journal of Information Management</w:t>
      </w:r>
      <w:r>
        <w:t xml:space="preserve">. 2018;38(1):45-51. doi:</w:t>
      </w:r>
      <w:hyperlink r:id="rId129">
        <w:r>
          <w:rPr>
            <w:rStyle w:val="Hyperlink"/>
          </w:rPr>
          <w:t xml:space="preserve">10.1016/j.ijinfomgt.2017.08.005</w:t>
        </w:r>
      </w:hyperlink>
    </w:p>
    <w:bookmarkEnd w:id="130"/>
    <w:bookmarkStart w:id="132" w:name="ref-langer2025"/>
    <w:p>
      <w:pPr>
        <w:pStyle w:val="Bibliography"/>
      </w:pPr>
      <w:r>
        <w:t xml:space="preserve">40.</w:t>
      </w:r>
      <w:r>
        <w:t xml:space="preserve"> </w:t>
      </w:r>
      <w:r>
        <w:t xml:space="preserve">	</w:t>
      </w:r>
      <w:r>
        <w:t xml:space="preserve">B. Langer.</w:t>
      </w:r>
      <w:r>
        <w:t xml:space="preserve"> </w:t>
      </w:r>
      <w:r>
        <w:t xml:space="preserve">Understanding Data and Analytics Maturity: A Systematic Review of Maturity Model Composition</w:t>
      </w:r>
      <w:r>
        <w:t xml:space="preserve">.</w:t>
      </w:r>
      <w:r>
        <w:t xml:space="preserve"> </w:t>
      </w:r>
      <w:r>
        <w:rPr>
          <w:i/>
          <w:iCs/>
        </w:rPr>
        <w:t xml:space="preserve">Schmalenbach Journal of Business Research</w:t>
      </w:r>
      <w:r>
        <w:t xml:space="preserve">. 2025;77(2):205-227. doi:</w:t>
      </w:r>
      <w:hyperlink r:id="rId131">
        <w:r>
          <w:rPr>
            <w:rStyle w:val="Hyperlink"/>
          </w:rPr>
          <w:t xml:space="preserve">10.1007/s41471-024-00205-2</w:t>
        </w:r>
      </w:hyperlink>
    </w:p>
    <w:bookmarkEnd w:id="132"/>
    <w:bookmarkStart w:id="134" w:name="ref-himss2024news"/>
    <w:p>
      <w:pPr>
        <w:pStyle w:val="Bibliography"/>
      </w:pPr>
      <w:r>
        <w:t xml:space="preserve">41.</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133">
        <w:r>
          <w:rPr>
            <w:rStyle w:val="Hyperlink"/>
          </w:rPr>
          <w:t xml:space="preserve">https://www.healthcareitnews.com/news/asia/himss24-apac-adoption-model-analytics-maturity-gets-facelift</w:t>
        </w:r>
      </w:hyperlink>
    </w:p>
    <w:bookmarkEnd w:id="134"/>
    <w:bookmarkStart w:id="136" w:name="ref-halbesleben2013"/>
    <w:p>
      <w:pPr>
        <w:pStyle w:val="Bibliography"/>
      </w:pPr>
      <w:r>
        <w:t xml:space="preserve">42.</w:t>
      </w:r>
      <w:r>
        <w:t xml:space="preserve"> </w:t>
      </w:r>
      <w:r>
        <w:t xml:space="preserve">	</w:t>
      </w:r>
      <w:r>
        <w:t xml:space="preserve">J. R. B. Halbesleben, M. V. Whitman.</w:t>
      </w:r>
      <w:r>
        <w:t xml:space="preserve"> </w:t>
      </w:r>
      <w:r>
        <w:t xml:space="preserve">Evaluating Survey Quality in Health Services Research: A Decision Framework for Assessing Nonresponse Bias</w:t>
      </w:r>
      <w:r>
        <w:t xml:space="preserve">.</w:t>
      </w:r>
      <w:r>
        <w:t xml:space="preserve"> </w:t>
      </w:r>
      <w:r>
        <w:rPr>
          <w:i/>
          <w:iCs/>
        </w:rPr>
        <w:t xml:space="preserve">Health Services Research</w:t>
      </w:r>
      <w:r>
        <w:t xml:space="preserve">. 2013;48(3):913-930. doi:</w:t>
      </w:r>
      <w:hyperlink r:id="rId135">
        <w:r>
          <w:rPr>
            <w:rStyle w:val="Hyperlink"/>
          </w:rPr>
          <w:t xml:space="preserve">10.1111/1475-6773.12002</w:t>
        </w:r>
      </w:hyperlink>
    </w:p>
    <w:bookmarkEnd w:id="136"/>
    <w:bookmarkStart w:id="138" w:name="ref-tomaskovic1994"/>
    <w:p>
      <w:pPr>
        <w:pStyle w:val="Bibliography"/>
      </w:pPr>
      <w:r>
        <w:t xml:space="preserve">43.</w:t>
      </w:r>
      <w:r>
        <w:t xml:space="preserve"> </w:t>
      </w:r>
      <w:r>
        <w:t xml:space="preserve">	</w:t>
      </w:r>
      <w:r>
        <w:t xml:space="preserve">D. Tomaskovic-Devey, J. Leiter, S. Thompson.</w:t>
      </w:r>
      <w:r>
        <w:t xml:space="preserve"> </w:t>
      </w:r>
      <w:r>
        <w:t xml:space="preserve">Organizational Survey Nonresponse</w:t>
      </w:r>
      <w:r>
        <w:t xml:space="preserve">.</w:t>
      </w:r>
      <w:r>
        <w:t xml:space="preserve"> </w:t>
      </w:r>
      <w:r>
        <w:rPr>
          <w:i/>
          <w:iCs/>
        </w:rPr>
        <w:t xml:space="preserve">Administrative Science Quarterly</w:t>
      </w:r>
      <w:r>
        <w:t xml:space="preserve">. 1994;39(3):439-457. doi:</w:t>
      </w:r>
      <w:hyperlink r:id="rId137">
        <w:r>
          <w:rPr>
            <w:rStyle w:val="Hyperlink"/>
          </w:rPr>
          <w:t xml:space="preserve">10.2307/2393298</w:t>
        </w:r>
      </w:hyperlink>
    </w:p>
    <w:bookmarkEnd w:id="138"/>
    <w:bookmarkStart w:id="140" w:name="ref-health2020"/>
    <w:p>
      <w:pPr>
        <w:pStyle w:val="Bibliography"/>
      </w:pPr>
      <w:r>
        <w:t xml:space="preserve">44.</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39">
        <w:r>
          <w:rPr>
            <w:rStyle w:val="Hyperlink"/>
          </w:rPr>
          <w:t xml:space="preserve">https://www.healthcatalyst.com/learn/insights/healthcare-analytics-adoption-model-roadmap-analytic-maturity</w:t>
        </w:r>
      </w:hyperlink>
    </w:p>
    <w:bookmarkEnd w:id="140"/>
    <w:bookmarkStart w:id="142" w:name="ref-snowdon2024"/>
    <w:p>
      <w:pPr>
        <w:pStyle w:val="Bibliography"/>
      </w:pPr>
      <w:r>
        <w:t xml:space="preserve">45.</w:t>
      </w:r>
      <w:r>
        <w:t xml:space="preserve"> </w:t>
      </w:r>
      <w:r>
        <w:t xml:space="preserve">	</w:t>
      </w:r>
      <w:r>
        <w:t xml:space="preserve">Hussein Snowdon A., A. Wright.</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41">
        <w:r>
          <w:rPr>
            <w:rStyle w:val="Hyperlink"/>
          </w:rPr>
          <w:t xml:space="preserve">10.2196/56316</w:t>
        </w:r>
      </w:hyperlink>
    </w:p>
    <w:bookmarkEnd w:id="142"/>
    <w:bookmarkStart w:id="144" w:name="ref-yang2021"/>
    <w:p>
      <w:pPr>
        <w:pStyle w:val="Bibliography"/>
      </w:pPr>
      <w:r>
        <w:t xml:space="preserve">46.</w:t>
      </w:r>
      <w:r>
        <w:t xml:space="preserve"> </w:t>
      </w:r>
      <w:r>
        <w:t xml:space="preserve">	</w:t>
      </w:r>
      <w:r>
        <w:t xml:space="preserve">David X Yang, Rohan Khera, Joseph A Miccio, Vikram Jairam, others.</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w:t>
      </w:r>
      <w:r>
        <w:t xml:space="preserve"> </w:t>
      </w:r>
      <w:hyperlink r:id="rId143">
        <w:r>
          <w:rPr>
            <w:rStyle w:val="Hyperlink"/>
          </w:rPr>
          <w:t xml:space="preserve">https://jamanetwork.com/journals/jamanetworkopen/fullarticle/2777777</w:t>
        </w:r>
      </w:hyperlink>
    </w:p>
    <w:bookmarkEnd w:id="144"/>
    <w:bookmarkStart w:id="146" w:name="ref-latrella2024"/>
    <w:p>
      <w:pPr>
        <w:pStyle w:val="Bibliography"/>
      </w:pPr>
      <w:r>
        <w:t xml:space="preserve">47.</w:t>
      </w:r>
      <w:r>
        <w:t xml:space="preserve"> </w:t>
      </w:r>
      <w:r>
        <w:t xml:space="preserve">	</w:t>
      </w:r>
      <w:r>
        <w:t xml:space="preserve">&amp; Baldasare Latrella M.</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Published online 2024. doi:</w:t>
      </w:r>
      <w:hyperlink r:id="rId145">
        <w:r>
          <w:rPr>
            <w:rStyle w:val="Hyperlink"/>
          </w:rPr>
          <w:t xml:space="preserve">10.69554/QHSO5671</w:t>
        </w:r>
      </w:hyperlink>
    </w:p>
    <w:bookmarkEnd w:id="146"/>
    <w:bookmarkStart w:id="148" w:name="ref-nashid2023"/>
    <w:p>
      <w:pPr>
        <w:pStyle w:val="Bibliography"/>
      </w:pPr>
      <w:r>
        <w:t xml:space="preserve">48.</w:t>
      </w:r>
      <w:r>
        <w:t xml:space="preserve"> </w:t>
      </w:r>
      <w:r>
        <w:t xml:space="preserve">	</w:t>
      </w:r>
      <w:r>
        <w:t xml:space="preserve">Papia Nashid S., M. I. Hossain.</w:t>
      </w:r>
      <w:r>
        <w:t xml:space="preserve"> </w:t>
      </w:r>
      <w:r>
        <w:t xml:space="preserve">Advanced Business Analytics in Healthcare: Enhancing Clinical Decision Support and Operational Efficiency</w:t>
      </w:r>
      <w:r>
        <w:t xml:space="preserve">.</w:t>
      </w:r>
      <w:r>
        <w:t xml:space="preserve"> </w:t>
      </w:r>
      <w:r>
        <w:rPr>
          <w:i/>
          <w:iCs/>
        </w:rPr>
        <w:t xml:space="preserve">Business and Social Sciences</w:t>
      </w:r>
      <w:r>
        <w:t xml:space="preserve">. 2023;1(1):1-8. doi:</w:t>
      </w:r>
      <w:hyperlink r:id="rId147">
        <w:r>
          <w:rPr>
            <w:rStyle w:val="Hyperlink"/>
          </w:rPr>
          <w:t xml:space="preserve">10.25163/business.1110345</w:t>
        </w:r>
      </w:hyperlink>
    </w:p>
    <w:bookmarkEnd w:id="148"/>
    <w:bookmarkStart w:id="150" w:name="ref-shahbaz2019"/>
    <w:p>
      <w:pPr>
        <w:pStyle w:val="Bibliography"/>
      </w:pPr>
      <w:r>
        <w:t xml:space="preserve">49.</w:t>
      </w:r>
      <w:r>
        <w:t xml:space="preserve"> </w:t>
      </w:r>
      <w:r>
        <w:t xml:space="preserve">	</w:t>
      </w:r>
      <w:r>
        <w:t xml:space="preserve">Gao Shahbaz M.</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Published online 2019. doi:</w:t>
      </w:r>
      <w:hyperlink r:id="rId149">
        <w:r>
          <w:rPr>
            <w:rStyle w:val="Hyperlink"/>
          </w:rPr>
          <w:t xml:space="preserve">10.1186/s40537-019-0170-y</w:t>
        </w:r>
      </w:hyperlink>
    </w:p>
    <w:bookmarkEnd w:id="150"/>
    <w:bookmarkStart w:id="152" w:name="ref-kamble2019"/>
    <w:p>
      <w:pPr>
        <w:pStyle w:val="Bibliography"/>
      </w:pPr>
      <w:r>
        <w:t xml:space="preserve">50.</w:t>
      </w:r>
      <w:r>
        <w:t xml:space="preserve"> </w:t>
      </w:r>
      <w:r>
        <w:t xml:space="preserve">	</w:t>
      </w:r>
      <w:r>
        <w:t xml:space="preserve">Gunasekaran Kamble S. S.</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Published online 2019. doi:</w:t>
      </w:r>
      <w:hyperlink r:id="rId151">
        <w:r>
          <w:rPr>
            <w:rStyle w:val="Hyperlink"/>
          </w:rPr>
          <w:t xml:space="preserve">10.1080/20479700.2018.1531606</w:t>
        </w:r>
      </w:hyperlink>
    </w:p>
    <w:bookmarkEnd w:id="152"/>
    <w:bookmarkStart w:id="154" w:name="ref-breu2002"/>
    <w:p>
      <w:pPr>
        <w:pStyle w:val="Bibliography"/>
      </w:pPr>
      <w:r>
        <w:t xml:space="preserve">51.</w:t>
      </w:r>
      <w:r>
        <w:t xml:space="preserve"> </w:t>
      </w:r>
      <w:r>
        <w:t xml:space="preserve">	</w:t>
      </w:r>
      <w:r>
        <w:t xml:space="preserve">K. Breu, C. J. Hemingway, M. Strathern, D. Bridger.</w:t>
      </w:r>
      <w:r>
        <w:t xml:space="preserve"> </w:t>
      </w:r>
      <w:r>
        <w:t xml:space="preserve">Workforce Agility: The New Employee Strategy for the Knowledge Economy</w:t>
      </w:r>
      <w:r>
        <w:t xml:space="preserve">.</w:t>
      </w:r>
      <w:r>
        <w:t xml:space="preserve"> </w:t>
      </w:r>
      <w:r>
        <w:rPr>
          <w:i/>
          <w:iCs/>
        </w:rPr>
        <w:t xml:space="preserve">Journal of Information Technology</w:t>
      </w:r>
      <w:r>
        <w:t xml:space="preserve">. 2002;17(1):21-31. doi:</w:t>
      </w:r>
      <w:hyperlink r:id="rId153">
        <w:r>
          <w:rPr>
            <w:rStyle w:val="Hyperlink"/>
          </w:rPr>
          <w:t xml:space="preserve">10.1080/02683960110132070</w:t>
        </w:r>
      </w:hyperlink>
    </w:p>
    <w:bookmarkEnd w:id="154"/>
    <w:bookmarkStart w:id="156" w:name="ref-tessarini2021"/>
    <w:p>
      <w:pPr>
        <w:pStyle w:val="Bibliography"/>
      </w:pPr>
      <w:r>
        <w:t xml:space="preserve">52.</w:t>
      </w:r>
      <w:r>
        <w:t xml:space="preserve"> </w:t>
      </w:r>
      <w:r>
        <w:t xml:space="preserve">	</w:t>
      </w:r>
      <w:r>
        <w:t xml:space="preserve">G. Tessarini Junior, P. Saltorato.</w:t>
      </w:r>
      <w:r>
        <w:t xml:space="preserve"> </w:t>
      </w:r>
      <w:r>
        <w:t xml:space="preserve">Workforce agility: a systematic literature review and a research agenda proposal</w:t>
      </w:r>
      <w:r>
        <w:t xml:space="preserve">.</w:t>
      </w:r>
      <w:r>
        <w:t xml:space="preserve"> </w:t>
      </w:r>
      <w:r>
        <w:rPr>
          <w:i/>
          <w:iCs/>
        </w:rPr>
        <w:t xml:space="preserve">Innovar</w:t>
      </w:r>
      <w:r>
        <w:t xml:space="preserve">. 2021;31(81):155-167. doi:</w:t>
      </w:r>
      <w:hyperlink r:id="rId155">
        <w:r>
          <w:rPr>
            <w:rStyle w:val="Hyperlink"/>
          </w:rPr>
          <w:t xml:space="preserve">10.15446/innovar.v31n81.95582</w:t>
        </w:r>
      </w:hyperlink>
    </w:p>
    <w:bookmarkEnd w:id="156"/>
    <w:bookmarkStart w:id="158" w:name="ref-wynendaele2025"/>
    <w:p>
      <w:pPr>
        <w:pStyle w:val="Bibliography"/>
      </w:pPr>
      <w:r>
        <w:t xml:space="preserve">53.</w:t>
      </w:r>
      <w:r>
        <w:t xml:space="preserve"> </w:t>
      </w:r>
      <w:r>
        <w:t xml:space="preserve">	</w:t>
      </w:r>
      <w:r>
        <w:t xml:space="preserve">Heidi Wynendaele, Els Clays, Evelien Peeters, others.</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Published online 2025. doi:</w:t>
      </w:r>
      <w:hyperlink r:id="rId157">
        <w:r>
          <w:rPr>
            <w:rStyle w:val="Hyperlink"/>
          </w:rPr>
          <w:t xml:space="preserve">10.1186/s12913-025-12966-5</w:t>
        </w:r>
      </w:hyperlink>
    </w:p>
    <w:bookmarkEnd w:id="158"/>
    <w:bookmarkStart w:id="160" w:name="ref-hackney2024"/>
    <w:p>
      <w:pPr>
        <w:pStyle w:val="Bibliography"/>
      </w:pPr>
      <w:r>
        <w:t xml:space="preserve">54.</w:t>
      </w:r>
      <w:r>
        <w:t xml:space="preserve"> </w:t>
      </w:r>
      <w:r>
        <w:t xml:space="preserve">	</w:t>
      </w:r>
      <w:r>
        <w:t xml:space="preserve">A. Hackney.</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59">
        <w:r>
          <w:rPr>
            <w:rStyle w:val="Hyperlink"/>
          </w:rPr>
          <w:t xml:space="preserve">https://search.proquest.com/openview/9a3a9ef301c01ff0129d07f685b8643f/1</w:t>
        </w:r>
      </w:hyperlink>
    </w:p>
    <w:bookmarkEnd w:id="160"/>
    <w:bookmarkStart w:id="162" w:name="ref-alpar2016"/>
    <w:p>
      <w:pPr>
        <w:pStyle w:val="Bibliography"/>
      </w:pPr>
      <w:r>
        <w:t xml:space="preserve">55.</w:t>
      </w:r>
      <w:r>
        <w:t xml:space="preserve"> </w:t>
      </w:r>
      <w:r>
        <w:t xml:space="preserve">	</w:t>
      </w:r>
      <w:r>
        <w:t xml:space="preserve">P. Alpar, M. Schulz.</w:t>
      </w:r>
      <w:r>
        <w:t xml:space="preserve"> </w:t>
      </w:r>
      <w:r>
        <w:t xml:space="preserve">Self-Service Business Intelligence</w:t>
      </w:r>
      <w:r>
        <w:t xml:space="preserve">.</w:t>
      </w:r>
      <w:r>
        <w:t xml:space="preserve"> </w:t>
      </w:r>
      <w:r>
        <w:rPr>
          <w:i/>
          <w:iCs/>
        </w:rPr>
        <w:t xml:space="preserve">Business and Information Systems Engineering</w:t>
      </w:r>
      <w:r>
        <w:t xml:space="preserve">. 2016;58(2):151-155. doi:</w:t>
      </w:r>
      <w:hyperlink r:id="rId161">
        <w:r>
          <w:rPr>
            <w:rStyle w:val="Hyperlink"/>
          </w:rPr>
          <w:t xml:space="preserve">10.1007/s12599-016-0424-6</w:t>
        </w:r>
      </w:hyperlink>
    </w:p>
    <w:bookmarkEnd w:id="162"/>
    <w:bookmarkStart w:id="164" w:name="ref-banihani2020"/>
    <w:p>
      <w:pPr>
        <w:pStyle w:val="Bibliography"/>
      </w:pPr>
      <w:r>
        <w:t xml:space="preserve">56.</w:t>
      </w:r>
      <w:r>
        <w:t xml:space="preserve"> </w:t>
      </w:r>
      <w:r>
        <w:t xml:space="preserve">	</w:t>
      </w:r>
      <w:r>
        <w:t xml:space="preserve">I. Bani-Hani, O. Tona, S. Carlsson.</w:t>
      </w:r>
      <w:r>
        <w:t xml:space="preserve"> </w:t>
      </w:r>
      <w:r>
        <w:t xml:space="preserve">Patterns of Resource Integration in the Self-service Approach to Business Analytics</w:t>
      </w:r>
      <w:r>
        <w:t xml:space="preserve">. In:</w:t>
      </w:r>
      <w:r>
        <w:t xml:space="preserve"> </w:t>
      </w:r>
      <w:r>
        <w:rPr>
          <w:i/>
          <w:iCs/>
        </w:rPr>
        <w:t xml:space="preserve">Proceedings of the 53rd Hawaii International Conference on System Sciences (HICSS)</w:t>
      </w:r>
      <w:r>
        <w:t xml:space="preserve">. 2020. doi:</w:t>
      </w:r>
      <w:hyperlink r:id="rId163">
        <w:r>
          <w:rPr>
            <w:rStyle w:val="Hyperlink"/>
          </w:rPr>
          <w:t xml:space="preserve">10.24251/HICSS.2020.659</w:t>
        </w:r>
      </w:hyperlink>
    </w:p>
    <w:bookmarkEnd w:id="164"/>
    <w:bookmarkStart w:id="166" w:name="ref-blaskovic2025"/>
    <w:p>
      <w:pPr>
        <w:pStyle w:val="Bibliography"/>
      </w:pPr>
      <w:r>
        <w:t xml:space="preserve">57.</w:t>
      </w:r>
      <w:r>
        <w:t xml:space="preserve"> </w:t>
      </w:r>
      <w:r>
        <w:t xml:space="preserve">	</w:t>
      </w:r>
      <w:r>
        <w:t xml:space="preserve">Luka Blaskovic, Nikola Tankovic, Ivan Lorencin, others.</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65">
        <w:r>
          <w:rPr>
            <w:rStyle w:val="Hyperlink"/>
          </w:rPr>
          <w:t xml:space="preserve">10.3390/bdcc9100256</w:t>
        </w:r>
      </w:hyperlink>
    </w:p>
    <w:bookmarkEnd w:id="166"/>
    <w:bookmarkStart w:id="168" w:name="ref-marshan2024"/>
    <w:p>
      <w:pPr>
        <w:pStyle w:val="Bibliography"/>
      </w:pPr>
      <w:r>
        <w:t xml:space="preserve">58.</w:t>
      </w:r>
      <w:r>
        <w:t xml:space="preserve"> </w:t>
      </w:r>
      <w:r>
        <w:t xml:space="preserve">	</w:t>
      </w:r>
      <w:r>
        <w:t xml:space="preserve">Almutairi Marshan A.</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Published online 2024. doi:</w:t>
      </w:r>
      <w:hyperlink r:id="rId167">
        <w:r>
          <w:rPr>
            <w:rStyle w:val="Hyperlink"/>
          </w:rPr>
          <w:t xml:space="preserve">10.3389/fdata.2024.1371680</w:t>
        </w:r>
      </w:hyperlink>
    </w:p>
    <w:bookmarkEnd w:id="168"/>
    <w:bookmarkStart w:id="170" w:name="ref-chen2026graph"/>
    <w:p>
      <w:pPr>
        <w:pStyle w:val="Bibliography"/>
      </w:pPr>
      <w:r>
        <w:t xml:space="preserve">59.</w:t>
      </w:r>
      <w:r>
        <w:t xml:space="preserve"> </w:t>
      </w:r>
      <w:r>
        <w:t xml:space="preserve">	</w:t>
      </w:r>
      <w:r>
        <w:t xml:space="preserve">Qi Chen, Jian Peng, Bin Song, Yun Zhou, Rongrong Ji.</w:t>
      </w:r>
      <w:r>
        <w:t xml:space="preserve"> </w:t>
      </w:r>
      <w:r>
        <w:t xml:space="preserve">Graph-empowered Text-to-SQL generation on Electronic Medical Records</w:t>
      </w:r>
      <w:r>
        <w:t xml:space="preserve">.</w:t>
      </w:r>
      <w:r>
        <w:t xml:space="preserve"> </w:t>
      </w:r>
      <w:r>
        <w:rPr>
          <w:i/>
          <w:iCs/>
        </w:rPr>
        <w:t xml:space="preserve">Pattern Recognition</w:t>
      </w:r>
      <w:r>
        <w:t xml:space="preserve">. Published online 2026. doi:</w:t>
      </w:r>
      <w:hyperlink r:id="rId169">
        <w:r>
          <w:rPr>
            <w:rStyle w:val="Hyperlink"/>
          </w:rPr>
          <w:t xml:space="preserve">10.1016/j.patcog.2025.111601</w:t>
        </w:r>
      </w:hyperlink>
    </w:p>
    <w:bookmarkEnd w:id="170"/>
    <w:bookmarkStart w:id="172" w:name="ref-tarbell2024"/>
    <w:p>
      <w:pPr>
        <w:pStyle w:val="Bibliography"/>
      </w:pPr>
      <w:r>
        <w:t xml:space="preserve">60.</w:t>
      </w:r>
      <w:r>
        <w:t xml:space="preserve"> </w:t>
      </w:r>
      <w:r>
        <w:t xml:space="preserve">	</w:t>
      </w:r>
      <w:r>
        <w:t xml:space="preserve">R. Tarbell, K. K. R. Choo, G. Dietrich, others.</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71">
        <w:r>
          <w:rPr>
            <w:rStyle w:val="Hyperlink"/>
          </w:rPr>
          <w:t xml:space="preserve">https://pmc.ncbi.nlm.nih.gov/articles/PMC10785918/</w:t>
        </w:r>
      </w:hyperlink>
    </w:p>
    <w:bookmarkEnd w:id="172"/>
    <w:bookmarkStart w:id="174" w:name="ref-yuan2019"/>
    <w:p>
      <w:pPr>
        <w:pStyle w:val="Bibliography"/>
      </w:pPr>
      <w:r>
        <w:t xml:space="preserve">61.</w:t>
      </w:r>
      <w:r>
        <w:t xml:space="preserve"> </w:t>
      </w:r>
      <w:r>
        <w:t xml:space="preserve">	</w:t>
      </w:r>
      <w:r>
        <w:t xml:space="preserve">Chi Yuan, Patrick B. Ryan, Casey Ta, Yixuan Guo, Ziran Li, others.</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73">
        <w:r>
          <w:rPr>
            <w:rStyle w:val="Hyperlink"/>
          </w:rPr>
          <w:t xml:space="preserve">10.1093/jamia/ocy178</w:t>
        </w:r>
      </w:hyperlink>
    </w:p>
    <w:bookmarkEnd w:id="174"/>
    <w:bookmarkStart w:id="176" w:name="ref-nittala2024"/>
    <w:p>
      <w:pPr>
        <w:pStyle w:val="Bibliography"/>
      </w:pPr>
      <w:r>
        <w:t xml:space="preserve">62.</w:t>
      </w:r>
      <w:r>
        <w:t xml:space="preserve"> </w:t>
      </w:r>
      <w:r>
        <w:t xml:space="preserve">	</w:t>
      </w:r>
      <w:r>
        <w:t xml:space="preserve">E. P. Nittala.</w:t>
      </w:r>
      <w:r>
        <w:t xml:space="preserve"> </w:t>
      </w:r>
      <w:r>
        <w:t xml:space="preserve">Leveraging Large Language Models for Natural Language Interface in ERP Systems: A Case Study in User Productivity and Cognitive Load</w:t>
      </w:r>
      <w:r>
        <w:t xml:space="preserve">.</w:t>
      </w:r>
      <w:r>
        <w:t xml:space="preserve"> </w:t>
      </w:r>
      <w:r>
        <w:rPr>
          <w:i/>
          <w:iCs/>
        </w:rPr>
        <w:t xml:space="preserve">International Journal of Emerging Trends in Computer Science and Information Technology</w:t>
      </w:r>
      <w:r>
        <w:t xml:space="preserve">. Published online 2024.</w:t>
      </w:r>
      <w:r>
        <w:t xml:space="preserve"> </w:t>
      </w:r>
      <w:hyperlink r:id="rId175">
        <w:r>
          <w:rPr>
            <w:rStyle w:val="Hyperlink"/>
          </w:rPr>
          <w:t xml:space="preserve">https://www.ijetcsit.org/index.php/ijetcsit/article/view/458</w:t>
        </w:r>
      </w:hyperlink>
    </w:p>
    <w:bookmarkEnd w:id="176"/>
    <w:bookmarkStart w:id="178" w:name="ref-anthropic2025"/>
    <w:p>
      <w:pPr>
        <w:pStyle w:val="Bibliography"/>
      </w:pPr>
      <w:r>
        <w:t xml:space="preserve">63.</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77">
        <w:r>
          <w:rPr>
            <w:rStyle w:val="Hyperlink"/>
          </w:rPr>
          <w:t xml:space="preserve">https://resources.anthropic.com/code-modernization-playbook</w:t>
        </w:r>
      </w:hyperlink>
    </w:p>
    <w:bookmarkEnd w:id="178"/>
    <w:bookmarkStart w:id="180" w:name="ref-hendrix1978"/>
    <w:p>
      <w:pPr>
        <w:pStyle w:val="Bibliography"/>
      </w:pPr>
      <w:r>
        <w:t xml:space="preserve">64.</w:t>
      </w:r>
      <w:r>
        <w:t xml:space="preserve"> </w:t>
      </w:r>
      <w:r>
        <w:t xml:space="preserve">	</w:t>
      </w:r>
      <w:r>
        <w:t xml:space="preserve">Sacerdoti Hendrix G. G.</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Published online 1978. doi:</w:t>
      </w:r>
      <w:hyperlink r:id="rId179">
        <w:r>
          <w:rPr>
            <w:rStyle w:val="Hyperlink"/>
          </w:rPr>
          <w:t xml:space="preserve">10.1145/320251.320253</w:t>
        </w:r>
      </w:hyperlink>
    </w:p>
    <w:bookmarkEnd w:id="180"/>
    <w:bookmarkStart w:id="182" w:name="ref-ogunwole2023"/>
    <w:p>
      <w:pPr>
        <w:pStyle w:val="Bibliography"/>
      </w:pPr>
      <w:r>
        <w:t xml:space="preserve">65.</w:t>
      </w:r>
      <w:r>
        <w:t xml:space="preserve"> </w:t>
      </w:r>
      <w:r>
        <w:t xml:space="preserve">	</w:t>
      </w:r>
      <w:r>
        <w:t xml:space="preserve">&amp; Onukwulu Ogunwole O.</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81">
        <w:r>
          <w:rPr>
            <w:rStyle w:val="Hyperlink"/>
          </w:rPr>
          <w:t xml:space="preserve">https://www.allmultidisciplinaryjournal.com/uploads/archives/20250306182550_MGE-2025-2-018.1.pdf</w:t>
        </w:r>
      </w:hyperlink>
    </w:p>
    <w:bookmarkEnd w:id="182"/>
    <w:bookmarkStart w:id="184" w:name="ref-arora2025"/>
    <w:p>
      <w:pPr>
        <w:pStyle w:val="Bibliography"/>
      </w:pPr>
      <w:r>
        <w:t xml:space="preserve">66.</w:t>
      </w:r>
      <w:r>
        <w:t xml:space="preserve"> </w:t>
      </w:r>
      <w:r>
        <w:t xml:space="preserve">	</w:t>
      </w:r>
      <w:r>
        <w:t xml:space="preserve">A Arora.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w:t>
      </w:r>
      <w:r>
        <w:t xml:space="preserve"> </w:t>
      </w:r>
      <w:hyperlink r:id="rId183">
        <w:r>
          <w:rPr>
            <w:rStyle w:val="Hyperlink"/>
          </w:rPr>
          <w:t xml:space="preserve">https://papers.ssrn.com/sol3/papers.cfm?abstract_id=5268176</w:t>
        </w:r>
      </w:hyperlink>
    </w:p>
    <w:bookmarkEnd w:id="184"/>
    <w:bookmarkStart w:id="186" w:name="ref-ignatowicz2023"/>
    <w:p>
      <w:pPr>
        <w:pStyle w:val="Bibliography"/>
      </w:pPr>
      <w:r>
        <w:t xml:space="preserve">67.</w:t>
      </w:r>
      <w:r>
        <w:t xml:space="preserve"> </w:t>
      </w:r>
      <w:r>
        <w:t xml:space="preserve">	</w:t>
      </w:r>
      <w:r>
        <w:t xml:space="preserve">Agnieszka Ignatowicz, Carolyn Tarrant, Russell Mannion, Dalia El-Sawy, others.</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2023;23:242. doi:</w:t>
      </w:r>
      <w:hyperlink r:id="rId185">
        <w:r>
          <w:rPr>
            <w:rStyle w:val="Hyperlink"/>
          </w:rPr>
          <w:t xml:space="preserve">10.1186/s12913-023-09242-9</w:t>
        </w:r>
      </w:hyperlink>
    </w:p>
    <w:bookmarkEnd w:id="186"/>
    <w:bookmarkStart w:id="188" w:name="ref-ratliff2025"/>
    <w:p>
      <w:pPr>
        <w:pStyle w:val="Bibliography"/>
      </w:pPr>
      <w:r>
        <w:t xml:space="preserve">68.</w:t>
      </w:r>
      <w:r>
        <w:t xml:space="preserve"> </w:t>
      </w:r>
      <w:r>
        <w:t xml:space="preserve">	</w:t>
      </w:r>
      <w:r>
        <w:t xml:space="preserve">Hope C. Ratliff, Kirsten A. Lee, Mara Buchbinder, Lesly A. Kelly, others.</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w:t>
      </w:r>
      <w:r>
        <w:t xml:space="preserve"> </w:t>
      </w:r>
      <w:hyperlink r:id="rId187">
        <w:r>
          <w:rPr>
            <w:rStyle w:val="Hyperlink"/>
          </w:rPr>
          <w:t xml:space="preserve">https://journals.lww.com/jhmonline/fulltext/2025/05000/organizational_resilience_in_healthcare__a_scoping.4.aspx</w:t>
        </w:r>
      </w:hyperlink>
    </w:p>
    <w:bookmarkEnd w:id="188"/>
    <w:bookmarkStart w:id="190" w:name="ref-valiaiev2025"/>
    <w:p>
      <w:pPr>
        <w:pStyle w:val="Bibliography"/>
      </w:pPr>
      <w:r>
        <w:t xml:space="preserve">69.</w:t>
      </w:r>
      <w:r>
        <w:t xml:space="preserve"> </w:t>
      </w:r>
      <w:r>
        <w:t xml:space="preserve">	</w:t>
      </w:r>
      <w:r>
        <w:t xml:space="preserve">D. Valiaiev.</w:t>
      </w:r>
      <w:r>
        <w:t xml:space="preserve"> </w:t>
      </w:r>
      <w:r>
        <w:rPr>
          <w:i/>
          <w:iCs/>
        </w:rPr>
        <w:t xml:space="preserve">Implementing DataOps: A Scalable Framework for Modern Data Warehousing</w:t>
      </w:r>
      <w:r>
        <w:t xml:space="preserve">. PhD thesis. ProQuest Dissertations; 2025.</w:t>
      </w:r>
      <w:r>
        <w:t xml:space="preserve"> </w:t>
      </w:r>
      <w:hyperlink r:id="rId189">
        <w:r>
          <w:rPr>
            <w:rStyle w:val="Hyperlink"/>
          </w:rPr>
          <w:t xml:space="preserve">https://search.proquest.com/openview/aa9acce88c488cbb8c6b3c8339062319/1</w:t>
        </w:r>
      </w:hyperlink>
    </w:p>
    <w:bookmarkEnd w:id="190"/>
    <w:bookmarkStart w:id="192" w:name="ref-betha2023"/>
    <w:p>
      <w:pPr>
        <w:pStyle w:val="Bibliography"/>
      </w:pPr>
      <w:r>
        <w:t xml:space="preserve">70.</w:t>
      </w:r>
      <w:r>
        <w:t xml:space="preserve"> </w:t>
      </w:r>
      <w:r>
        <w:t xml:space="preserve">	</w:t>
      </w:r>
      <w:r>
        <w:t xml:space="preserve">R. Betha.</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91">
        <w:r>
          <w:rPr>
            <w:rStyle w:val="Hyperlink"/>
          </w:rPr>
          <w:t xml:space="preserve">https://www.ijaidr.com/papers/2023/1/1299.pdf</w:t>
        </w:r>
      </w:hyperlink>
    </w:p>
    <w:bookmarkEnd w:id="192"/>
    <w:bookmarkStart w:id="194" w:name="ref-kottam2025"/>
    <w:p>
      <w:pPr>
        <w:pStyle w:val="Bibliography"/>
      </w:pPr>
      <w:r>
        <w:t xml:space="preserve">71.</w:t>
      </w:r>
      <w:r>
        <w:t xml:space="preserve"> </w:t>
      </w:r>
      <w:r>
        <w:t xml:space="preserve">	</w:t>
      </w:r>
      <w:r>
        <w:t xml:space="preserve">Saikiran Kottam, Sridhar Annem, Yingcheng Sun.</w:t>
      </w:r>
      <w:r>
        <w:t xml:space="preserve"> </w:t>
      </w:r>
      <w:r>
        <w:t xml:space="preserve">Error-Aware Text-to-SQL Generation for Clinical Trial Eligibility Criteria Querying in EHR Databases</w:t>
      </w:r>
      <w:r>
        <w:t xml:space="preserve">. In:</w:t>
      </w:r>
      <w:r>
        <w:t xml:space="preserve"> </w:t>
      </w:r>
      <w:r>
        <w:rPr>
          <w:i/>
          <w:iCs/>
        </w:rPr>
        <w:t xml:space="preserve">2025 IEEE/ACM 47th International Conference on Software Engineering: Software Engineering in Practice (ICSE-SEIP)</w:t>
      </w:r>
      <w:r>
        <w:t xml:space="preserve">. 2025. doi:</w:t>
      </w:r>
      <w:hyperlink r:id="rId193">
        <w:r>
          <w:rPr>
            <w:rStyle w:val="Hyperlink"/>
          </w:rPr>
          <w:t xml:space="preserve">10.1109/ICSE-SEIP62840.2025.00045</w:t>
        </w:r>
      </w:hyperlink>
    </w:p>
    <w:bookmarkEnd w:id="194"/>
    <w:bookmarkStart w:id="196" w:name="ref-alukal2006"/>
    <w:p>
      <w:pPr>
        <w:pStyle w:val="Bibliography"/>
      </w:pPr>
      <w:r>
        <w:t xml:space="preserve">72.</w:t>
      </w:r>
      <w:r>
        <w:t xml:space="preserve"> </w:t>
      </w:r>
      <w:r>
        <w:t xml:space="preserve">	</w:t>
      </w:r>
      <w:r>
        <w:t xml:space="preserve">V. G. Alukal, A. Manos.</w:t>
      </w:r>
      <w:r>
        <w:t xml:space="preserve"> </w:t>
      </w:r>
      <w:r>
        <w:rPr>
          <w:i/>
          <w:iCs/>
        </w:rPr>
        <w:t xml:space="preserve">Lean Kaizen: A Simplified Approach to Process Improvement</w:t>
      </w:r>
      <w:r>
        <w:t xml:space="preserve">. ASQ Quality Press; 2006.</w:t>
      </w:r>
      <w:r>
        <w:t xml:space="preserve"> </w:t>
      </w:r>
      <w:hyperlink r:id="rId195">
        <w:r>
          <w:rPr>
            <w:rStyle w:val="Hyperlink"/>
          </w:rPr>
          <w:t xml:space="preserve">https://books.google.com/books?id=9uqiEAAAQBAJ</w:t>
        </w:r>
      </w:hyperlink>
    </w:p>
    <w:bookmarkEnd w:id="196"/>
    <w:bookmarkStart w:id="198" w:name="ref-himss2025ucdavis"/>
    <w:p>
      <w:pPr>
        <w:pStyle w:val="Bibliography"/>
      </w:pPr>
      <w:r>
        <w:t xml:space="preserve">73.</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97">
        <w:r>
          <w:rPr>
            <w:rStyle w:val="Hyperlink"/>
          </w:rPr>
          <w:t xml:space="preserve">https://pages.himss.org/LP-HA-Case-Study-UC-Davis.html</w:t>
        </w:r>
      </w:hyperlink>
    </w:p>
    <w:bookmarkEnd w:id="198"/>
    <w:bookmarkStart w:id="200" w:name="ref-kumar2025caos"/>
    <w:p>
      <w:pPr>
        <w:pStyle w:val="Bibliography"/>
      </w:pPr>
      <w:r>
        <w:t xml:space="preserve">74.</w:t>
      </w:r>
      <w:r>
        <w:t xml:space="preserve"> </w:t>
      </w:r>
      <w:r>
        <w:t xml:space="preserve">	</w:t>
      </w:r>
      <w:r>
        <w:t xml:space="preserve">Rahul Kumar, Konrad Sporn, Ethan Waisberg, Joshua Ong, Phani Paladugu, others.</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99">
        <w:r>
          <w:rPr>
            <w:rStyle w:val="Hyperlink"/>
          </w:rPr>
          <w:t xml:space="preserve">10.1007/s10728-025-00537-y</w:t>
        </w:r>
      </w:hyperlink>
    </w:p>
    <w:bookmarkEnd w:id="200"/>
    <w:bookmarkStart w:id="202" w:name="ref-labkoff2024"/>
    <w:p>
      <w:pPr>
        <w:pStyle w:val="Bibliography"/>
      </w:pPr>
      <w:r>
        <w:t xml:space="preserve">75.</w:t>
      </w:r>
      <w:r>
        <w:t xml:space="preserve"> </w:t>
      </w:r>
      <w:r>
        <w:t xml:space="preserve">	</w:t>
      </w:r>
      <w:r>
        <w:t xml:space="preserve">Steven Labkoff, Bola Oladimeji, Joseph Kannry, others.</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 doi:</w:t>
      </w:r>
      <w:hyperlink r:id="rId201">
        <w:r>
          <w:rPr>
            <w:rStyle w:val="Hyperlink"/>
          </w:rPr>
          <w:t xml:space="preserve">10.1093/jamia/ocae209</w:t>
        </w:r>
      </w:hyperlink>
    </w:p>
    <w:bookmarkEnd w:id="202"/>
    <w:bookmarkStart w:id="204" w:name="ref-loshin2010"/>
    <w:p>
      <w:pPr>
        <w:pStyle w:val="Bibliography"/>
      </w:pPr>
      <w:r>
        <w:t xml:space="preserve">76.</w:t>
      </w:r>
      <w:r>
        <w:t xml:space="preserve"> </w:t>
      </w:r>
      <w:r>
        <w:t xml:space="preserve">	</w:t>
      </w:r>
      <w:r>
        <w:t xml:space="preserve">David Loshin.</w:t>
      </w:r>
      <w:r>
        <w:t xml:space="preserve"> </w:t>
      </w:r>
      <w:r>
        <w:rPr>
          <w:i/>
          <w:iCs/>
        </w:rPr>
        <w:t xml:space="preserve">Master Data Management</w:t>
      </w:r>
      <w:r>
        <w:t xml:space="preserve">. Morgan Kaufmann; 2010.</w:t>
      </w:r>
      <w:r>
        <w:t xml:space="preserve"> </w:t>
      </w:r>
      <w:hyperlink r:id="rId203">
        <w:r>
          <w:rPr>
            <w:rStyle w:val="Hyperlink"/>
          </w:rPr>
          <w:t xml:space="preserve">https://books.google.com/books?id=dJtmVz3nrOUC</w:t>
        </w:r>
      </w:hyperlink>
    </w:p>
    <w:bookmarkEnd w:id="204"/>
    <w:bookmarkStart w:id="206" w:name="ref-kalyanasundaram2025"/>
    <w:p>
      <w:pPr>
        <w:pStyle w:val="Bibliography"/>
      </w:pPr>
      <w:r>
        <w:t xml:space="preserve">77.</w:t>
      </w:r>
      <w:r>
        <w:t xml:space="preserve"> </w:t>
      </w:r>
      <w:r>
        <w:t xml:space="preserve">	</w:t>
      </w:r>
      <w:r>
        <w:t xml:space="preserve">S. Kalyanasundaram.</w:t>
      </w:r>
      <w:r>
        <w:t xml:space="preserve"> </w:t>
      </w:r>
      <w:r>
        <w:t xml:space="preserve">Data Lake Governance – Establishing a Single Source of Truth in Healthcare Enterprises</w:t>
      </w:r>
      <w:r>
        <w:t xml:space="preserve">.</w:t>
      </w:r>
      <w:r>
        <w:t xml:space="preserve"> </w:t>
      </w:r>
      <w:r>
        <w:rPr>
          <w:i/>
          <w:iCs/>
        </w:rPr>
        <w:t xml:space="preserve">International Journal of Emerging Trends in Computer Science and Information Technology</w:t>
      </w:r>
      <w:r>
        <w:t xml:space="preserve">. Published online 2025.</w:t>
      </w:r>
      <w:r>
        <w:t xml:space="preserve"> </w:t>
      </w:r>
      <w:hyperlink r:id="rId205">
        <w:r>
          <w:rPr>
            <w:rStyle w:val="Hyperlink"/>
          </w:rPr>
          <w:t xml:space="preserve">https://www.ijetcsit.org/index.php/ijetcsit/article/view/522</w:t>
        </w:r>
      </w:hyperlink>
    </w:p>
    <w:bookmarkEnd w:id="206"/>
    <w:bookmarkStart w:id="208" w:name="ref-zimmermann2017"/>
    <w:p>
      <w:pPr>
        <w:pStyle w:val="Bibliography"/>
      </w:pPr>
      <w:r>
        <w:t xml:space="preserve">78.</w:t>
      </w:r>
      <w:r>
        <w:t xml:space="preserve"> </w:t>
      </w:r>
      <w:r>
        <w:t xml:space="preserve">	</w:t>
      </w:r>
      <w:r>
        <w:t xml:space="preserve">Stephan Zimmermann, Christopher Rentrop.</w:t>
      </w:r>
      <w:r>
        <w:t xml:space="preserve"> </w:t>
      </w:r>
      <w:r>
        <w:t xml:space="preserve">On the emergence of shadow IT: A transaction cost-based approach</w:t>
      </w:r>
      <w:r>
        <w:t xml:space="preserve">.</w:t>
      </w:r>
      <w:r>
        <w:t xml:space="preserve"> </w:t>
      </w:r>
      <w:r>
        <w:rPr>
          <w:i/>
          <w:iCs/>
        </w:rPr>
        <w:t xml:space="preserve">Journal of Information Systems</w:t>
      </w:r>
      <w:r>
        <w:t xml:space="preserve">. 2017;31(1):79-96. doi:</w:t>
      </w:r>
      <w:hyperlink r:id="rId207">
        <w:r>
          <w:rPr>
            <w:rStyle w:val="Hyperlink"/>
          </w:rPr>
          <w:t xml:space="preserve">10.2308/isys-51386</w:t>
        </w:r>
      </w:hyperlink>
    </w:p>
    <w:bookmarkEnd w:id="208"/>
    <w:bookmarkStart w:id="210" w:name="ref-ipeirotis2025"/>
    <w:p>
      <w:pPr>
        <w:pStyle w:val="Bibliography"/>
      </w:pPr>
      <w:r>
        <w:t xml:space="preserve">79.</w:t>
      </w:r>
      <w:r>
        <w:t xml:space="preserve"> </w:t>
      </w:r>
      <w:r>
        <w:t xml:space="preserve">	</w:t>
      </w:r>
      <w:r>
        <w:t xml:space="preserve">&amp; Zheng Ipeirotis P.</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209">
        <w:r>
          <w:rPr>
            <w:rStyle w:val="Hyperlink"/>
          </w:rPr>
          <w:t xml:space="preserve">https://arxiv.org/abs/2511.14718</w:t>
        </w:r>
      </w:hyperlink>
    </w:p>
    <w:bookmarkEnd w:id="210"/>
    <w:bookmarkStart w:id="212" w:name="ref-gartlehner2025"/>
    <w:p>
      <w:pPr>
        <w:pStyle w:val="Bibliography"/>
      </w:pPr>
      <w:r>
        <w:t xml:space="preserve">80.</w:t>
      </w:r>
      <w:r>
        <w:t xml:space="preserve"> </w:t>
      </w:r>
      <w:r>
        <w:t xml:space="preserve">	</w:t>
      </w:r>
      <w:r>
        <w:t xml:space="preserve">G. Gartlehner, S. Kugley, K. Crotty, M. Viswanathan, A. Dobrescu, B. Nussbaumer-Streit, G. Booth, J. R. Treadwell.</w:t>
      </w:r>
      <w:r>
        <w:t xml:space="preserve"> </w:t>
      </w:r>
      <w:r>
        <w:t xml:space="preserve">Artificial Intelligence-Assisted Data Extraction With a Large Language Model: A Study Within Reviews</w:t>
      </w:r>
      <w:r>
        <w:t xml:space="preserve">.</w:t>
      </w:r>
      <w:r>
        <w:t xml:space="preserve"> </w:t>
      </w:r>
      <w:r>
        <w:rPr>
          <w:i/>
          <w:iCs/>
        </w:rPr>
        <w:t xml:space="preserve">Annals of Internal Medicine</w:t>
      </w:r>
      <w:r>
        <w:t xml:space="preserve">. 2025;178(12):1763-1771. doi:</w:t>
      </w:r>
      <w:hyperlink r:id="rId211">
        <w:r>
          <w:rPr>
            <w:rStyle w:val="Hyperlink"/>
          </w:rPr>
          <w:t xml:space="preserve">10.7326/ANNALS-25-00739</w:t>
        </w:r>
      </w:hyperlink>
    </w:p>
    <w:bookmarkEnd w:id="212"/>
    <w:bookmarkStart w:id="214" w:name="ref-benzarti2026"/>
    <w:p>
      <w:pPr>
        <w:pStyle w:val="Bibliography"/>
      </w:pPr>
      <w:r>
        <w:t xml:space="preserve">81.</w:t>
      </w:r>
      <w:r>
        <w:t xml:space="preserve"> </w:t>
      </w:r>
      <w:r>
        <w:t xml:space="preserve">	</w:t>
      </w:r>
      <w:r>
        <w:t xml:space="preserve">S. Benzarti, C. Berrabah.</w:t>
      </w:r>
      <w:r>
        <w:t xml:space="preserve"> </w:t>
      </w:r>
      <w:r>
        <w:t xml:space="preserve">Generative AI for Intelligent Data Extraction: A Case Study in Automated Excel-to-SQL with Human Oversight</w:t>
      </w:r>
      <w:r>
        <w:t xml:space="preserve">. In:</w:t>
      </w:r>
      <w:r>
        <w:t xml:space="preserve"> </w:t>
      </w:r>
      <w:r>
        <w:rPr>
          <w:i/>
          <w:iCs/>
        </w:rPr>
        <w:t xml:space="preserve">Lecture Notes of the Institute for Computer Sciences, Social Informatics and Telecommunications Engineering (LNICST)</w:t>
      </w:r>
      <w:r>
        <w:t xml:space="preserve">. Springer; 2026:151-164. doi:</w:t>
      </w:r>
      <w:hyperlink r:id="rId213">
        <w:r>
          <w:rPr>
            <w:rStyle w:val="Hyperlink"/>
          </w:rPr>
          <w:t xml:space="preserve">10.1007/978-3-032-16638-8_11</w:t>
        </w:r>
      </w:hyperlink>
    </w:p>
    <w:bookmarkEnd w:id="214"/>
    <w:bookmarkStart w:id="216" w:name="ref-ning2024"/>
    <w:p>
      <w:pPr>
        <w:pStyle w:val="Bibliography"/>
      </w:pPr>
      <w:r>
        <w:t xml:space="preserve">82.</w:t>
      </w:r>
      <w:r>
        <w:t xml:space="preserve"> </w:t>
      </w:r>
      <w:r>
        <w:t xml:space="preserve">	</w:t>
      </w:r>
      <w:r>
        <w:t xml:space="preserve">Z. Ning, Y. Tian, Z. Zhang, T. Zhang, T. J. Li.</w:t>
      </w:r>
      <w:r>
        <w:t xml:space="preserve"> </w:t>
      </w:r>
      <w:r>
        <w:t xml:space="preserve">Insights into Natural Language Database Query Errors: From Attention Misalignment to User Handling Strategies</w:t>
      </w:r>
      <w:r>
        <w:t xml:space="preserve">.</w:t>
      </w:r>
      <w:r>
        <w:t xml:space="preserve"> </w:t>
      </w:r>
      <w:r>
        <w:rPr>
          <w:i/>
          <w:iCs/>
        </w:rPr>
        <w:t xml:space="preserve">ACM Transactions on Interactive Intelligent Systems</w:t>
      </w:r>
      <w:r>
        <w:t xml:space="preserve">. 2024;14(4):1-32. doi:</w:t>
      </w:r>
      <w:hyperlink r:id="rId215">
        <w:r>
          <w:rPr>
            <w:rStyle w:val="Hyperlink"/>
          </w:rPr>
          <w:t xml:space="preserve">10.1145/3650114</w:t>
        </w:r>
      </w:hyperlink>
    </w:p>
    <w:bookmarkEnd w:id="216"/>
    <w:bookmarkStart w:id="218" w:name="ref-ibm2022"/>
    <w:p>
      <w:pPr>
        <w:pStyle w:val="Bibliography"/>
      </w:pPr>
      <w:r>
        <w:t xml:space="preserve">83.</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217">
        <w:r>
          <w:rPr>
            <w:rStyle w:val="Hyperlink"/>
          </w:rPr>
          <w:t xml:space="preserve">https://newsroom.ibm.com/2022-01-21-Francisco-Partners-to-Acquire-IBMs-Healthcare-Data-and-Analytics-Assets</w:t>
        </w:r>
      </w:hyperlink>
    </w:p>
    <w:bookmarkEnd w:id="218"/>
    <w:bookmarkStart w:id="220" w:name="ref-strickland2019"/>
    <w:p>
      <w:pPr>
        <w:pStyle w:val="Bibliography"/>
      </w:pPr>
      <w:r>
        <w:t xml:space="preserve">84.</w:t>
      </w:r>
      <w:r>
        <w:t xml:space="preserve"> </w:t>
      </w:r>
      <w:r>
        <w:t xml:space="preserve">	</w:t>
      </w:r>
      <w:r>
        <w:t xml:space="preserve">E. Strickland.</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219">
        <w:r>
          <w:rPr>
            <w:rStyle w:val="Hyperlink"/>
          </w:rPr>
          <w:t xml:space="preserve">10.1109/MSPEC.2019.8678513</w:t>
        </w:r>
      </w:hyperlink>
    </w:p>
    <w:bookmarkEnd w:id="220"/>
    <w:bookmarkStart w:id="222" w:name="ref-lavito2021"/>
    <w:p>
      <w:pPr>
        <w:pStyle w:val="Bibliography"/>
      </w:pPr>
      <w:r>
        <w:t xml:space="preserve">85.</w:t>
      </w:r>
      <w:r>
        <w:t xml:space="preserve"> </w:t>
      </w:r>
      <w:r>
        <w:t xml:space="preserve">	</w:t>
      </w:r>
      <w:r>
        <w:t xml:space="preserve">A LaVito.</w:t>
      </w:r>
      <w:r>
        <w:t xml:space="preserve"> </w:t>
      </w:r>
      <w:r>
        <w:t xml:space="preserve">Haven, the Amazon-Berkshire-JPMorgan venture to disrupt healthcare, is disbanding after 3 years</w:t>
      </w:r>
      <w:r>
        <w:t xml:space="preserve">.</w:t>
      </w:r>
      <w:r>
        <w:t xml:space="preserve"> </w:t>
      </w:r>
      <w:r>
        <w:rPr>
          <w:i/>
          <w:iCs/>
        </w:rPr>
        <w:t xml:space="preserve">CNBC</w:t>
      </w:r>
      <w:r>
        <w:t xml:space="preserve">. Published online 2021.</w:t>
      </w:r>
      <w:r>
        <w:t xml:space="preserve"> </w:t>
      </w:r>
      <w:hyperlink r:id="rId221">
        <w:r>
          <w:rPr>
            <w:rStyle w:val="Hyperlink"/>
          </w:rPr>
          <w:t xml:space="preserve">https://www.cnbc.com/2021/01/04/haven-the-amazon-berkshire-jpmorgan-venture-to-disrupt-healthcare-is-disbanding-after-3-years.html</w:t>
        </w:r>
      </w:hyperlink>
    </w:p>
    <w:bookmarkEnd w:id="222"/>
    <w:bookmarkStart w:id="224" w:name="ref-acchiardo2021"/>
    <w:p>
      <w:pPr>
        <w:pStyle w:val="Bibliography"/>
      </w:pPr>
      <w:r>
        <w:t xml:space="preserve">86.</w:t>
      </w:r>
      <w:r>
        <w:t xml:space="preserve"> </w:t>
      </w:r>
      <w:r>
        <w:t xml:space="preserve">	</w:t>
      </w:r>
      <w:r>
        <w:t xml:space="preserve">J. M. Acchiardo, R. B. Gunderman.</w:t>
      </w:r>
      <w:r>
        <w:t xml:space="preserve"> </w:t>
      </w:r>
      <w:r>
        <w:t xml:space="preserve">The Failure of Haven Healthcare: Lessons for Radiology Learners</w:t>
      </w:r>
      <w:r>
        <w:t xml:space="preserve">.</w:t>
      </w:r>
      <w:r>
        <w:t xml:space="preserve"> </w:t>
      </w:r>
      <w:r>
        <w:rPr>
          <w:i/>
          <w:iCs/>
        </w:rPr>
        <w:t xml:space="preserve">Academic Radiology</w:t>
      </w:r>
      <w:r>
        <w:t xml:space="preserve">. 2021;28(7):1036-1037. doi:</w:t>
      </w:r>
      <w:hyperlink r:id="rId223">
        <w:r>
          <w:rPr>
            <w:rStyle w:val="Hyperlink"/>
          </w:rPr>
          <w:t xml:space="preserve">10.1016/j.acra.2021.03.023</w:t>
        </w:r>
      </w:hyperlink>
    </w:p>
    <w:bookmarkEnd w:id="224"/>
    <w:bookmarkStart w:id="226" w:name="ref-yang2020"/>
    <w:p>
      <w:pPr>
        <w:pStyle w:val="Bibliography"/>
      </w:pPr>
      <w:r>
        <w:t xml:space="preserve">87.</w:t>
      </w:r>
      <w:r>
        <w:t xml:space="preserve"> </w:t>
      </w:r>
      <w:r>
        <w:t xml:space="preserve">	</w:t>
      </w:r>
      <w:r>
        <w:t xml:space="preserve">J. Yang, H. Chesbrough, P. Hurmelinna-Laukkanen.</w:t>
      </w:r>
      <w:r>
        <w:t xml:space="preserve"> </w:t>
      </w:r>
      <w:r>
        <w:rPr>
          <w:i/>
          <w:iCs/>
        </w:rPr>
        <w:t xml:space="preserve">The rise, fall, and resurrection of IBM Watson Health</w:t>
      </w:r>
      <w:r>
        <w:t xml:space="preserve">. University of Oulu; 2020.</w:t>
      </w:r>
      <w:r>
        <w:t xml:space="preserve"> </w:t>
      </w:r>
      <w:hyperlink r:id="rId225">
        <w:r>
          <w:rPr>
            <w:rStyle w:val="Hyperlink"/>
          </w:rPr>
          <w:t xml:space="preserve">https://oulurepo.oulu.fi/bitstream/handle/10024/27921/nbnfi-fe2020050424858.pdf</w:t>
        </w:r>
      </w:hyperlink>
    </w:p>
    <w:bookmarkEnd w:id="226"/>
    <w:bookmarkEnd w:id="227"/>
    <w:bookmarkEnd w:id="2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60" Target="https://academic.oup.com/jpart/advance-article-abstract/doi/10.1093/jopart/muaf019/8162522" TargetMode="External" /><Relationship Type="http://schemas.openxmlformats.org/officeDocument/2006/relationships/hyperlink" Id="rId62" Target="https://api.wittkieffer.com/wp-content/uploads/2012/10/cio-insights-the-state-of-healthcare-it-leadership-wittkieffer-october-2024.pdf" TargetMode="External" /><Relationship Type="http://schemas.openxmlformats.org/officeDocument/2006/relationships/hyperlink" Id="rId108" Target="https://arxiv.org/abs/2301.07695" TargetMode="External" /><Relationship Type="http://schemas.openxmlformats.org/officeDocument/2006/relationships/hyperlink" Id="rId126" Target="https://arxiv.org/abs/2403.09226" TargetMode="External" /><Relationship Type="http://schemas.openxmlformats.org/officeDocument/2006/relationships/hyperlink" Id="rId209" Target="https://arxiv.org/abs/2511.14718" TargetMode="External" /><Relationship Type="http://schemas.openxmlformats.org/officeDocument/2006/relationships/hyperlink" Id="rId195" Target="https://books.google.com/books?id=9uqiEAAAQBAJ" TargetMode="External" /><Relationship Type="http://schemas.openxmlformats.org/officeDocument/2006/relationships/hyperlink" Id="rId203" Target="https://books.google.com/books?id=dJtmVz3nrOUC" TargetMode="External" /><Relationship Type="http://schemas.openxmlformats.org/officeDocument/2006/relationships/hyperlink" Id="rId94" Target="https://doi.org/10.1002/nop2.2097" TargetMode="External" /><Relationship Type="http://schemas.openxmlformats.org/officeDocument/2006/relationships/hyperlink" Id="rId213" Target="https://doi.org/10.1007/978-3-032-16638-8_11" TargetMode="External" /><Relationship Type="http://schemas.openxmlformats.org/officeDocument/2006/relationships/hyperlink" Id="rId199" Target="https://doi.org/10.1007/s10728-025-00537-y" TargetMode="External" /><Relationship Type="http://schemas.openxmlformats.org/officeDocument/2006/relationships/hyperlink" Id="rId161" Target="https://doi.org/10.1007/s12599-016-0424-6" TargetMode="External" /><Relationship Type="http://schemas.openxmlformats.org/officeDocument/2006/relationships/hyperlink" Id="rId131" Target="https://doi.org/10.1007/s41471-024-00205-2" TargetMode="External" /><Relationship Type="http://schemas.openxmlformats.org/officeDocument/2006/relationships/hyperlink" Id="rId223" Target="https://doi.org/10.1016/j.acra.2021.03.023" TargetMode="External" /><Relationship Type="http://schemas.openxmlformats.org/officeDocument/2006/relationships/hyperlink" Id="rId114" Target="https://doi.org/10.1016/j.ijinfomgt.2003.12.012" TargetMode="External" /><Relationship Type="http://schemas.openxmlformats.org/officeDocument/2006/relationships/hyperlink" Id="rId129" Target="https://doi.org/10.1016/j.ijinfomgt.2017.08.005" TargetMode="External" /><Relationship Type="http://schemas.openxmlformats.org/officeDocument/2006/relationships/hyperlink" Id="rId76" Target="https://doi.org/10.1016/j.ijrobp.2016.03.003" TargetMode="External" /><Relationship Type="http://schemas.openxmlformats.org/officeDocument/2006/relationships/hyperlink" Id="rId169" Target="https://doi.org/10.1016/j.patcog.2025.111601" TargetMode="External" /><Relationship Type="http://schemas.openxmlformats.org/officeDocument/2006/relationships/hyperlink" Id="rId70" Target="https://doi.org/10.1016/j.techfore.2015.12.019" TargetMode="External" /><Relationship Type="http://schemas.openxmlformats.org/officeDocument/2006/relationships/hyperlink" Id="rId153" Target="https://doi.org/10.1080/02683960110132070" TargetMode="External" /><Relationship Type="http://schemas.openxmlformats.org/officeDocument/2006/relationships/hyperlink" Id="rId151" Target="https://doi.org/10.1080/20479700.2018.1531606" TargetMode="External" /><Relationship Type="http://schemas.openxmlformats.org/officeDocument/2006/relationships/hyperlink" Id="rId201" Target="https://doi.org/10.1093/jamia/ocae209" TargetMode="External" /><Relationship Type="http://schemas.openxmlformats.org/officeDocument/2006/relationships/hyperlink" Id="rId173" Target="https://doi.org/10.1093/jamia/ocy178" TargetMode="External" /><Relationship Type="http://schemas.openxmlformats.org/officeDocument/2006/relationships/hyperlink" Id="rId66" Target="https://doi.org/10.1097/PHH.0000000000001234" TargetMode="External" /><Relationship Type="http://schemas.openxmlformats.org/officeDocument/2006/relationships/hyperlink" Id="rId88" Target="https://doi.org/10.1108/13673270610650067" TargetMode="External" /><Relationship Type="http://schemas.openxmlformats.org/officeDocument/2006/relationships/hyperlink" Id="rId100" Target="https://doi.org/10.1108/JKM-03-2024-0262" TargetMode="External" /><Relationship Type="http://schemas.openxmlformats.org/officeDocument/2006/relationships/hyperlink" Id="rId98" Target="https://doi.org/10.1108/JKM-08-2016-0338" TargetMode="External" /><Relationship Type="http://schemas.openxmlformats.org/officeDocument/2006/relationships/hyperlink" Id="rId193" Target="https://doi.org/10.1109/ICSE-SEIP62840.2025.00045" TargetMode="External" /><Relationship Type="http://schemas.openxmlformats.org/officeDocument/2006/relationships/hyperlink" Id="rId219" Target="https://doi.org/10.1109/MSPEC.2019.8678513" TargetMode="External" /><Relationship Type="http://schemas.openxmlformats.org/officeDocument/2006/relationships/hyperlink" Id="rId124" Target="https://doi.org/10.1109/TKDE.2018.2831214" TargetMode="External" /><Relationship Type="http://schemas.openxmlformats.org/officeDocument/2006/relationships/hyperlink" Id="rId135" Target="https://doi.org/10.1111/1475-6773.12002" TargetMode="External" /><Relationship Type="http://schemas.openxmlformats.org/officeDocument/2006/relationships/hyperlink" Id="rId102" Target="https://doi.org/10.1111/j.1540-5885.2010.00798.x" TargetMode="External" /><Relationship Type="http://schemas.openxmlformats.org/officeDocument/2006/relationships/hyperlink" Id="rId82" Target="https://doi.org/10.1145/1017114.1017118" TargetMode="External" /><Relationship Type="http://schemas.openxmlformats.org/officeDocument/2006/relationships/hyperlink" Id="rId179" Target="https://doi.org/10.1145/320251.320253" TargetMode="External" /><Relationship Type="http://schemas.openxmlformats.org/officeDocument/2006/relationships/hyperlink" Id="rId122" Target="https://doi.org/10.1145/3357223.3362726" TargetMode="External" /><Relationship Type="http://schemas.openxmlformats.org/officeDocument/2006/relationships/hyperlink" Id="rId72" Target="https://doi.org/10.1145/3366423.3380120" TargetMode="External" /><Relationship Type="http://schemas.openxmlformats.org/officeDocument/2006/relationships/hyperlink" Id="rId215" Target="https://doi.org/10.1145/3650114" TargetMode="External" /><Relationship Type="http://schemas.openxmlformats.org/officeDocument/2006/relationships/hyperlink" Id="rId96" Target="https://doi.org/10.1155/2024/5063998" TargetMode="External" /><Relationship Type="http://schemas.openxmlformats.org/officeDocument/2006/relationships/hyperlink" Id="rId106" Target="https://doi.org/10.1177/1350508407071859" TargetMode="External" /><Relationship Type="http://schemas.openxmlformats.org/officeDocument/2006/relationships/hyperlink" Id="rId78" Target="https://doi.org/10.1186/1478-4491-11-35" TargetMode="External" /><Relationship Type="http://schemas.openxmlformats.org/officeDocument/2006/relationships/hyperlink" Id="rId185" Target="https://doi.org/10.1186/s12913-023-09242-9" TargetMode="External" /><Relationship Type="http://schemas.openxmlformats.org/officeDocument/2006/relationships/hyperlink" Id="rId157" Target="https://doi.org/10.1186/s12913-025-12966-5" TargetMode="External" /><Relationship Type="http://schemas.openxmlformats.org/officeDocument/2006/relationships/hyperlink" Id="rId149" Target="https://doi.org/10.1186/s40537-019-0170-y" TargetMode="External" /><Relationship Type="http://schemas.openxmlformats.org/officeDocument/2006/relationships/hyperlink" Id="rId155" Target="https://doi.org/10.15446/innovar.v31n81.95582" TargetMode="External" /><Relationship Type="http://schemas.openxmlformats.org/officeDocument/2006/relationships/hyperlink" Id="rId141" Target="https://doi.org/10.2196/56316" TargetMode="External" /><Relationship Type="http://schemas.openxmlformats.org/officeDocument/2006/relationships/hyperlink" Id="rId137" Target="https://doi.org/10.2307/2393298" TargetMode="External" /><Relationship Type="http://schemas.openxmlformats.org/officeDocument/2006/relationships/hyperlink" Id="rId207" Target="https://doi.org/10.2308/isys-51386" TargetMode="External" /><Relationship Type="http://schemas.openxmlformats.org/officeDocument/2006/relationships/hyperlink" Id="rId163" Target="https://doi.org/10.24251/HICSS.2020.659" TargetMode="External" /><Relationship Type="http://schemas.openxmlformats.org/officeDocument/2006/relationships/hyperlink" Id="rId147" Target="https://doi.org/10.25163/business.1110345" TargetMode="External" /><Relationship Type="http://schemas.openxmlformats.org/officeDocument/2006/relationships/hyperlink" Id="rId167" Target="https://doi.org/10.3389/fdata.2024.1371680" TargetMode="External" /><Relationship Type="http://schemas.openxmlformats.org/officeDocument/2006/relationships/hyperlink" Id="rId84" Target="https://doi.org/10.3389/fpsyg.2019.02730" TargetMode="External" /><Relationship Type="http://schemas.openxmlformats.org/officeDocument/2006/relationships/hyperlink" Id="rId165" Target="https://doi.org/10.3390/bdcc9100256" TargetMode="External" /><Relationship Type="http://schemas.openxmlformats.org/officeDocument/2006/relationships/hyperlink" Id="rId80" Target="https://doi.org/10.3414/ME5119" TargetMode="External" /><Relationship Type="http://schemas.openxmlformats.org/officeDocument/2006/relationships/hyperlink" Id="rId120" Target="https://doi.org/10.63282/3050-9262.IJAIDSML-V6I4P130" TargetMode="External" /><Relationship Type="http://schemas.openxmlformats.org/officeDocument/2006/relationships/hyperlink" Id="rId145" Target="https://doi.org/10.69554/QHSO5671" TargetMode="External" /><Relationship Type="http://schemas.openxmlformats.org/officeDocument/2006/relationships/hyperlink" Id="rId211" Target="https://doi.org/10.7326/ANNALS-25-00739" TargetMode="External" /><Relationship Type="http://schemas.openxmlformats.org/officeDocument/2006/relationships/hyperlink" Id="rId86" Target="https://dspace.flinders.edu.au/jspui/bitstream/2328/3326/4/AACODS_Checklist.pdf" TargetMode="External" /><Relationship Type="http://schemas.openxmlformats.org/officeDocument/2006/relationships/hyperlink" Id="rId143" Target="https://jamanetwork.com/journals/jamanetworkopen/fullarticle/2777777" TargetMode="External" /><Relationship Type="http://schemas.openxmlformats.org/officeDocument/2006/relationships/hyperlink" Id="rId187" Target="https://journals.lww.com/jhmonline/fulltext/2025/05000/organizational_resilience_in_healthcare__a_scoping.4.aspx" TargetMode="External" /><Relationship Type="http://schemas.openxmlformats.org/officeDocument/2006/relationships/hyperlink" Id="rId112" Target="https://link.springer.com/content/pdf/10.1007/s10462-022-10246-w.pdf" TargetMode="External" /><Relationship Type="http://schemas.openxmlformats.org/officeDocument/2006/relationships/hyperlink" Id="rId217" Target="https://newsroom.ibm.com/2022-01-21-Francisco-Partners-to-Acquire-IBMs-Healthcare-Data-and-Analytics-Assets" TargetMode="External" /><Relationship Type="http://schemas.openxmlformats.org/officeDocument/2006/relationships/hyperlink" Id="rId74" Target="https://onlinelibrary.wiley.com/doi/abs/10.1057/palgrave.emr.1500057" TargetMode="External" /><Relationship Type="http://schemas.openxmlformats.org/officeDocument/2006/relationships/hyperlink" Id="rId225" Target="https://oulurepo.oulu.fi/bitstream/handle/10024/27921/nbnfi-fe2020050424858.pdf" TargetMode="External" /><Relationship Type="http://schemas.openxmlformats.org/officeDocument/2006/relationships/hyperlink" Id="rId197" Target="https://pages.himss.org/LP-HA-Case-Study-UC-Davis.html" TargetMode="External" /><Relationship Type="http://schemas.openxmlformats.org/officeDocument/2006/relationships/hyperlink" Id="rId183" Target="https://papers.ssrn.com/sol3/papers.cfm?abstract_id=5268176" TargetMode="External" /><Relationship Type="http://schemas.openxmlformats.org/officeDocument/2006/relationships/hyperlink" Id="rId171" Target="https://pmc.ncbi.nlm.nih.gov/articles/PMC10785918/" TargetMode="External" /><Relationship Type="http://schemas.openxmlformats.org/officeDocument/2006/relationships/hyperlink" Id="rId177" Target="https://resources.anthropic.com/code-modernization-playbook" TargetMode="External" /><Relationship Type="http://schemas.openxmlformats.org/officeDocument/2006/relationships/hyperlink" Id="rId159" Target="https://search.proquest.com/openview/9a3a9ef301c01ff0129d07f685b8643f/1" TargetMode="External" /><Relationship Type="http://schemas.openxmlformats.org/officeDocument/2006/relationships/hyperlink" Id="rId189" Target="https://search.proquest.com/openview/aa9acce88c488cbb8c6b3c8339062319/1" TargetMode="External" /><Relationship Type="http://schemas.openxmlformats.org/officeDocument/2006/relationships/hyperlink" Id="rId104" Target="https://wendyju.com/publications/18_ijee3593.pdf" TargetMode="External" /><Relationship Type="http://schemas.openxmlformats.org/officeDocument/2006/relationships/hyperlink" Id="rId116" Target="https://www.academia.edu/download/41283190/Design_and_evaluation_of_systems_to_supp20160117-25708-98zc50.pdf" TargetMode="External" /><Relationship Type="http://schemas.openxmlformats.org/officeDocument/2006/relationships/hyperlink" Id="rId68" Target="https://www.ahima.org/news-publications/press-room-press-releases/2023-press-releases/health-information-workforce-shortages-persist-as-ai-shows-promise-ahima-survey-reveals/" TargetMode="External" /><Relationship Type="http://schemas.openxmlformats.org/officeDocument/2006/relationships/hyperlink" Id="rId181" Target="https://www.allmultidisciplinaryjournal.com/uploads/archives/20250306182550_MGE-2025-2-018.1.pdf" TargetMode="External" /><Relationship Type="http://schemas.openxmlformats.org/officeDocument/2006/relationships/hyperlink" Id="rId221" Target="https://www.cnbc.com/2021/01/04/haven-the-amazon-berkshire-jpmorgan-venture-to-disrupt-healthcare-is-disbanding-after-3-years.html" TargetMode="External" /><Relationship Type="http://schemas.openxmlformats.org/officeDocument/2006/relationships/hyperlink" Id="rId92" Target="https://www.diva-portal.org/smash/record.jsf?pid=diva2:1684142" TargetMode="External" /><Relationship Type="http://schemas.openxmlformats.org/officeDocument/2006/relationships/hyperlink" Id="rId133" Target="https://www.healthcareitnews.com/news/asia/himss24-apac-adoption-model-analytics-maturity-gets-facelift" TargetMode="External" /><Relationship Type="http://schemas.openxmlformats.org/officeDocument/2006/relationships/hyperlink" Id="rId139" Target="https://www.healthcatalyst.com/learn/insights/healthcare-analytics-adoption-model-roadmap-analytic-maturity" TargetMode="External" /><Relationship Type="http://schemas.openxmlformats.org/officeDocument/2006/relationships/hyperlink" Id="rId55" Target="https://www.himss.org/maturity-models/amam/" TargetMode="External" /><Relationship Type="http://schemas.openxmlformats.org/officeDocument/2006/relationships/hyperlink" Id="rId64" Target="https://www.himss.org/resources/the-future-of-workforce/" TargetMode="External" /><Relationship Type="http://schemas.openxmlformats.org/officeDocument/2006/relationships/hyperlink" Id="rId191" Target="https://www.ijaidr.com/papers/2023/1/1299.pdf" TargetMode="External" /><Relationship Type="http://schemas.openxmlformats.org/officeDocument/2006/relationships/hyperlink" Id="rId175" Target="https://www.ijetcsit.org/index.php/ijetcsit/article/view/458" TargetMode="External" /><Relationship Type="http://schemas.openxmlformats.org/officeDocument/2006/relationships/hyperlink" Id="rId205" Target="https://www.ijetcsit.org/index.php/ijetcsit/article/view/522" TargetMode="External" /><Relationship Type="http://schemas.openxmlformats.org/officeDocument/2006/relationships/hyperlink" Id="rId90" Target="https://www.nsinursingsolutions.com/documents/library/nsi_national_health_care_retention_report.pdf" TargetMode="External" /><Relationship Type="http://schemas.openxmlformats.org/officeDocument/2006/relationships/hyperlink" Id="rId57" Target="https://www.nyulawreview.org/issues/volume-94-number-4/data-standardization/" TargetMode="External" /><Relationship Type="http://schemas.openxmlformats.org/officeDocument/2006/relationships/hyperlink" Id="rId118" Target="https://www.quantbeckman.com/api/v1/file/5b240742-bf0d-4f8c-a0f9-cb29fab42611.pdf" TargetMode="External" /><Relationship Type="http://schemas.openxmlformats.org/officeDocument/2006/relationships/hyperlink" Id="rId110"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60" Target="https://academic.oup.com/jpart/advance-article-abstract/doi/10.1093/jopart/muaf019/8162522" TargetMode="External" /><Relationship Type="http://schemas.openxmlformats.org/officeDocument/2006/relationships/hyperlink" Id="rId62" Target="https://api.wittkieffer.com/wp-content/uploads/2012/10/cio-insights-the-state-of-healthcare-it-leadership-wittkieffer-october-2024.pdf" TargetMode="External" /><Relationship Type="http://schemas.openxmlformats.org/officeDocument/2006/relationships/hyperlink" Id="rId108" Target="https://arxiv.org/abs/2301.07695" TargetMode="External" /><Relationship Type="http://schemas.openxmlformats.org/officeDocument/2006/relationships/hyperlink" Id="rId126" Target="https://arxiv.org/abs/2403.09226" TargetMode="External" /><Relationship Type="http://schemas.openxmlformats.org/officeDocument/2006/relationships/hyperlink" Id="rId209" Target="https://arxiv.org/abs/2511.14718" TargetMode="External" /><Relationship Type="http://schemas.openxmlformats.org/officeDocument/2006/relationships/hyperlink" Id="rId195" Target="https://books.google.com/books?id=9uqiEAAAQBAJ" TargetMode="External" /><Relationship Type="http://schemas.openxmlformats.org/officeDocument/2006/relationships/hyperlink" Id="rId203" Target="https://books.google.com/books?id=dJtmVz3nrOUC" TargetMode="External" /><Relationship Type="http://schemas.openxmlformats.org/officeDocument/2006/relationships/hyperlink" Id="rId94" Target="https://doi.org/10.1002/nop2.2097" TargetMode="External" /><Relationship Type="http://schemas.openxmlformats.org/officeDocument/2006/relationships/hyperlink" Id="rId213" Target="https://doi.org/10.1007/978-3-032-16638-8_11" TargetMode="External" /><Relationship Type="http://schemas.openxmlformats.org/officeDocument/2006/relationships/hyperlink" Id="rId199" Target="https://doi.org/10.1007/s10728-025-00537-y" TargetMode="External" /><Relationship Type="http://schemas.openxmlformats.org/officeDocument/2006/relationships/hyperlink" Id="rId161" Target="https://doi.org/10.1007/s12599-016-0424-6" TargetMode="External" /><Relationship Type="http://schemas.openxmlformats.org/officeDocument/2006/relationships/hyperlink" Id="rId131" Target="https://doi.org/10.1007/s41471-024-00205-2" TargetMode="External" /><Relationship Type="http://schemas.openxmlformats.org/officeDocument/2006/relationships/hyperlink" Id="rId223" Target="https://doi.org/10.1016/j.acra.2021.03.023" TargetMode="External" /><Relationship Type="http://schemas.openxmlformats.org/officeDocument/2006/relationships/hyperlink" Id="rId114" Target="https://doi.org/10.1016/j.ijinfomgt.2003.12.012" TargetMode="External" /><Relationship Type="http://schemas.openxmlformats.org/officeDocument/2006/relationships/hyperlink" Id="rId129" Target="https://doi.org/10.1016/j.ijinfomgt.2017.08.005" TargetMode="External" /><Relationship Type="http://schemas.openxmlformats.org/officeDocument/2006/relationships/hyperlink" Id="rId76" Target="https://doi.org/10.1016/j.ijrobp.2016.03.003" TargetMode="External" /><Relationship Type="http://schemas.openxmlformats.org/officeDocument/2006/relationships/hyperlink" Id="rId169" Target="https://doi.org/10.1016/j.patcog.2025.111601" TargetMode="External" /><Relationship Type="http://schemas.openxmlformats.org/officeDocument/2006/relationships/hyperlink" Id="rId70" Target="https://doi.org/10.1016/j.techfore.2015.12.019" TargetMode="External" /><Relationship Type="http://schemas.openxmlformats.org/officeDocument/2006/relationships/hyperlink" Id="rId153" Target="https://doi.org/10.1080/02683960110132070" TargetMode="External" /><Relationship Type="http://schemas.openxmlformats.org/officeDocument/2006/relationships/hyperlink" Id="rId151" Target="https://doi.org/10.1080/20479700.2018.1531606" TargetMode="External" /><Relationship Type="http://schemas.openxmlformats.org/officeDocument/2006/relationships/hyperlink" Id="rId201" Target="https://doi.org/10.1093/jamia/ocae209" TargetMode="External" /><Relationship Type="http://schemas.openxmlformats.org/officeDocument/2006/relationships/hyperlink" Id="rId173" Target="https://doi.org/10.1093/jamia/ocy178" TargetMode="External" /><Relationship Type="http://schemas.openxmlformats.org/officeDocument/2006/relationships/hyperlink" Id="rId66" Target="https://doi.org/10.1097/PHH.0000000000001234" TargetMode="External" /><Relationship Type="http://schemas.openxmlformats.org/officeDocument/2006/relationships/hyperlink" Id="rId88" Target="https://doi.org/10.1108/13673270610650067" TargetMode="External" /><Relationship Type="http://schemas.openxmlformats.org/officeDocument/2006/relationships/hyperlink" Id="rId100" Target="https://doi.org/10.1108/JKM-03-2024-0262" TargetMode="External" /><Relationship Type="http://schemas.openxmlformats.org/officeDocument/2006/relationships/hyperlink" Id="rId98" Target="https://doi.org/10.1108/JKM-08-2016-0338" TargetMode="External" /><Relationship Type="http://schemas.openxmlformats.org/officeDocument/2006/relationships/hyperlink" Id="rId193" Target="https://doi.org/10.1109/ICSE-SEIP62840.2025.00045" TargetMode="External" /><Relationship Type="http://schemas.openxmlformats.org/officeDocument/2006/relationships/hyperlink" Id="rId219" Target="https://doi.org/10.1109/MSPEC.2019.8678513" TargetMode="External" /><Relationship Type="http://schemas.openxmlformats.org/officeDocument/2006/relationships/hyperlink" Id="rId124" Target="https://doi.org/10.1109/TKDE.2018.2831214" TargetMode="External" /><Relationship Type="http://schemas.openxmlformats.org/officeDocument/2006/relationships/hyperlink" Id="rId135" Target="https://doi.org/10.1111/1475-6773.12002" TargetMode="External" /><Relationship Type="http://schemas.openxmlformats.org/officeDocument/2006/relationships/hyperlink" Id="rId102" Target="https://doi.org/10.1111/j.1540-5885.2010.00798.x" TargetMode="External" /><Relationship Type="http://schemas.openxmlformats.org/officeDocument/2006/relationships/hyperlink" Id="rId82" Target="https://doi.org/10.1145/1017114.1017118" TargetMode="External" /><Relationship Type="http://schemas.openxmlformats.org/officeDocument/2006/relationships/hyperlink" Id="rId179" Target="https://doi.org/10.1145/320251.320253" TargetMode="External" /><Relationship Type="http://schemas.openxmlformats.org/officeDocument/2006/relationships/hyperlink" Id="rId122" Target="https://doi.org/10.1145/3357223.3362726" TargetMode="External" /><Relationship Type="http://schemas.openxmlformats.org/officeDocument/2006/relationships/hyperlink" Id="rId72" Target="https://doi.org/10.1145/3366423.3380120" TargetMode="External" /><Relationship Type="http://schemas.openxmlformats.org/officeDocument/2006/relationships/hyperlink" Id="rId215" Target="https://doi.org/10.1145/3650114" TargetMode="External" /><Relationship Type="http://schemas.openxmlformats.org/officeDocument/2006/relationships/hyperlink" Id="rId96" Target="https://doi.org/10.1155/2024/5063998" TargetMode="External" /><Relationship Type="http://schemas.openxmlformats.org/officeDocument/2006/relationships/hyperlink" Id="rId106" Target="https://doi.org/10.1177/1350508407071859" TargetMode="External" /><Relationship Type="http://schemas.openxmlformats.org/officeDocument/2006/relationships/hyperlink" Id="rId78" Target="https://doi.org/10.1186/1478-4491-11-35" TargetMode="External" /><Relationship Type="http://schemas.openxmlformats.org/officeDocument/2006/relationships/hyperlink" Id="rId185" Target="https://doi.org/10.1186/s12913-023-09242-9" TargetMode="External" /><Relationship Type="http://schemas.openxmlformats.org/officeDocument/2006/relationships/hyperlink" Id="rId157" Target="https://doi.org/10.1186/s12913-025-12966-5" TargetMode="External" /><Relationship Type="http://schemas.openxmlformats.org/officeDocument/2006/relationships/hyperlink" Id="rId149" Target="https://doi.org/10.1186/s40537-019-0170-y" TargetMode="External" /><Relationship Type="http://schemas.openxmlformats.org/officeDocument/2006/relationships/hyperlink" Id="rId155" Target="https://doi.org/10.15446/innovar.v31n81.95582" TargetMode="External" /><Relationship Type="http://schemas.openxmlformats.org/officeDocument/2006/relationships/hyperlink" Id="rId141" Target="https://doi.org/10.2196/56316" TargetMode="External" /><Relationship Type="http://schemas.openxmlformats.org/officeDocument/2006/relationships/hyperlink" Id="rId137" Target="https://doi.org/10.2307/2393298" TargetMode="External" /><Relationship Type="http://schemas.openxmlformats.org/officeDocument/2006/relationships/hyperlink" Id="rId207" Target="https://doi.org/10.2308/isys-51386" TargetMode="External" /><Relationship Type="http://schemas.openxmlformats.org/officeDocument/2006/relationships/hyperlink" Id="rId163" Target="https://doi.org/10.24251/HICSS.2020.659" TargetMode="External" /><Relationship Type="http://schemas.openxmlformats.org/officeDocument/2006/relationships/hyperlink" Id="rId147" Target="https://doi.org/10.25163/business.1110345" TargetMode="External" /><Relationship Type="http://schemas.openxmlformats.org/officeDocument/2006/relationships/hyperlink" Id="rId167" Target="https://doi.org/10.3389/fdata.2024.1371680" TargetMode="External" /><Relationship Type="http://schemas.openxmlformats.org/officeDocument/2006/relationships/hyperlink" Id="rId84" Target="https://doi.org/10.3389/fpsyg.2019.02730" TargetMode="External" /><Relationship Type="http://schemas.openxmlformats.org/officeDocument/2006/relationships/hyperlink" Id="rId165" Target="https://doi.org/10.3390/bdcc9100256" TargetMode="External" /><Relationship Type="http://schemas.openxmlformats.org/officeDocument/2006/relationships/hyperlink" Id="rId80" Target="https://doi.org/10.3414/ME5119" TargetMode="External" /><Relationship Type="http://schemas.openxmlformats.org/officeDocument/2006/relationships/hyperlink" Id="rId120" Target="https://doi.org/10.63282/3050-9262.IJAIDSML-V6I4P130" TargetMode="External" /><Relationship Type="http://schemas.openxmlformats.org/officeDocument/2006/relationships/hyperlink" Id="rId145" Target="https://doi.org/10.69554/QHSO5671" TargetMode="External" /><Relationship Type="http://schemas.openxmlformats.org/officeDocument/2006/relationships/hyperlink" Id="rId211" Target="https://doi.org/10.7326/ANNALS-25-00739" TargetMode="External" /><Relationship Type="http://schemas.openxmlformats.org/officeDocument/2006/relationships/hyperlink" Id="rId86" Target="https://dspace.flinders.edu.au/jspui/bitstream/2328/3326/4/AACODS_Checklist.pdf" TargetMode="External" /><Relationship Type="http://schemas.openxmlformats.org/officeDocument/2006/relationships/hyperlink" Id="rId143" Target="https://jamanetwork.com/journals/jamanetworkopen/fullarticle/2777777" TargetMode="External" /><Relationship Type="http://schemas.openxmlformats.org/officeDocument/2006/relationships/hyperlink" Id="rId187" Target="https://journals.lww.com/jhmonline/fulltext/2025/05000/organizational_resilience_in_healthcare__a_scoping.4.aspx" TargetMode="External" /><Relationship Type="http://schemas.openxmlformats.org/officeDocument/2006/relationships/hyperlink" Id="rId112" Target="https://link.springer.com/content/pdf/10.1007/s10462-022-10246-w.pdf" TargetMode="External" /><Relationship Type="http://schemas.openxmlformats.org/officeDocument/2006/relationships/hyperlink" Id="rId217" Target="https://newsroom.ibm.com/2022-01-21-Francisco-Partners-to-Acquire-IBMs-Healthcare-Data-and-Analytics-Assets" TargetMode="External" /><Relationship Type="http://schemas.openxmlformats.org/officeDocument/2006/relationships/hyperlink" Id="rId74" Target="https://onlinelibrary.wiley.com/doi/abs/10.1057/palgrave.emr.1500057" TargetMode="External" /><Relationship Type="http://schemas.openxmlformats.org/officeDocument/2006/relationships/hyperlink" Id="rId225" Target="https://oulurepo.oulu.fi/bitstream/handle/10024/27921/nbnfi-fe2020050424858.pdf" TargetMode="External" /><Relationship Type="http://schemas.openxmlformats.org/officeDocument/2006/relationships/hyperlink" Id="rId197" Target="https://pages.himss.org/LP-HA-Case-Study-UC-Davis.html" TargetMode="External" /><Relationship Type="http://schemas.openxmlformats.org/officeDocument/2006/relationships/hyperlink" Id="rId183" Target="https://papers.ssrn.com/sol3/papers.cfm?abstract_id=5268176" TargetMode="External" /><Relationship Type="http://schemas.openxmlformats.org/officeDocument/2006/relationships/hyperlink" Id="rId171" Target="https://pmc.ncbi.nlm.nih.gov/articles/PMC10785918/" TargetMode="External" /><Relationship Type="http://schemas.openxmlformats.org/officeDocument/2006/relationships/hyperlink" Id="rId177" Target="https://resources.anthropic.com/code-modernization-playbook" TargetMode="External" /><Relationship Type="http://schemas.openxmlformats.org/officeDocument/2006/relationships/hyperlink" Id="rId159" Target="https://search.proquest.com/openview/9a3a9ef301c01ff0129d07f685b8643f/1" TargetMode="External" /><Relationship Type="http://schemas.openxmlformats.org/officeDocument/2006/relationships/hyperlink" Id="rId189" Target="https://search.proquest.com/openview/aa9acce88c488cbb8c6b3c8339062319/1" TargetMode="External" /><Relationship Type="http://schemas.openxmlformats.org/officeDocument/2006/relationships/hyperlink" Id="rId104" Target="https://wendyju.com/publications/18_ijee3593.pdf" TargetMode="External" /><Relationship Type="http://schemas.openxmlformats.org/officeDocument/2006/relationships/hyperlink" Id="rId116" Target="https://www.academia.edu/download/41283190/Design_and_evaluation_of_systems_to_supp20160117-25708-98zc50.pdf" TargetMode="External" /><Relationship Type="http://schemas.openxmlformats.org/officeDocument/2006/relationships/hyperlink" Id="rId68" Target="https://www.ahima.org/news-publications/press-room-press-releases/2023-press-releases/health-information-workforce-shortages-persist-as-ai-shows-promise-ahima-survey-reveals/" TargetMode="External" /><Relationship Type="http://schemas.openxmlformats.org/officeDocument/2006/relationships/hyperlink" Id="rId181" Target="https://www.allmultidisciplinaryjournal.com/uploads/archives/20250306182550_MGE-2025-2-018.1.pdf" TargetMode="External" /><Relationship Type="http://schemas.openxmlformats.org/officeDocument/2006/relationships/hyperlink" Id="rId221" Target="https://www.cnbc.com/2021/01/04/haven-the-amazon-berkshire-jpmorgan-venture-to-disrupt-healthcare-is-disbanding-after-3-years.html" TargetMode="External" /><Relationship Type="http://schemas.openxmlformats.org/officeDocument/2006/relationships/hyperlink" Id="rId92" Target="https://www.diva-portal.org/smash/record.jsf?pid=diva2:1684142" TargetMode="External" /><Relationship Type="http://schemas.openxmlformats.org/officeDocument/2006/relationships/hyperlink" Id="rId133" Target="https://www.healthcareitnews.com/news/asia/himss24-apac-adoption-model-analytics-maturity-gets-facelift" TargetMode="External" /><Relationship Type="http://schemas.openxmlformats.org/officeDocument/2006/relationships/hyperlink" Id="rId139" Target="https://www.healthcatalyst.com/learn/insights/healthcare-analytics-adoption-model-roadmap-analytic-maturity" TargetMode="External" /><Relationship Type="http://schemas.openxmlformats.org/officeDocument/2006/relationships/hyperlink" Id="rId55" Target="https://www.himss.org/maturity-models/amam/" TargetMode="External" /><Relationship Type="http://schemas.openxmlformats.org/officeDocument/2006/relationships/hyperlink" Id="rId64" Target="https://www.himss.org/resources/the-future-of-workforce/" TargetMode="External" /><Relationship Type="http://schemas.openxmlformats.org/officeDocument/2006/relationships/hyperlink" Id="rId191" Target="https://www.ijaidr.com/papers/2023/1/1299.pdf" TargetMode="External" /><Relationship Type="http://schemas.openxmlformats.org/officeDocument/2006/relationships/hyperlink" Id="rId175" Target="https://www.ijetcsit.org/index.php/ijetcsit/article/view/458" TargetMode="External" /><Relationship Type="http://schemas.openxmlformats.org/officeDocument/2006/relationships/hyperlink" Id="rId205" Target="https://www.ijetcsit.org/index.php/ijetcsit/article/view/522" TargetMode="External" /><Relationship Type="http://schemas.openxmlformats.org/officeDocument/2006/relationships/hyperlink" Id="rId90" Target="https://www.nsinursingsolutions.com/documents/library/nsi_national_health_care_retention_report.pdf" TargetMode="External" /><Relationship Type="http://schemas.openxmlformats.org/officeDocument/2006/relationships/hyperlink" Id="rId57" Target="https://www.nyulawreview.org/issues/volume-94-number-4/data-standardization/" TargetMode="External" /><Relationship Type="http://schemas.openxmlformats.org/officeDocument/2006/relationships/hyperlink" Id="rId118" Target="https://www.quantbeckman.com/api/v1/file/5b240742-bf0d-4f8c-a0f9-cb29fab42611.pdf" TargetMode="External" /><Relationship Type="http://schemas.openxmlformats.org/officeDocument/2006/relationships/hyperlink" Id="rId110"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2026-06-07T14:32:18Z</dcterms:created>
  <dcterms:modified xsi:type="dcterms:W3CDTF">2026-06-07T14:32:18Z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capture.Viewed through Nonaka’s SECI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enablement.A critical objection, the “Validator Paradox” (who validates the AI when experts leave?), is resolved by reframing validation through Lean “Standard Work”: each validated query establishes the current known standard rather than eternal truth, functioning as a “knowledge ratchet” 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/app/citation-style-ama.csl</vt:lpwstr>
  </property>
  <property fmtid="{D5CDD505-2E9C-101B-9397-08002B2CF9AE}" pid="11" name="date">
    <vt:lpwstr>March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March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True</vt:lpwstr>
  </property>
  <property fmtid="{D5CDD505-2E9C-101B-9397-08002B2CF9AE}" pid="39" name="toc-depth">
    <vt:lpwstr>3</vt:lpwstr>
  </property>
  <property fmtid="{D5CDD505-2E9C-101B-9397-08002B2CF9AE}" pid="40" name="urlcolor">
    <vt:lpwstr>blue</vt:lpwstr>
  </property>
</Properties>
</file>