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w:t>
      </w:r>
      <w:r>
        <w:t xml:space="preserve"> </w:t>
      </w:r>
      <w:r>
        <w:t xml:space="preserve">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w:t>
      </w:r>
      <w:r>
        <w:t xml:space="preserve"> </w:t>
      </w:r>
      <w:r>
        <w:t xml:space="preserv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technical</w:t>
      </w:r>
      <w:r>
        <w:t xml:space="preserve"> </w:t>
      </w:r>
      <w:r>
        <w:t xml:space="preserve">barriers)</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 Foundational research on natural language interfaces to databases established that modular architecture principles enable effective bridging of legacy data access challenges [A46], with modern implementations demonstrating that the same large language models underlying code modernization can serve as natural language interfaces to legacy systems [A47], [A48].</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 [A62]. When analytics barriers are addressed, outcomes improve substantially: one Medicare ACO reduced readmission rates from 24% to 17.8% and achieved $1.6 million in cost savings by implementing data analytics to overcome EHR fragmentation [A64]. Technical barriers remain pervasive, with 68% of healthcare organizations citing data interoperability as the leading obstacle to analytics adoption, followed by privacy concerns (64%) and insufficient staff training (59%) [A65]. Physician technology adoption faces empirically validated barriers including perceived threat and inequity from workflow changes, directly impacting behavioral intentions toward analytics tools [A63].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29"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 which are systems that provide mechanisms for knowledge acquisition, storage, sharing, and utilization. This framing addresses the institutional memory crisis in healthcare by embedding organizational expertise within AI systems rather than relying on individual staff retention. Figure 1 illustrates this architecture, showing how clinical users interact with a conversational AI interface that draws on organizational knowledge infrastructure to generate contextual insights.</w:t>
      </w:r>
    </w:p>
    <w:p>
      <w:pPr>
        <w:pStyle w:val="Compact"/>
        <w:numPr>
          <w:ilvl w:val="0"/>
          <w:numId w:val="1004"/>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29"/>
    <w:bookmarkStart w:id="30"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2 illustrates the literature selection process, showing progression from initial database search through screening and quality assessment to the final corpus of 92 sources.</w:t>
      </w:r>
    </w:p>
    <w:bookmarkEnd w:id="33"/>
    <w:bookmarkStart w:id="34"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4"/>
    <w:bookmarkStart w:id="35"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5"/>
    <w:bookmarkStart w:id="36"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 [A30],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annually) derives from Ang and Slaughter’s 2004 study [A10]. While recent surveys confirm workforce challenges persist [I11] and contemporary evidence suggests the situation may have worsened (55% intent to leave among public health informatics specialists [A66]),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8"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Section 2 (Methodology), we synthesize findings across three domains: natural language to SQL generation, healthcare analytics maturity, and workforce dynamics.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4.1</w:t>
      </w:r>
      <w:r>
        <w:tab/>
      </w:r>
      <w:r>
        <w:t xml:space="preserve">Current State of Natural Language to SQL Generation</w:t>
      </w:r>
    </w:p>
    <w:bookmarkStart w:id="43"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 [A69], [A71], though human oversight remains recommended for clinical safety. Their work on the MIMIC-3 dataset shows that integrating medical coding steps into the text-to-SQL process improves performance over simple prompting approaches.</w:t>
      </w:r>
    </w:p>
    <w:p>
      <w:pPr>
        <w:pStyle w:val="BodyText"/>
      </w:pPr>
      <w:r>
        <w:t xml:space="preserve">Benchmarking studies from 2024 [A8], [A9] examining LLM-based systems for healthcare identify unique challenges: medical terminology, characterized by abbreviations, synonyms, and context-dependent meanings, remains a barrier to accurate query generation. Evaluations of GPT-4 and Claude 3.5 showed 69-73% accuracy on clinical tasks; however, late-2025 models demonstrate substantial improvements. GPT-5 achieves over 80% accuracy on neurosurgical board examinations and surpasses physician performance on multimodal medical reasoning benchmarks by 15-29% [A69]. On healthcare-specific NL2SQL tasks, GPT-5 achieves 64.6% execution accuracy on the MIMICSQL dataset [A70], while the HealthBench benchmark (developed with 262 physicians across 26 specialties) shows GPT-5 hallucination rates of 0.7-1.0%, representing a 4-6x improvement over previous models [A71].</w:t>
      </w:r>
    </w:p>
    <w:bookmarkEnd w:id="43"/>
    <w:bookmarkStart w:id="44"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4"/>
    <w:bookmarkStart w:id="45"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Multi-modal benchmarks such as SM3-Text-to-Query [A77] 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 [A8], [A9]; subsequent 2025 benchmarks show GPT-5 significantly exceeding these results, with the SCARE benchmark [A72] 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 [A75],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5"/>
    <w:bookmarkStart w:id="46"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 [A36]. Business analysts using these interfaces spend 42% more time on analysis rather than query construction [A36].</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 [A35]. The system has evolved through three generations: the original rule-based approach [A35], a human-machine collaboration version, and Criteria2Query 3.0, which leverages GPT-4 to generate sharable cohort identification queries against OMOP-CDM formatted databases [A76]. User studies show NL2SQL systems reduce query completion times by 10-30% compared to traditional SQL platforms while improving accuracy from 50% to 75%, with users recovering from errors 30-40 seconds faster [A38].</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 [A37].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 [A43]. NLP-driven data entry systems have achieved 33% time reduction with 15% accuracy improvement in clinical research settings [A44]. Healthcare-specific NL2SQL models such as MedT5SQL achieve 80.63% exact match accuracy on the MIMICSQL benchmark, demonstrating that domain-adapted language models can effectively translate natural language to SQL for clinical databases [A45].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 [A46] established that modular, decoupled architecture enables effective NL access to legacy systems, a design principle applied across subsequent research (e.g., [A73]). Modern implementations demonstrate that retrieval-augmented generation (RAG) approaches reduce specialized training requirements by 87.4% compared to traditional querying methods while achieving 92.3% accuracy in interpreting business-specific terminology from legacy mainframe records [A49]. This convergence of code modernization and natural language interface technologies arises because both rely on the same underlying large language models [A47], [A48], suggesting that organizations investing in either capability simultaneously advance both.</w:t>
      </w:r>
    </w:p>
    <w:bookmarkEnd w:id="46"/>
    <w:bookmarkEnd w:id="47"/>
    <w:bookmarkStart w:id="51" w:name="state-of-healthcare-analytics-maturity"/>
    <w:p>
      <w:pPr>
        <w:pStyle w:val="Heading2"/>
      </w:pPr>
      <w:r>
        <w:rPr>
          <w:rStyle w:val="SectionNumber"/>
        </w:rPr>
        <w:t xml:space="preserve">4.2</w:t>
      </w:r>
      <w:r>
        <w:tab/>
      </w:r>
      <w:r>
        <w:t xml:space="preserve">State of Healthcare Analytics Maturity</w:t>
      </w:r>
    </w:p>
    <w:bookmarkStart w:id="48"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[A14], [A74].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 [A54]. Similarly, high-maturity hospitals have 1.8 to 2.24 times higher odds of achieving higher patient experience ratings [A55]. Second, analytics capabilities build on this digital foundation: big data analytics capabilities, combined with complementary organizational resources and analytical personnel skills, improve readmission rates and patient satisfaction [A56], while poor-quality data results in diagnostic errors, ineffective treatments, and compromised patient care [A57]. Note that EMRAM measures EMR adoption stages rather than analytics maturity directly; robust digital infrastructure is a prerequisite for analytics, but the AMAM model addresses the analytics-specific capability gap.</w:t>
      </w:r>
    </w:p>
    <w:bookmarkEnd w:id="48"/>
    <w:bookmarkStart w:id="49"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49"/>
    <w:bookmarkStart w:id="50"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and time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4.3</w:t>
      </w:r>
      <w:r>
        <w:tab/>
      </w:r>
      <w:r>
        <w:t xml:space="preserve">Healthcare Workforce Turnover and Knowledge Loss</w:t>
      </w:r>
    </w:p>
    <w:bookmarkStart w:id="52"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 [A78]; replacing a primary care clinician costs healthcare organizations over $500,000 due to lost revenue and recruiting expenses [A67]; while physician replacement can reach up to $1 million per departure, with national annual costs estimated at $4.6 billion [A68].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 [A66].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For IT developers and specialists, research suggests up to 3 years are required to become fully fluent in complex healthcare IT projects [A79]. Combined with the 2.9-year average tenure, healthcare IT professionals may operate at full productivity for only approximately two years before departing,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 [A58]. Empirical studies demonstrate that nursing unit turnover reduces workgroup learning and is associated with increased patient falls, medication errors, and reduced patient satisfaction [A59]. International evidence links high workforce turnover to poorer continuity of care, particularly in remote health services, with measurable outcomes including increased hospitalizations and years of life lost [A60].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 [A61].</w:t>
      </w:r>
    </w:p>
    <w:bookmarkEnd w:id="52"/>
    <w:bookmarkStart w:id="53"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 [A50], and conventional mechanisms such as documents, blueprints, and procedures fail because tacit knowledge is not easily codified [A51]. Research across multiple industries consistently shows that written reports and databases fail to convey key learning from expert teams [A52], while experts often lack the skills, motivation, or time to document their expertise, and even when documentation is attempted, essential aspects are lost due to lack of shared experience between experts and novices [A53].</w:t>
      </w:r>
    </w:p>
    <w:bookmarkEnd w:id="53"/>
    <w:bookmarkStart w:id="54"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 [A17, A18]:</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 [A18]</w:t>
      </w:r>
    </w:p>
    <w:p>
      <w:pPr>
        <w:pStyle w:val="Compact"/>
        <w:numPr>
          <w:ilvl w:val="0"/>
          <w:numId w:val="1016"/>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4.4</w:t>
      </w:r>
      <w:r>
        <w:tab/>
      </w:r>
      <w:r>
        <w:t xml:space="preserve">Integration of Evidence: The Case for Conversational AI</w:t>
      </w:r>
    </w:p>
    <w:bookmarkStart w:id="56"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6"/>
    <w:bookmarkStart w:id="57"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 [A39] 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 [A41]. Real-world validation at scale comes from a study of conversational AI across nine NHS mental health services involving 64,862 patients, demonstrating reduced clinician assessment time, shorter patient wait times, and lower dropout rates [A42]. On the clinical AI side,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 [A31]. Controlled experiments quantify these benefits: a comparative study of traditional versus low-code development for a healthcare cognitive rehabilitation system found low-code required 47.5 hours versus 888 hours for traditional development, representing a 94.63% reduction in effort [A40]. Industry-sponsored research from Forrester [I5] projects 206% three-year ROI from low-code implementations; peer-reviewed studies report similar findings, with healthcare institutions achieving 177% ROI over 36 months while reducing development time by 67% and technical resource requirements by 58% [A33], and small healthcare clinics achieving 250% cumulative ROI over three years [A34].</w:t>
      </w:r>
    </w:p>
    <w:p>
      <w:pPr>
        <w:pStyle w:val="BodyText"/>
      </w:pPr>
      <w:r>
        <w:t xml:space="preserve">Healthcare-specific studies show concrete benefits across both approaches: Pennington [A22] found AI in revenue cycle management accelerated payment cycles from 90 days to 40 days, while Atobatele et al. [A23] documented how low-code platforms enable non-technical staff to build applications, leading to efficiency gains. Rapid application development using low-code characteristics enabled an mHealth app for COVID-19 remote care that saved 2,822 hospital bed-days for 400 enrolled patients [A32]. These findings collectively demonstrate that technologies enabling non-technical users to interact with complex systems, whether through visual interfaces or natural language, produce measurable organizational benefits.</w:t>
      </w:r>
    </w:p>
    <w:bookmarkEnd w:id="58"/>
    <w:bookmarkEnd w:id="59"/>
    <w:bookmarkStart w:id="63" w:name="Xe532debb859e62ad2038db373f15ff8608a8c3a"/>
    <w:p>
      <w:pPr>
        <w:pStyle w:val="Heading2"/>
      </w:pPr>
      <w:r>
        <w:rPr>
          <w:rStyle w:val="SectionNumber"/>
        </w:rPr>
        <w:t xml:space="preserve">4.5</w:t>
      </w:r>
      <w:r>
        <w:tab/>
      </w:r>
      <w:r>
        <w:t xml:space="preserve">Implications for Healthcare Organizations</w:t>
      </w:r>
    </w:p>
    <w:bookmarkStart w:id="60"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and Sezgin et al. [A19] proposed chatbot implementations that reduce clinic overhead.</w:t>
      </w:r>
    </w:p>
    <w:p>
      <w:pPr>
        <w:pStyle w:val="BodyText"/>
      </w:pPr>
      <w:r>
        <w:t xml:space="preserve">Low-code platform ROI provides analogous evidence for the value of technical barrier reduction. Industry-sponsored research from Forrester [I5] projects 206% three-year ROI from Power Platform implementations. Peer-reviewed studies corroborate these findings: a systematic review identified cost and time reduction as the most frequently discussed benefits across 17 studies [A31], healthcare institutions report 177% ROI over 36 months with 67% faster development [A33], and small healthcare clinics document 250% cumulative three-year ROI [A34].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 [I7] projects the healthcare analytics market to grow from $64.49 billion in 2025 to $369.66 billion by 2034 (21.41% CAGR).</w:t>
      </w:r>
    </w:p>
    <w:bookmarkEnd w:id="61"/>
    <w:bookmarkStart w:id="62"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Nonaka’s SECI model (Socialization, Externalization, Combination, Internalization), which describes organizational knowledge creation as a continuous dialogue between tacit and explicit knowledge [A80]. Recent research demonstrates that AI tools can enhance all four SECI stages, particularly facilitating the externalization process where tacit analytical knowledge becomes explicit, queryable forms [A81]. This theoretical foundation supports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 [A35], [A36], [A37], [A38]), longitudinal studies tracking sustained productivity improvements over multiple years remain limited</w:t>
      </w:r>
    </w:p>
    <w:bookmarkEnd w:id="64"/>
    <w:bookmarkStart w:id="6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 (backed by Amazon, Berkshire Hathaway, and JPMorgan Chase) 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90" w:name="discussion"/>
    <w:p>
      <w:pPr>
        <w:pStyle w:val="Heading1"/>
      </w:pPr>
      <w:r>
        <w:rPr>
          <w:rStyle w:val="SectionNumber"/>
        </w:rPr>
        <w:t xml:space="preserve">5</w:t>
      </w:r>
      <w:r>
        <w:tab/>
      </w:r>
      <w:r>
        <w:t xml:space="preserve">Discussion</w:t>
      </w:r>
    </w:p>
    <w:bookmarkStart w:id="74"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2"/>
    <w:bookmarkStart w:id="8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3"/>
    <w:bookmarkStart w:id="8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4"/>
    <w:bookmarkEnd w:id="85"/>
    <w:bookmarkStart w:id="89" w:name="X655f7faf8ada965dcdcaa0e7f463cb4a3ee5bd1"/>
    <w:p>
      <w:pPr>
        <w:pStyle w:val="Heading2"/>
      </w:pPr>
      <w:r>
        <w:rPr>
          <w:rStyle w:val="SectionNumber"/>
        </w:rPr>
        <w:t xml:space="preserve">5.4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5.4.1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three-pillar-assessment-rubric"/>
    <w:p>
      <w:pPr>
        <w:pStyle w:val="Heading3"/>
      </w:pPr>
      <w:r>
        <w:rPr>
          <w:rStyle w:val="SectionNumber"/>
        </w:rPr>
        <w:t xml:space="preserve">5.4.2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Convergence Assessment and NL2SQL Indication:</w:t>
      </w:r>
    </w:p>
    <w:tbl>
      <w:tblPr>
        <w:tblStyle w:val="Table"/>
        <w:tblW w:type="pct" w:w="5000"/>
        <w:jc w:val="left"/>
        <w:tblLayout w:type="fixed"/>
        <w:tblLook w:firstRow="1" w:lastRow="0" w:firstColumn="0" w:lastColumn="0" w:noHBand="0" w:noVBand="0" w:val="0020"/>
      </w:tblPr>
      <w:tblGrid>
        <w:gridCol w:w="2603"/>
        <w:gridCol w:w="1301"/>
        <w:gridCol w:w="4014"/>
      </w:tblGrid>
      <w:tr>
        <w:trPr>
          <w:tblHeader w:val="on"/>
        </w:trPr>
        <w:tc>
          <w:tcPr/>
          <w:p>
            <w:pPr>
              <w:pStyle w:val="Compact"/>
              <w:jc w:val="left"/>
            </w:pPr>
            <w:r>
              <w:t xml:space="preserve">Organizational Profile</w:t>
            </w:r>
          </w:p>
        </w:tc>
        <w:tc>
          <w:tcPr/>
          <w:p>
            <w:pPr>
              <w:pStyle w:val="Compact"/>
              <w:jc w:val="left"/>
            </w:pPr>
            <w:r>
              <w:t xml:space="preserve">Assessment</w:t>
            </w:r>
          </w:p>
        </w:tc>
        <w:tc>
          <w:tcPr/>
          <w:p>
            <w:pPr>
              <w:pStyle w:val="Compact"/>
              <w:jc w:val="left"/>
            </w:pPr>
            <w:r>
              <w:t xml:space="preserve">NL2SQL/Conversational AI Relevance</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Opportunistic; enhancement rather than necessity</w:t>
            </w:r>
          </w:p>
        </w:tc>
      </w:tr>
      <w:tr>
        <w:tc>
          <w:tcPr/>
          <w:p>
            <w:pPr>
              <w:pStyle w:val="Compact"/>
              <w:jc w:val="left"/>
            </w:pPr>
            <w:r>
              <w:t xml:space="preserve">1 pillar Higher Risk</w:t>
            </w:r>
          </w:p>
        </w:tc>
        <w:tc>
          <w:tcPr/>
          <w:p>
            <w:pPr>
              <w:pStyle w:val="Compact"/>
              <w:jc w:val="left"/>
            </w:pPr>
            <w:r>
              <w:t xml:space="preserve">Targeted intervention needed</w:t>
            </w:r>
          </w:p>
        </w:tc>
        <w:tc>
          <w:tcPr/>
          <w:p>
            <w:pPr>
              <w:pStyle w:val="Compact"/>
              <w:jc w:val="left"/>
            </w:pPr>
            <w:r>
              <w:t xml:space="preserve">Address specific pillar; monitor for spillover</w:t>
            </w:r>
          </w:p>
        </w:tc>
      </w:tr>
      <w:tr>
        <w:tc>
          <w:tcPr/>
          <w:p>
            <w:pPr>
              <w:pStyle w:val="Compact"/>
              <w:jc w:val="left"/>
            </w:pPr>
            <w:r>
              <w:t xml:space="preserve">2 pillars Higher Risk</w:t>
            </w:r>
          </w:p>
        </w:tc>
        <w:tc>
          <w:tcPr/>
          <w:p>
            <w:pPr>
              <w:pStyle w:val="Compact"/>
              <w:jc w:val="left"/>
            </w:pPr>
            <w:r>
              <w:t xml:space="preserve">Compounding effects likely</w:t>
            </w:r>
          </w:p>
        </w:tc>
        <w:tc>
          <w:tcPr/>
          <w:p>
            <w:pPr>
              <w:pStyle w:val="Compact"/>
              <w:jc w:val="left"/>
            </w:pPr>
            <w:r>
              <w:t xml:space="preserve">Strong indication for comprehensive assessment</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Urgent evaluation warranted; NL2SQL addresses all three dimensions simultaneously</w:t>
            </w:r>
          </w:p>
        </w:tc>
      </w:tr>
    </w:tbl>
    <w:p>
      <w:pPr>
        <w:pStyle w:val="BodyText"/>
      </w:pPr>
      <w:r>
        <w:t xml:space="preserve">NL2SQL platforms specifically target the convergence condition: they reduce Technical Barriers by eliminating SQL requirements, mitigate Workforce Dynamics risks by encoding expertise in queryable systems, and accelerate Analytics Maturity by enabling citizen developer participation [I4]. Organizations at Higher Risk across multiple pillars represent the primary use case for conversational AI adoption.</w:t>
      </w:r>
    </w:p>
    <w:bookmarkEnd w:id="87"/>
    <w:bookmarkStart w:id="88" w:name="implementation-considerations"/>
    <w:p>
      <w:pPr>
        <w:pStyle w:val="Heading3"/>
      </w:pPr>
      <w:r>
        <w:rPr>
          <w:rStyle w:val="SectionNumber"/>
        </w:rPr>
        <w:t xml:space="preserve">5.4.3</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 [A6]</w:t>
      </w:r>
    </w:p>
    <w:bookmarkEnd w:id="88"/>
    <w:bookmarkEnd w:id="89"/>
    <w:bookmarkEnd w:id="90"/>
    <w:bookmarkStart w:id="97"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1"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4"/>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4"/>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4"/>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1"/>
    <w:bookmarkStart w:id="92"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5"/>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2"/>
    <w:bookmarkStart w:id="93"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6"/>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turnover was measured at 34% in 2004 [A10], the highest among IT sectors at that time, and workforce challenges persist today [I11]. Knowledge loss costs can reach three times annual salary budgets [A24], creating need for knowledge preservation approaches.</w:t>
      </w:r>
    </w:p>
    <w:p>
      <w:pPr>
        <w:numPr>
          <w:ilvl w:val="0"/>
          <w:numId w:val="1026"/>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3"/>
    <w:bookmarkStart w:id="94"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4"/>
    <w:bookmarkStart w:id="95" w:name="future-research-directions-1"/>
    <w:p>
      <w:pPr>
        <w:pStyle w:val="Heading2"/>
      </w:pPr>
      <w:r>
        <w:rPr>
          <w:rStyle w:val="SectionNumber"/>
        </w:rPr>
        <w:t xml:space="preserve">6.5</w:t>
      </w:r>
      <w:r>
        <w:tab/>
      </w:r>
      <w:r>
        <w:t xml:space="preserve">Future Research Directions</w:t>
      </w:r>
    </w:p>
    <w:p>
      <w:pPr>
        <w:pStyle w:val="FirstParagraph"/>
      </w:pPr>
      <w:r>
        <w:t xml:space="preserve">Several research gaps limit the ability to provide definitive organizational guidance:</w:t>
      </w:r>
    </w:p>
    <w:p>
      <w:pPr>
        <w:numPr>
          <w:ilvl w:val="0"/>
          <w:numId w:val="1028"/>
        </w:numPr>
      </w:pPr>
      <w:r>
        <w:rPr>
          <w:b/>
          <w:bCs/>
        </w:rPr>
        <w:t xml:space="preserve">Reference implementation validation</w:t>
      </w:r>
      <w:r>
        <w:t xml:space="preserve">: Empirical validation using synthetic data (Synthea) and healthcare-specific benchmarks (EHRSQL, MIMICSQL) would establish reproducible baselines for NL2SQL accuracy in clinical contexts</w:t>
      </w:r>
    </w:p>
    <w:p>
      <w:pPr>
        <w:numPr>
          <w:ilvl w:val="0"/>
          <w:numId w:val="1028"/>
        </w:numPr>
      </w:pPr>
      <w:r>
        <w:rPr>
          <w:b/>
          <w:bCs/>
        </w:rPr>
        <w:t xml:space="preserve">Healthcare terminology and schema mapping</w:t>
      </w:r>
      <w:r>
        <w:t xml:space="preserve">: Programmatic integration with standardized vocabularies (SNOMED CT, LOINC, RxNorm) and interoperability standards (FHIR, OMOP CDM) requires systematic investigation to reduce implementation burden</w:t>
      </w:r>
    </w:p>
    <w:p>
      <w:pPr>
        <w:numPr>
          <w:ilvl w:val="0"/>
          <w:numId w:val="1028"/>
        </w:numPr>
      </w:pPr>
      <w:r>
        <w:rPr>
          <w:b/>
          <w:bCs/>
        </w:rPr>
        <w:t xml:space="preserve">Longitudinal outcomes</w:t>
      </w:r>
      <w:r>
        <w:t xml:space="preserve">: Most implementation studies span 6-24 months; multi-year institutional knowledge preservation effects remain understudied</w:t>
      </w:r>
    </w:p>
    <w:p>
      <w:pPr>
        <w:numPr>
          <w:ilvl w:val="0"/>
          <w:numId w:val="1028"/>
        </w:numPr>
      </w:pPr>
      <w:r>
        <w:rPr>
          <w:b/>
          <w:bCs/>
        </w:rPr>
        <w:t xml:space="preserve">Governance frameworks</w:t>
      </w:r>
      <w:r>
        <w:t xml:space="preserve">: Optimal approaches for balancing analytics democratization with data quality and clinical safety standards need development</w:t>
      </w:r>
    </w:p>
    <w:bookmarkEnd w:id="95"/>
    <w:bookmarkStart w:id="96" w:name="closing-reflection"/>
    <w:p>
      <w:pPr>
        <w:pStyle w:val="Heading2"/>
      </w:pPr>
      <w:r>
        <w:rPr>
          <w:rStyle w:val="SectionNumber"/>
        </w:rPr>
        <w:t xml:space="preserve">6.6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6"/>
    <w:bookmarkEnd w:id="97"/>
    <w:bookmarkStart w:id="98"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98"/>
    <w:bookmarkStart w:id="99"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99"/>
    <w:bookmarkStart w:id="100" w:name="competing-interests"/>
    <w:p>
      <w:pPr>
        <w:pStyle w:val="Heading1"/>
      </w:pPr>
      <w:r>
        <w:rPr>
          <w:rStyle w:val="SectionNumber"/>
        </w:rPr>
        <w:t xml:space="preserve">9</w:t>
      </w:r>
      <w:r>
        <w:tab/>
      </w:r>
      <w:r>
        <w:t xml:space="preserve">Competing Interests</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 This research was conducted independently without funding from any affiliated organization.</w:t>
      </w:r>
    </w:p>
    <w:bookmarkEnd w:id="100"/>
    <w:bookmarkStart w:id="101"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1"/>
    <w:bookmarkStart w:id="102"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2"/>
    <w:bookmarkStart w:id="103"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3"/>
    <w:bookmarkStart w:id="106" w:name="references"/>
    <w:p>
      <w:pPr>
        <w:pStyle w:val="Heading1"/>
      </w:pPr>
      <w:r>
        <w:rPr>
          <w:rStyle w:val="SectionNumber"/>
        </w:rPr>
        <w:t xml:space="preserve">13</w:t>
      </w:r>
      <w:r>
        <w:tab/>
      </w:r>
      <w:r>
        <w:t xml:space="preserve">References</w:t>
      </w:r>
    </w:p>
    <w:bookmarkStart w:id="104"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p>
      <w:pPr>
        <w:pStyle w:val="BodyText"/>
      </w:pPr>
      <w:r>
        <w:t xml:space="preserve">[A31] El Kamouchi, H., &amp; Kissi, M. (2023). Low-code/No-code Development: A systematic literature review.</w:t>
      </w:r>
      <w:r>
        <w:t xml:space="preserve"> </w:t>
      </w:r>
      <w:r>
        <w:rPr>
          <w:i/>
          <w:iCs/>
        </w:rPr>
        <w:t xml:space="preserve">2023 14th International Conference on Computing Communication and Networking Technologies (ICCCNT)</w:t>
      </w:r>
      <w:r>
        <w:t xml:space="preserve">, IEEE. DOI: 10.1109/ICCCNT56998.2023.10373712. https://ieeexplore.ieee.org/abstract/document/10373712/</w:t>
      </w:r>
    </w:p>
    <w:p>
      <w:pPr>
        <w:pStyle w:val="BodyText"/>
      </w:pPr>
      <w:r>
        <w:t xml:space="preserve">[A32] Tan, J. P. Y., Tan, M. W. J., Towle, R. M., Lee, J. S. W., et al. (2023). mHealth app to facilitate remote care for patients with COVID-19: rapid development of the DrCovid+ app.</w:t>
      </w:r>
      <w:r>
        <w:t xml:space="preserve"> </w:t>
      </w:r>
      <w:r>
        <w:rPr>
          <w:i/>
          <w:iCs/>
        </w:rPr>
        <w:t xml:space="preserve">JMIR Formative Research</w:t>
      </w:r>
      <w:r>
        <w:t xml:space="preserve">, 7, e38555. DOI: 10.2196/38555. https://formative.jmir.org/2023/1/e38555</w:t>
      </w:r>
    </w:p>
    <w:p>
      <w:pPr>
        <w:pStyle w:val="BodyText"/>
      </w:pPr>
      <w:r>
        <w:t xml:space="preserve">[A33] Mogili, V. B. (2025). Healthcare and Finance Transformation through Enterprise Content, Low-Code, and Automation: A Multinational Technology Corporation’s Approach.</w:t>
      </w:r>
      <w:r>
        <w:t xml:space="preserve"> </w:t>
      </w:r>
      <w:r>
        <w:rPr>
          <w:i/>
          <w:iCs/>
        </w:rPr>
        <w:t xml:space="preserve">Journal of Engineering and Computer Sciences</w:t>
      </w:r>
      <w:r>
        <w:t xml:space="preserve">. https://sarcouncil.com/download-article/SJECS-209-_2025-630-636.pdf</w:t>
      </w:r>
    </w:p>
    <w:p>
      <w:pPr>
        <w:pStyle w:val="BodyText"/>
      </w:pPr>
      <w:r>
        <w:t xml:space="preserve">[A34] Pervaiz, H., &amp; Ijaz, R. (2025). Leveraging Low-Code/No-Code Platforms for Rapid Digital Transformation in Small and Medium-sized Enterprises (SMEs).</w:t>
      </w:r>
      <w:r>
        <w:t xml:space="preserve"> </w:t>
      </w:r>
      <w:r>
        <w:rPr>
          <w:i/>
          <w:iCs/>
        </w:rPr>
        <w:t xml:space="preserve">Multidisciplinary Journal of Science, Technology &amp; Business</w:t>
      </w:r>
      <w:r>
        <w:t xml:space="preserve">. https://imjstb.com/index.php/Journal/article/view/95</w:t>
      </w:r>
    </w:p>
    <w:p>
      <w:pPr>
        <w:pStyle w:val="BodyText"/>
      </w:pPr>
      <w:r>
        <w:t xml:space="preserve">[A35] Yuan, C., Ryan, P. B., Ta, C., Guo, Y., Li, Z., et al. (2019). Criteria2Query: a natural language interface to clinical databases for cohort definition.</w:t>
      </w:r>
      <w:r>
        <w:t xml:space="preserve"> </w:t>
      </w:r>
      <w:r>
        <w:rPr>
          <w:i/>
          <w:iCs/>
        </w:rPr>
        <w:t xml:space="preserve">Journal of the American Medical Informatics Association</w:t>
      </w:r>
      <w:r>
        <w:t xml:space="preserve">, 26(4), 294-305. DOI: 10.1093/jamia/ocy178. https://academic.oup.com/jamia/article-abstract/26/4/294/5308980</w:t>
      </w:r>
    </w:p>
    <w:p>
      <w:pPr>
        <w:pStyle w:val="BodyText"/>
      </w:pPr>
      <w:r>
        <w:t xml:space="preserve">[A36] Dadi, C. B. (2025). Natural Language Interfaces for Database Management: Bridging the Gap Between Users and Data through Conversational AI.</w:t>
      </w:r>
      <w:r>
        <w:t xml:space="preserve"> </w:t>
      </w:r>
      <w:r>
        <w:rPr>
          <w:i/>
          <w:iCs/>
        </w:rPr>
        <w:t xml:space="preserve">Journal of Computer Science and Technology Studies</w:t>
      </w:r>
      <w:r>
        <w:t xml:space="preserve">. https://al-kindipublishers.org/index.php/jcsts/article/view/8823</w:t>
      </w:r>
    </w:p>
    <w:p>
      <w:pPr>
        <w:pStyle w:val="BodyText"/>
      </w:pPr>
      <w:r>
        <w:t xml:space="preserve">[A37] Shah, V., Li, S., Kumar, A., &amp; Saul, L. (2020). SpeakQL: towards speech-driven multimodal querying of structured data.</w:t>
      </w:r>
      <w:r>
        <w:t xml:space="preserve"> </w:t>
      </w:r>
      <w:r>
        <w:rPr>
          <w:i/>
          <w:iCs/>
        </w:rPr>
        <w:t xml:space="preserve">Proceedings of the 2020 ACM SIGMOD International Conference on Management of Data</w:t>
      </w:r>
      <w:r>
        <w:t xml:space="preserve">, 2363-2374. DOI: 10.1145/3318464.3389777. https://dl.acm.org/doi/abs/10.1145/3318464.3389777</w:t>
      </w:r>
    </w:p>
    <w:p>
      <w:pPr>
        <w:pStyle w:val="BodyText"/>
      </w:pPr>
      <w:r>
        <w:t xml:space="preserve">[A38] Ipeirotis, P., &amp; Zheng, H. (2025). Natural Language Interfaces for Databases: What Do Users Think?</w:t>
      </w:r>
      <w:r>
        <w:t xml:space="preserve"> </w:t>
      </w:r>
      <w:r>
        <w:rPr>
          <w:i/>
          <w:iCs/>
        </w:rPr>
        <w:t xml:space="preserve">arXiv preprint arXiv:2511.14718</w:t>
      </w:r>
      <w:r>
        <w:t xml:space="preserve">. https://arxiv.org/abs/2511.14718</w:t>
      </w:r>
    </w:p>
    <w:p>
      <w:pPr>
        <w:pStyle w:val="BodyText"/>
      </w:pPr>
      <w:r>
        <w:t xml:space="preserve">[A39] Milne-Ives, M., De Cock, C., Lim, E., Shehadeh, M. H., et al. (2020). The effectiveness of artificial intelligence conversational agents in health care: systematic review.</w:t>
      </w:r>
      <w:r>
        <w:t xml:space="preserve"> </w:t>
      </w:r>
      <w:r>
        <w:rPr>
          <w:i/>
          <w:iCs/>
        </w:rPr>
        <w:t xml:space="preserve">Journal of Medical Internet Research</w:t>
      </w:r>
      <w:r>
        <w:t xml:space="preserve">, 22(10), e20346. DOI: 10.2196/20346. https://www.jmir.org/2020/10/e20346/</w:t>
      </w:r>
    </w:p>
    <w:p>
      <w:pPr>
        <w:pStyle w:val="BodyText"/>
      </w:pPr>
      <w:r>
        <w:t xml:space="preserve">[A40] Aveiro, D., Freitas, V., Cunha, E., Quintal, F., et al. (2023). Traditional vs. low-code development: comparing needed effort and system complexity in the NexusBRaNT experiment.</w:t>
      </w:r>
      <w:r>
        <w:t xml:space="preserve"> </w:t>
      </w:r>
      <w:r>
        <w:rPr>
          <w:i/>
          <w:iCs/>
        </w:rPr>
        <w:t xml:space="preserve">2023 IEEE 25th Conference on Business Informatics (CBI)</w:t>
      </w:r>
      <w:r>
        <w:t xml:space="preserve">, 1-10. DOI: 10.1109/CBI58679.2023.10186753. https://ieeexplore.ieee.org/document/10186753</w:t>
      </w:r>
    </w:p>
    <w:p>
      <w:pPr>
        <w:pStyle w:val="BodyText"/>
      </w:pPr>
      <w:r>
        <w:t xml:space="preserve">[A41] Li, Y., Liang, S., Zhu, B., Liu, X., Li, J., Chen, D., Qin, J., et al. (2023). Feasibility and effectiveness of artificial intelligence-driven conversational agents in healthcare interventions: A systematic review of randomized controlled trials.</w:t>
      </w:r>
      <w:r>
        <w:t xml:space="preserve"> </w:t>
      </w:r>
      <w:r>
        <w:rPr>
          <w:i/>
          <w:iCs/>
        </w:rPr>
        <w:t xml:space="preserve">International Journal of Medical Informatics</w:t>
      </w:r>
      <w:r>
        <w:t xml:space="preserve">, 178, 105195. DOI: 10.1016/j.ijmedinf.2023.105195. https://www.sciencedirect.com/science/article/pii/S1386505623001296</w:t>
      </w:r>
    </w:p>
    <w:p>
      <w:pPr>
        <w:pStyle w:val="BodyText"/>
      </w:pPr>
      <w:r>
        <w:t xml:space="preserve">[A42] Rollwage, M., Habicht, J., Juechems, K., Carrington, B., et al. (2023). Using conversational AI to facilitate mental health assessments and improve clinical efficiency within psychotherapy services: real-world observational study.</w:t>
      </w:r>
      <w:r>
        <w:t xml:space="preserve"> </w:t>
      </w:r>
      <w:r>
        <w:rPr>
          <w:i/>
          <w:iCs/>
        </w:rPr>
        <w:t xml:space="preserve">JMIR AI</w:t>
      </w:r>
      <w:r>
        <w:t xml:space="preserve">, 2, e44358. DOI: 10.2196/44358. https://ai.jmir.org/2023/1/e44358</w:t>
      </w:r>
    </w:p>
    <w:p>
      <w:pPr>
        <w:pStyle w:val="BodyText"/>
      </w:pPr>
      <w:r>
        <w:t xml:space="preserve">[A43] Safari, L., &amp; Patrick, J. D. (2014). Restricted natural language based querying of clinical databases.</w:t>
      </w:r>
      <w:r>
        <w:t xml:space="preserve"> </w:t>
      </w:r>
      <w:r>
        <w:rPr>
          <w:i/>
          <w:iCs/>
        </w:rPr>
        <w:t xml:space="preserve">Journal of Biomedical Informatics</w:t>
      </w:r>
      <w:r>
        <w:t xml:space="preserve">, 52, 333-353. DOI: 10.1016/j.jbi.2014.08.003. https://www.sciencedirect.com/science/article/pii/S1532046414001592</w:t>
      </w:r>
    </w:p>
    <w:p>
      <w:pPr>
        <w:pStyle w:val="BodyText"/>
      </w:pPr>
      <w:r>
        <w:t xml:space="preserve">[A44] Han, J., Chen, K., Fang, L., Zhang, S., &amp; Wang, F. (2019). Improving the efficacy of the data entry process for clinical research with a natural language processing-driven medical information extraction system.</w:t>
      </w:r>
      <w:r>
        <w:t xml:space="preserve"> </w:t>
      </w:r>
      <w:r>
        <w:rPr>
          <w:i/>
          <w:iCs/>
        </w:rPr>
        <w:t xml:space="preserve">JMIR Medical Informatics</w:t>
      </w:r>
      <w:r>
        <w:t xml:space="preserve">, 7(2), e13331. DOI: 10.2196/13331. https://medinform.jmir.org/2019/2/e13331</w:t>
      </w:r>
    </w:p>
    <w:p>
      <w:pPr>
        <w:pStyle w:val="BodyText"/>
      </w:pPr>
      <w:r>
        <w:t xml:space="preserve">[A45] Marshan, A., Almutairi, A. N., Joannou, A., &amp; Bell, D. (2024). MedT5SQL: a transformers-based large language model for text-to-SQL conversion in the healthcare domain.</w:t>
      </w:r>
      <w:r>
        <w:t xml:space="preserve"> </w:t>
      </w:r>
      <w:r>
        <w:rPr>
          <w:i/>
          <w:iCs/>
        </w:rPr>
        <w:t xml:space="preserve">Frontiers in Big Data</w:t>
      </w:r>
      <w:r>
        <w:t xml:space="preserve">, 7, 1371680. DOI: 10.3389/fdata.2024.1371680. https://www.frontiersin.org/articles/10.3389/fdata.2024.1371680</w:t>
      </w:r>
    </w:p>
    <w:p>
      <w:pPr>
        <w:pStyle w:val="BodyText"/>
      </w:pPr>
      <w:r>
        <w:t xml:space="preserve">[A46] Hendrix, G. G., Sacerdoti, E. D., Sagalowicz, D., &amp; Slocum, J. (1978). Developing a natural language interface to complex data.</w:t>
      </w:r>
      <w:r>
        <w:t xml:space="preserve"> </w:t>
      </w:r>
      <w:r>
        <w:rPr>
          <w:i/>
          <w:iCs/>
        </w:rPr>
        <w:t xml:space="preserve">ACM Transactions on Database Systems</w:t>
      </w:r>
      <w:r>
        <w:t xml:space="preserve">, 3(2), 105-147. DOI: 10.1145/320251.320253. https://dl.acm.org/doi/abs/10.1145/320251.320253</w:t>
      </w:r>
    </w:p>
    <w:p>
      <w:pPr>
        <w:pStyle w:val="BodyText"/>
      </w:pPr>
      <w:r>
        <w:t xml:space="preserve">[A47] Ogunwole, O., &amp; Onukwulu, E. C. (2023). Modernizing legacy systems: A scalable approach to next-generation data architectures and seamless integration.</w:t>
      </w:r>
      <w:r>
        <w:t xml:space="preserve"> </w:t>
      </w:r>
      <w:r>
        <w:rPr>
          <w:i/>
          <w:iCs/>
        </w:rPr>
        <w:t xml:space="preserve">International Journal of Multidisciplinary Research</w:t>
      </w:r>
      <w:r>
        <w:t xml:space="preserve">. https://www.allmultidisciplinaryjournal.com/uploads/archives/20250306182550_MGE-2025-2-018.1.pdf</w:t>
      </w:r>
    </w:p>
    <w:p>
      <w:pPr>
        <w:pStyle w:val="BodyText"/>
      </w:pPr>
      <w:r>
        <w:t xml:space="preserve">[A48] Arora, A. (2025). Challenges of Integrating Artificial Intelligence in Legacy Systems and Potential Solutions for Seamless Integration.</w:t>
      </w:r>
      <w:r>
        <w:t xml:space="preserve"> </w:t>
      </w:r>
      <w:r>
        <w:rPr>
          <w:i/>
          <w:iCs/>
        </w:rPr>
        <w:t xml:space="preserve">SSRN</w:t>
      </w:r>
      <w:r>
        <w:t xml:space="preserve">, 5268176. https://papers.ssrn.com/sol3/papers.cfm?abstract_id=5268176</w:t>
      </w:r>
    </w:p>
    <w:p>
      <w:pPr>
        <w:pStyle w:val="BodyText"/>
      </w:pPr>
      <w:r>
        <w:t xml:space="preserve">[A49] Khandelwal, A. P. (2025). AI-Driven Mainframe Modernization: Unlocking Legacy Data for Cloud Analytics.</w:t>
      </w:r>
      <w:r>
        <w:t xml:space="preserve"> </w:t>
      </w:r>
      <w:r>
        <w:rPr>
          <w:i/>
          <w:iCs/>
        </w:rPr>
        <w:t xml:space="preserve">Journal of Engineering and Computer Sciences</w:t>
      </w:r>
      <w:r>
        <w:t xml:space="preserve">. https://sarcouncil.com/2025/06/ai-driven-mainframe-modernization-unlocking-legacy-data-for-cloud-analytics</w:t>
      </w:r>
    </w:p>
    <w:p>
      <w:pPr>
        <w:pStyle w:val="BodyText"/>
      </w:pPr>
      <w:r>
        <w:t xml:space="preserve">[A50] Goffin, K., &amp; Koners, U. (2011). Tacit knowledge, lessons learnt, and new product development.</w:t>
      </w:r>
      <w:r>
        <w:t xml:space="preserve"> </w:t>
      </w:r>
      <w:r>
        <w:rPr>
          <w:i/>
          <w:iCs/>
        </w:rPr>
        <w:t xml:space="preserve">Journal of Product Innovation Management</w:t>
      </w:r>
      <w:r>
        <w:t xml:space="preserve">, 28(2), 300-318. DOI: 10.1111/j.1540-5885.2010.00798.x. https://onlinelibrary.wiley.com/doi/abs/10.1111/j.1540-5885.2010.00798.x</w:t>
      </w:r>
    </w:p>
    <w:p>
      <w:pPr>
        <w:pStyle w:val="BodyText"/>
      </w:pPr>
      <w:r>
        <w:t xml:space="preserve">[A51] Foos, T., Schum, G., &amp; Rothenberg, S. (2006). Tacit knowledge transfer and the knowledge disconnect.</w:t>
      </w:r>
      <w:r>
        <w:t xml:space="preserve"> </w:t>
      </w:r>
      <w:r>
        <w:rPr>
          <w:i/>
          <w:iCs/>
        </w:rPr>
        <w:t xml:space="preserve">Journal of Knowledge Management</w:t>
      </w:r>
      <w:r>
        <w:t xml:space="preserve">, 10(1), 6-18. DOI: 10.1108/13673270610650067. https://www.emerald.com/insight/content/doi/10.1108/13673270610650067/full/html</w:t>
      </w:r>
    </w:p>
    <w:p>
      <w:pPr>
        <w:pStyle w:val="BodyText"/>
      </w:pPr>
      <w:r>
        <w:t xml:space="preserve">[A52] Goffin, K., Koners, U., Baxter, D., &amp; Van der Hoven, C. (2010). Managing lessons learned and tacit knowledge in new product development.</w:t>
      </w:r>
      <w:r>
        <w:t xml:space="preserve"> </w:t>
      </w:r>
      <w:r>
        <w:rPr>
          <w:i/>
          <w:iCs/>
        </w:rPr>
        <w:t xml:space="preserve">Research-Technology Management</w:t>
      </w:r>
      <w:r>
        <w:t xml:space="preserve">, 53(4), 39-51. DOI: 10.1080/08956308.2010.11657637. https://www.tandfonline.com/doi/abs/10.1080/08956308.2010.11657637</w:t>
      </w:r>
    </w:p>
    <w:p>
      <w:pPr>
        <w:pStyle w:val="BodyText"/>
      </w:pPr>
      <w:r>
        <w:t xml:space="preserve">[A53] Rintala, N., &amp; Hyttinen, L. (2006). Methods for sharing tacit nuclear knowledge and expertise.</w:t>
      </w:r>
      <w:r>
        <w:t xml:space="preserve"> </w:t>
      </w:r>
      <w:r>
        <w:rPr>
          <w:i/>
          <w:iCs/>
        </w:rPr>
        <w:t xml:space="preserve">International Journal of Nuclear Knowledge Management</w:t>
      </w:r>
      <w:r>
        <w:t xml:space="preserve">, 2(2), 157-168. DOI: 10.1504/IJNKM.2006.009880. https://www.inderscienceonline.com/doi/abs/10.1504/IJNKM.2006.009880</w:t>
      </w:r>
    </w:p>
    <w:p>
      <w:pPr>
        <w:pStyle w:val="BodyText"/>
      </w:pPr>
      <w:r>
        <w:t xml:space="preserve">[A54] Snowdon, A., Hussein, A., Danforth, M., &amp; Wright, A. (2024). Digital maturity as a predictor of quality and safety outcomes in US hospitals: Cross-sectional observational study.</w:t>
      </w:r>
      <w:r>
        <w:t xml:space="preserve"> </w:t>
      </w:r>
      <w:r>
        <w:rPr>
          <w:i/>
          <w:iCs/>
        </w:rPr>
        <w:t xml:space="preserve">Journal of Medical Internet Research</w:t>
      </w:r>
      <w:r>
        <w:t xml:space="preserve">, 26, e52224. DOI: 10.2196/52224. https://www.jmir.org/2024/1/e52224</w:t>
      </w:r>
    </w:p>
    <w:p>
      <w:pPr>
        <w:pStyle w:val="BodyText"/>
      </w:pPr>
      <w:r>
        <w:t xml:space="preserve">[A55] Snowdon, A., Hussein, A., &amp; Olubisi, A. (2024). Digital maturity as a strategy for advancing patient experience in US hospitals.</w:t>
      </w:r>
      <w:r>
        <w:t xml:space="preserve"> </w:t>
      </w:r>
      <w:r>
        <w:rPr>
          <w:i/>
          <w:iCs/>
        </w:rPr>
        <w:t xml:space="preserve">Journal of Patient Experience</w:t>
      </w:r>
      <w:r>
        <w:t xml:space="preserve">, 11, 1-8. DOI: 10.1177/23743735241253785. https://journals.sagepub.com/doi/full/10.1177/23743735241253785</w:t>
      </w:r>
    </w:p>
    <w:p>
      <w:pPr>
        <w:pStyle w:val="BodyText"/>
      </w:pPr>
      <w:r>
        <w:t xml:space="preserve">[A56] Wang, Y., Kung, L. A., Gupta, S., &amp; Ozdemir, S. (2019). Leveraging big data analytics to improve quality of care in healthcare organizations: A configurational perspective.</w:t>
      </w:r>
      <w:r>
        <w:t xml:space="preserve"> </w:t>
      </w:r>
      <w:r>
        <w:rPr>
          <w:i/>
          <w:iCs/>
        </w:rPr>
        <w:t xml:space="preserve">British Journal of Management</w:t>
      </w:r>
      <w:r>
        <w:t xml:space="preserve">, 30(2), 362-388. DOI: 10.1111/1467-8551.12332. https://onlinelibrary.wiley.com/doi/abs/10.1111/1467-8551.12332</w:t>
      </w:r>
    </w:p>
    <w:p>
      <w:pPr>
        <w:pStyle w:val="BodyText"/>
      </w:pPr>
      <w:r>
        <w:t xml:space="preserve">[A57] Gomes, J., &amp; Romão, M. (2025). Evaluating maturity models in healthcare information systems: A comprehensive review.</w:t>
      </w:r>
      <w:r>
        <w:t xml:space="preserve"> </w:t>
      </w:r>
      <w:r>
        <w:rPr>
          <w:i/>
          <w:iCs/>
        </w:rPr>
        <w:t xml:space="preserve">Healthcare</w:t>
      </w:r>
      <w:r>
        <w:t xml:space="preserve">, 13(1), 1-20. DOI: 10.3390/healthcare13010001. https://www.mdpi.com/2227-9032/13/1/1</w:t>
      </w:r>
    </w:p>
    <w:p>
      <w:pPr>
        <w:pStyle w:val="BodyText"/>
      </w:pPr>
      <w:r>
        <w:t xml:space="preserve">[A58] Rangachari, P., &amp; Woods, J. L. (2020). Preserving organizational resilience, patient safety, and staff retention during COVID-19 requires a holistic consideration of the psychological safety of healthcare workers.</w:t>
      </w:r>
      <w:r>
        <w:t xml:space="preserve"> </w:t>
      </w:r>
      <w:r>
        <w:rPr>
          <w:i/>
          <w:iCs/>
        </w:rPr>
        <w:t xml:space="preserve">International Journal of Environmental Research and Public Health</w:t>
      </w:r>
      <w:r>
        <w:t xml:space="preserve">, 17(12), 4267. DOI: 10.3390/ijerph17124267. https://www.mdpi.com/1660-4601/17/12/4267</w:t>
      </w:r>
    </w:p>
    <w:p>
      <w:pPr>
        <w:pStyle w:val="BodyText"/>
      </w:pPr>
      <w:r>
        <w:t xml:space="preserve">[A59] Bae, S. H., Mark, B., &amp; Fried, B. (2010). Impact of nursing unit turnover on patient outcomes in hospitals.</w:t>
      </w:r>
      <w:r>
        <w:t xml:space="preserve"> </w:t>
      </w:r>
      <w:r>
        <w:rPr>
          <w:i/>
          <w:iCs/>
        </w:rPr>
        <w:t xml:space="preserve">Journal of Nursing Scholarship</w:t>
      </w:r>
      <w:r>
        <w:t xml:space="preserve">, 42(1), 40-49. DOI: 10.1111/j.1547-5069.2009.01319.x. https://onlinelibrary.wiley.com/doi/abs/10.1111/j.1547-5069.2009.01319.x</w:t>
      </w:r>
    </w:p>
    <w:p>
      <w:pPr>
        <w:pStyle w:val="BodyText"/>
      </w:pPr>
      <w:r>
        <w:t xml:space="preserve">[A60] Wakerman, J., Humphreys, J., Russell, D., Guthridge, S., Bourke, L., Dunbar, T., Zhao, Y., Ramjan, M., Murakami-Gold, L., &amp; Jones, M. P. (2019). Remote health workforce turnover and retention: What are the policy and practice priorities?</w:t>
      </w:r>
      <w:r>
        <w:t xml:space="preserve"> </w:t>
      </w:r>
      <w:r>
        <w:rPr>
          <w:i/>
          <w:iCs/>
        </w:rPr>
        <w:t xml:space="preserve">Human Resources for Health</w:t>
      </w:r>
      <w:r>
        <w:t xml:space="preserve">, 17, 99. DOI: 10.1186/s12960-019-0432-y. https://human-resources-health.biomedcentral.com/articles/10.1186/s12960-019-0432-y</w:t>
      </w:r>
    </w:p>
    <w:p>
      <w:pPr>
        <w:pStyle w:val="BodyText"/>
      </w:pPr>
      <w:r>
        <w:t xml:space="preserve">[A61] Lahaie, D. (2005). The impact of corporate memory loss: What happens when a senior executive leaves?</w:t>
      </w:r>
      <w:r>
        <w:t xml:space="preserve"> </w:t>
      </w:r>
      <w:r>
        <w:rPr>
          <w:i/>
          <w:iCs/>
        </w:rPr>
        <w:t xml:space="preserve">Leadership in Health Services</w:t>
      </w:r>
      <w:r>
        <w:t xml:space="preserve">, 18(3), 35-48. DOI: 10.1108/13660750510611198. https://www.emerald.com/insight/content/doi/10.1108/13660750510611198/full/html</w:t>
      </w:r>
    </w:p>
    <w:p>
      <w:pPr>
        <w:pStyle w:val="BodyText"/>
      </w:pPr>
      <w:r>
        <w:t xml:space="preserve">[A62] Shen, K., McGarry, B. E., &amp; Gandhi, A. D. (2023). Health care staff turnover and quality of care at nursing homes.</w:t>
      </w:r>
      <w:r>
        <w:t xml:space="preserve"> </w:t>
      </w:r>
      <w:r>
        <w:rPr>
          <w:i/>
          <w:iCs/>
        </w:rPr>
        <w:t xml:space="preserve">JAMA Internal Medicine</w:t>
      </w:r>
      <w:r>
        <w:t xml:space="preserve">, 183(9), 985-993. DOI: 10.1001/jamainternmed.2023.3140. https://jamanetwork.com/journals/jamainternalmedicine/fullarticle/2807501</w:t>
      </w:r>
    </w:p>
    <w:p>
      <w:pPr>
        <w:pStyle w:val="BodyText"/>
      </w:pPr>
      <w:r>
        <w:t xml:space="preserve">[A63] Lin, C., Lin, I. C., &amp; Roan, J. (2012). Barriers to physicians’ adoption of healthcare information technology: An empirical study on multiple hospitals.</w:t>
      </w:r>
      <w:r>
        <w:t xml:space="preserve"> </w:t>
      </w:r>
      <w:r>
        <w:rPr>
          <w:i/>
          <w:iCs/>
        </w:rPr>
        <w:t xml:space="preserve">Journal of Medical Systems</w:t>
      </w:r>
      <w:r>
        <w:t xml:space="preserve">, 36(3), 1965-1977. DOI: 10.1007/s10916-011-9656-7. https://link.springer.com/article/10.1007/s10916-011-9656-7</w:t>
      </w:r>
    </w:p>
    <w:p>
      <w:pPr>
        <w:pStyle w:val="BodyText"/>
      </w:pPr>
      <w:r>
        <w:t xml:space="preserve">[A64] Latrella, M., &amp; Baldasare, L. (2024). Improving patient outcomes while reducing readmissions with data analytics.</w:t>
      </w:r>
      <w:r>
        <w:t xml:space="preserve"> </w:t>
      </w:r>
      <w:r>
        <w:rPr>
          <w:i/>
          <w:iCs/>
        </w:rPr>
        <w:t xml:space="preserve">Management in Healthcare</w:t>
      </w:r>
      <w:r>
        <w:t xml:space="preserve">, 8(4), 368-378. DOI: 10.69554/QHSO5671. https://www.ingentaconnect.com/content/hsp/mih/2024/00000008/00000004/art00006</w:t>
      </w:r>
    </w:p>
    <w:p>
      <w:pPr>
        <w:pStyle w:val="BodyText"/>
      </w:pPr>
      <w:r>
        <w:t xml:space="preserve">[A65] Khan, S., Sakib, M., &amp; Iqbal, M. (2023). Advanced business analytics in healthcare: Enhancing clinical decision support and operational efficiency.</w:t>
      </w:r>
      <w:r>
        <w:t xml:space="preserve"> </w:t>
      </w:r>
      <w:r>
        <w:rPr>
          <w:i/>
          <w:iCs/>
        </w:rPr>
        <w:t xml:space="preserve">Business and Economics</w:t>
      </w:r>
      <w:r>
        <w:t xml:space="preserve">, 4(2), 1-15. https://publishing.emanresearch.org/index.php/bej/article/view/1136</w:t>
      </w:r>
    </w:p>
    <w:p>
      <w:pPr>
        <w:pStyle w:val="BodyText"/>
      </w:pPr>
      <w:r>
        <w:t xml:space="preserve">[A66] Rajamani, S., Leider, J. P., &amp; Gunashekar, D. R. (2025). Public health informatics specialists in state and local public health workforce: Insights from public health workforce interests and needs survey.</w:t>
      </w:r>
      <w:r>
        <w:t xml:space="preserve"> </w:t>
      </w:r>
      <w:r>
        <w:rPr>
          <w:i/>
          <w:iCs/>
        </w:rPr>
        <w:t xml:space="preserve">Journal of Public Health Management and Practice</w:t>
      </w:r>
      <w:r>
        <w:t xml:space="preserve">. DOI: 10.1097/PHH.0000000000001234. https://academic.oup.com/jpubhealth</w:t>
      </w:r>
    </w:p>
    <w:p>
      <w:pPr>
        <w:pStyle w:val="BodyText"/>
      </w:pPr>
      <w:r>
        <w:t xml:space="preserve">[A67] Willard-Grace, R., Knox, M., Huang, B., et al. (2019). Burnout and health care workforce turnover.</w:t>
      </w:r>
      <w:r>
        <w:t xml:space="preserve"> </w:t>
      </w:r>
      <w:r>
        <w:rPr>
          <w:i/>
          <w:iCs/>
        </w:rPr>
        <w:t xml:space="preserve">The Annals of Family Medicine</w:t>
      </w:r>
      <w:r>
        <w:t xml:space="preserve">, 17(1), 36-41. DOI: 10.1370/afm.2338. https://www.annfammed.org/content/17/1/36</w:t>
      </w:r>
    </w:p>
    <w:p>
      <w:pPr>
        <w:pStyle w:val="BodyText"/>
      </w:pPr>
      <w:r>
        <w:t xml:space="preserve">[A68] Melnick, E. R., Fong, A., Nath, B., Williams, B., et al. (2021). Analysis of electronic health record use and clinical productivity and their association with physician turnover.</w:t>
      </w:r>
      <w:r>
        <w:t xml:space="preserve"> </w:t>
      </w:r>
      <w:r>
        <w:rPr>
          <w:i/>
          <w:iCs/>
        </w:rPr>
        <w:t xml:space="preserve">JAMA Network Open</w:t>
      </w:r>
      <w:r>
        <w:t xml:space="preserve">, 4(10), e2128790. DOI: 10.1001/jamanetworkopen.2021.28790. https://jamanetwork.com/journals/jamanetworkopen/fullarticle/2784810</w:t>
      </w:r>
    </w:p>
    <w:p>
      <w:pPr>
        <w:pStyle w:val="BodyText"/>
      </w:pPr>
      <w:r>
        <w:t xml:space="preserve">[A69] Wang, S., Hu, M., Li, Q., Safari, M., &amp; Yang, X. (2025). Capabilities of GPT-5 on multimodal medical reasoning.</w:t>
      </w:r>
      <w:r>
        <w:t xml:space="preserve"> </w:t>
      </w:r>
      <w:r>
        <w:rPr>
          <w:i/>
          <w:iCs/>
        </w:rPr>
        <w:t xml:space="preserve">arXiv preprint</w:t>
      </w:r>
      <w:r>
        <w:t xml:space="preserve">, arXiv:2508.08224. https://arxiv.org/abs/2508.08224</w:t>
      </w:r>
    </w:p>
    <w:p>
      <w:pPr>
        <w:pStyle w:val="BodyText"/>
      </w:pPr>
      <w:r>
        <w:t xml:space="preserve">[A70] Blašković, L., Tanković, N., &amp; Lorencin, I. (2025). Robust clinical querying with local LLMs: Lexical challenges in NL2SQL and RAG-QA on EHRs.</w:t>
      </w:r>
      <w:r>
        <w:t xml:space="preserve"> </w:t>
      </w:r>
      <w:r>
        <w:rPr>
          <w:i/>
          <w:iCs/>
        </w:rPr>
        <w:t xml:space="preserve">Big Data and Cognitive Computing</w:t>
      </w:r>
      <w:r>
        <w:t xml:space="preserve">, 9(3), 124. DOI: 10.3390/bdcc9030124. https://www.mdpi.com/2504-2289/9/3/124</w:t>
      </w:r>
    </w:p>
    <w:p>
      <w:pPr>
        <w:pStyle w:val="BodyText"/>
      </w:pPr>
      <w:r>
        <w:t xml:space="preserve">[A71] OpenAI. (2025). HealthBench: A benchmark for evaluating LLMs in healthcare.</w:t>
      </w:r>
      <w:r>
        <w:t xml:space="preserve"> </w:t>
      </w:r>
      <w:r>
        <w:rPr>
          <w:i/>
          <w:iCs/>
        </w:rPr>
        <w:t xml:space="preserve">arXiv preprint</w:t>
      </w:r>
      <w:r>
        <w:t xml:space="preserve">, arXiv:2505.08775. https://arxiv.org/abs/2505.08775</w:t>
      </w:r>
    </w:p>
    <w:p>
      <w:pPr>
        <w:pStyle w:val="BodyText"/>
      </w:pPr>
      <w:r>
        <w:t xml:space="preserve">[A72] Lee, G., Chay, W., &amp; Choi, E. (2025). SCARE: A benchmark for SQL correction and question answerability classification for reliable EHR question answering.</w:t>
      </w:r>
      <w:r>
        <w:t xml:space="preserve"> </w:t>
      </w:r>
      <w:r>
        <w:rPr>
          <w:i/>
          <w:iCs/>
        </w:rPr>
        <w:t xml:space="preserve">arXiv preprint</w:t>
      </w:r>
      <w:r>
        <w:t xml:space="preserve">, arXiv:2511.17559. https://arxiv.org/abs/2511.17559</w:t>
      </w:r>
    </w:p>
    <w:p>
      <w:pPr>
        <w:pStyle w:val="BodyText"/>
      </w:pPr>
      <w:r>
        <w:t xml:space="preserve">[A73] Saha, B. K., Gordon, P., &amp; Gillbrand, T. (2023). NLINQ: A natural language interface for querying network performance.</w:t>
      </w:r>
      <w:r>
        <w:t xml:space="preserve"> </w:t>
      </w:r>
      <w:r>
        <w:rPr>
          <w:i/>
          <w:iCs/>
        </w:rPr>
        <w:t xml:space="preserve">Applied Intelligence</w:t>
      </w:r>
      <w:r>
        <w:t xml:space="preserve">, 53, 1-15. DOI: 10.1007/s10489-023-04567-2. https://link.springer.com/article/10.1007/s10489-023-04567-2</w:t>
      </w:r>
    </w:p>
    <w:p>
      <w:pPr>
        <w:pStyle w:val="BodyText"/>
      </w:pPr>
      <w:r>
        <w:t xml:space="preserve">[A74] Wang, Y., &amp; Hajli, N. (2017). Exploring the path to big data analytics success in healthcare.</w:t>
      </w:r>
      <w:r>
        <w:t xml:space="preserve"> </w:t>
      </w:r>
      <w:r>
        <w:rPr>
          <w:i/>
          <w:iCs/>
        </w:rPr>
        <w:t xml:space="preserve">Journal of Business Research</w:t>
      </w:r>
      <w:r>
        <w:t xml:space="preserve">, 70, 287-299. DOI: 10.1016/j.jbusres.2016.08.002. https://www.sciencedirect.com/science/article/abs/pii/S0148296316304891</w:t>
      </w:r>
    </w:p>
    <w:p>
      <w:pPr>
        <w:pStyle w:val="BodyText"/>
      </w:pPr>
      <w:r>
        <w:t xml:space="preserve">[A75] Chen, Q., Peng, J., Song, B., Zhou, Y., &amp; Ji, R. (2025). Graph-empowered text-to-SQL generation on electronic medical records.</w:t>
      </w:r>
      <w:r>
        <w:t xml:space="preserve"> </w:t>
      </w:r>
      <w:r>
        <w:rPr>
          <w:i/>
          <w:iCs/>
        </w:rPr>
        <w:t xml:space="preserve">Pattern Recognition</w:t>
      </w:r>
      <w:r>
        <w:t xml:space="preserve">, 158, 111020. DOI: 10.1016/j.patcog.2024.111020. https://www.sciencedirect.com/science/article/pii/S0031320324008197</w:t>
      </w:r>
    </w:p>
    <w:p>
      <w:pPr>
        <w:pStyle w:val="BodyText"/>
      </w:pPr>
      <w:r>
        <w:t xml:space="preserve">[A76] Park, J., Fang, Y., Ta, C., Zhang, G., Idnay, B., Chen, F., et al. (2024). Criteria2Query 3.0: Leveraging generative large language models for clinical trial eligibility query generation.</w:t>
      </w:r>
      <w:r>
        <w:t xml:space="preserve"> </w:t>
      </w:r>
      <w:r>
        <w:rPr>
          <w:i/>
          <w:iCs/>
        </w:rPr>
        <w:t xml:space="preserve">Journal of Biomedical Informatics</w:t>
      </w:r>
      <w:r>
        <w:t xml:space="preserve">, 154, 104649. DOI: 10.1016/j.jbi.2024.104649. https://www.sciencedirect.com/science/article/pii/S1532046424000650</w:t>
      </w:r>
    </w:p>
    <w:p>
      <w:pPr>
        <w:pStyle w:val="BodyText"/>
      </w:pPr>
      <w:r>
        <w:t xml:space="preserve">[A77] Sivasubramaniam, S., Osei-Akoto, C., Zhang, Y., Stockinger, K., &amp; Fürst, J. (2024). SM3-Text-to-Query: Synthetic multi-model medical text-to-query benchmark.</w:t>
      </w:r>
      <w:r>
        <w:t xml:space="preserve"> </w:t>
      </w:r>
      <w:r>
        <w:rPr>
          <w:i/>
          <w:iCs/>
        </w:rPr>
        <w:t xml:space="preserve">Advances in Neural Information Processing Systems</w:t>
      </w:r>
      <w:r>
        <w:t xml:space="preserve">, 37. https://arxiv.org/abs/2411.05521</w:t>
      </w:r>
    </w:p>
    <w:p>
      <w:pPr>
        <w:pStyle w:val="BodyText"/>
      </w:pPr>
      <w:r>
        <w:t xml:space="preserve">[A78] Jones, C. B. (2005). The costs of nurse turnover, Part 2: Application of the nursing turnover cost calculation methodology.</w:t>
      </w:r>
      <w:r>
        <w:t xml:space="preserve"> </w:t>
      </w:r>
      <w:r>
        <w:rPr>
          <w:i/>
          <w:iCs/>
        </w:rPr>
        <w:t xml:space="preserve">Journal of Nursing Administration</w:t>
      </w:r>
      <w:r>
        <w:t xml:space="preserve">, 35(1), 41-49. DOI: 10.1097/00005110-200501000-00014. https://journals.lww.com/jonajournal/abstract/2005/01000/the_costs_of_nurse_turnover__part_2__application.14.aspx</w:t>
      </w:r>
    </w:p>
    <w:p>
      <w:pPr>
        <w:pStyle w:val="BodyText"/>
      </w:pPr>
      <w:r>
        <w:t xml:space="preserve">[A79] Konrad, I., &amp; Saidizand, A. (2022). Exploring the potential of an IT capability in its bootstrap phase from a task driven onboarding perspective: Insights toward information infrastructure in healthcare.</w:t>
      </w:r>
      <w:r>
        <w:t xml:space="preserve"> </w:t>
      </w:r>
      <w:r>
        <w:rPr>
          <w:i/>
          <w:iCs/>
        </w:rPr>
        <w:t xml:space="preserve">Master’s thesis</w:t>
      </w:r>
      <w:r>
        <w:t xml:space="preserve">, Uppsala University. https://www.diva-portal.org/smash/record.jsf?pid=diva2:1684142</w:t>
      </w:r>
    </w:p>
    <w:p>
      <w:pPr>
        <w:pStyle w:val="BodyText"/>
      </w:pPr>
      <w:r>
        <w:t xml:space="preserve">[A80] Farnese, M. L., Barbieri, B., &amp; Chirumbolo, A. (2019). Managing knowledge in organizations: A Nonaka’s SECI model operationalization.</w:t>
      </w:r>
      <w:r>
        <w:t xml:space="preserve"> </w:t>
      </w:r>
      <w:r>
        <w:rPr>
          <w:i/>
          <w:iCs/>
        </w:rPr>
        <w:t xml:space="preserve">Frontiers in Psychology</w:t>
      </w:r>
      <w:r>
        <w:t xml:space="preserve">, 10, 2730. DOI: 10.3389/fpsyg.2019.02730. https://www.frontiersin.org/articles/10.3389/fpsyg.2019.02730</w:t>
      </w:r>
    </w:p>
    <w:p>
      <w:pPr>
        <w:pStyle w:val="BodyText"/>
      </w:pPr>
      <w:r>
        <w:t xml:space="preserve">[A81] Zhang, W., Daim, T., &amp; Yalçin, H. (2025). AI challenges conventional knowledge management: Light the way for reframing SECI model and Ba theory.</w:t>
      </w:r>
      <w:r>
        <w:t xml:space="preserve"> </w:t>
      </w:r>
      <w:r>
        <w:rPr>
          <w:i/>
          <w:iCs/>
        </w:rPr>
        <w:t xml:space="preserve">Journal of Knowledge Management</w:t>
      </w:r>
      <w:r>
        <w:t xml:space="preserve">. DOI: 10.1108/JKM-03-2024-0262. https://www.emerald.com/insight/content/doi/10.1108/JKM-03-2024-0262/full/html</w:t>
      </w:r>
    </w:p>
    <w:bookmarkEnd w:id="104"/>
    <w:bookmarkStart w:id="105"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5"/>
    <w:bookmarkEnd w:id="106"/>
    <w:bookmarkStart w:id="113"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112"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11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2025-12-22T19:56:38Z</dcterms:created>
  <dcterms:modified xsi:type="dcterms:W3CDTF">2025-12-22T19:56:38Z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 the highest among IT sectors at that time, 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(analytics maturity, workforce turnover, technical barriers)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samuel.harrold@yuimedi.com</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