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~34%—the</w:t>
      </w:r>
      <w:r>
        <w:t xml:space="preserve"> </w:t>
      </w:r>
      <w:r>
        <w:t xml:space="preserve">highest</w:t>
      </w:r>
      <w:r>
        <w:t xml:space="preserve"> </w:t>
      </w:r>
      <w:r>
        <w:t xml:space="preserve">among</w:t>
      </w:r>
      <w:r>
        <w:t xml:space="preserve"> </w:t>
      </w:r>
      <w:r>
        <w:t xml:space="preserve">IT</w:t>
      </w:r>
      <w:r>
        <w:t xml:space="preserve"> </w:t>
      </w:r>
      <w:r>
        <w:t xml:space="preserve">sectors—creates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of 34% [A10]—the highest among IT sectors—creates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Healthcare IT staff turnover of 34% [A10]—the highest rate among all IT organization types studied—creates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Healthcare IT staff experience the highest turnover among IT sectors at 34% annually (calculated as 1/2.9 years average tenure), with average tenure of only 2.9 years—the lowest among IT sectors studied [A10]. This creates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a unique strategic inflection point, transforming conversational AI from a convenience technology to a strategic imperative for institutional knowledge preservation.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six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1"/>
    <w:bookmarkEnd w:id="32"/>
    <w:bookmarkStart w:id="38"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methodological-limitations"/>
    <w:p>
      <w:pPr>
        <w:pStyle w:val="Heading2"/>
      </w:pPr>
      <w:r>
        <w:rPr>
          <w:rStyle w:val="SectionNumber"/>
        </w:rPr>
        <w:t xml:space="preserve">3.5</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No formal quality assessment</w:t>
      </w:r>
      <w:r>
        <w:t xml:space="preserve">: No standardized quality assessment tool (e.g., GRADE, Cochrane Risk of Bias) was applied; quality judgments were based on publication venue, methodological transparency, and verification of claims</w:t>
      </w:r>
    </w:p>
    <w:p>
      <w:pPr>
        <w:pStyle w:val="Compact"/>
        <w:numPr>
          <w:ilvl w:val="0"/>
          <w:numId w:val="1010"/>
        </w:numPr>
      </w:pPr>
      <w:r>
        <w:rPr>
          <w:b/>
          <w:bCs/>
        </w:rPr>
        <w:t xml:space="preserve">Single author synthesis</w:t>
      </w:r>
      <w:r>
        <w:t xml:space="preserve">: Evidence synthesis reflects a single author’s interpretation, which may introduce perspective bias</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64"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2" w:name="X79e53be5adb6b9863f8ca49c43cb7059ea634a1"/>
    <w:p>
      <w:pPr>
        <w:pStyle w:val="Heading2"/>
      </w:pPr>
      <w:r>
        <w:rPr>
          <w:rStyle w:val="SectionNumber"/>
        </w:rPr>
        <w:t xml:space="preserve">4.1</w:t>
      </w:r>
      <w:r>
        <w:tab/>
      </w:r>
      <w:r>
        <w:t xml:space="preserve">1. Current State of Natural Language to SQL Generation</w:t>
      </w:r>
    </w:p>
    <w:bookmarkStart w:id="39"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9"/>
    <w:bookmarkStart w:id="40"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0"/>
    <w:bookmarkStart w:id="41"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1"/>
    <w:bookmarkEnd w:id="42"/>
    <w:bookmarkStart w:id="46" w:name="state-of-healthcare-analytics-maturity"/>
    <w:p>
      <w:pPr>
        <w:pStyle w:val="Heading2"/>
      </w:pPr>
      <w:r>
        <w:rPr>
          <w:rStyle w:val="SectionNumber"/>
        </w:rPr>
        <w:t xml:space="preserve">4.2</w:t>
      </w:r>
      <w:r>
        <w:tab/>
      </w:r>
      <w:r>
        <w:t xml:space="preserve">2. State of Healthcare Analytics Maturity</w:t>
      </w:r>
    </w:p>
    <w:bookmarkStart w:id="43"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3"/>
    <w:bookmarkStart w:id="44"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p>
    <w:p>
      <w:pPr>
        <w:pStyle w:val="Compact"/>
        <w:numPr>
          <w:ilvl w:val="0"/>
          <w:numId w:val="1011"/>
        </w:numPr>
      </w:pPr>
      <w:r>
        <w:t xml:space="preserve">Fragmented data sources without integration</w:t>
      </w:r>
    </w:p>
    <w:p>
      <w:pPr>
        <w:pStyle w:val="Compact"/>
        <w:numPr>
          <w:ilvl w:val="0"/>
          <w:numId w:val="1011"/>
        </w:numPr>
      </w:pPr>
      <w:r>
        <w:t xml:space="preserve">Limited automated reporting capabilities</w:t>
      </w:r>
    </w:p>
    <w:p>
      <w:pPr>
        <w:pStyle w:val="Compact"/>
        <w:numPr>
          <w:ilvl w:val="0"/>
          <w:numId w:val="1011"/>
        </w:numPr>
      </w:pPr>
      <w:r>
        <w:t xml:space="preserve">Lack of standardized data governance</w:t>
      </w:r>
    </w:p>
    <w:p>
      <w:pPr>
        <w:pStyle w:val="Compact"/>
        <w:numPr>
          <w:ilvl w:val="0"/>
          <w:numId w:val="1011"/>
        </w:numPr>
      </w:pPr>
      <w:r>
        <w:t xml:space="preserve">Minimal predictive or prescriptive analytics</w:t>
      </w:r>
    </w:p>
    <w:p>
      <w:pPr>
        <w:pStyle w:val="Compact"/>
        <w:numPr>
          <w:ilvl w:val="0"/>
          <w:numId w:val="1011"/>
        </w:numPr>
      </w:pPr>
      <w:r>
        <w:t xml:space="preserve">Absence of real-time decision support</w:t>
      </w:r>
    </w:p>
    <w:bookmarkEnd w:id="44"/>
    <w:bookmarkStart w:id="45"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w:t>
      </w:r>
    </w:p>
    <w:bookmarkEnd w:id="45"/>
    <w:bookmarkEnd w:id="46"/>
    <w:bookmarkStart w:id="50" w:name="X033aaa01add75caa19416ed7b909f71ff5bd76d"/>
    <w:p>
      <w:pPr>
        <w:pStyle w:val="Heading2"/>
      </w:pPr>
      <w:r>
        <w:rPr>
          <w:rStyle w:val="SectionNumber"/>
        </w:rPr>
        <w:t xml:space="preserve">4.3</w:t>
      </w:r>
      <w:r>
        <w:tab/>
      </w:r>
      <w:r>
        <w:t xml:space="preserve">3. Healthcare Workforce Turnover and Knowledge Loss</w:t>
      </w:r>
    </w:p>
    <w:bookmarkStart w:id="47"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Industry analysis corroborates these findings, documenting turnover costs at 0.5-2.0 times annual salary with knowledge-intensive positions reaching the higher end [I6].</w:t>
      </w:r>
    </w:p>
    <w:p>
      <w:pPr>
        <w:pStyle w:val="BodyText"/>
      </w:pPr>
      <w:r>
        <w:t xml:space="preserve">Technical and analytics staff face even more severe turnover challenges. Ang and Slaughter [A10] found that IT professionals at healthcare provider institutions—where IT serves as a support function rather than core business—have average tenure of just 2.9 years, implying annual turnover of 34% (calculated as 1/2.9 years), the highest rate among all IT organization types studied. This compares unfavorably to the 9.68-year average for IT managerial positions overall. Recent surveys confirm these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47"/>
    <w:bookmarkStart w:id="48"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8"/>
    <w:bookmarkStart w:id="49" w:name="traditional-approaches-inadequate"/>
    <w:p>
      <w:pPr>
        <w:pStyle w:val="Heading3"/>
      </w:pPr>
      <w:r>
        <w:rPr>
          <w:rStyle w:val="SectionNumber"/>
        </w:rPr>
        <w:t xml:space="preserve">4.3.3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2"/>
        </w:numPr>
      </w:pPr>
      <w:r>
        <w:t xml:space="preserve">Traditional knowledge transfer mechanisms show limited effectiveness</w:t>
      </w:r>
    </w:p>
    <w:p>
      <w:pPr>
        <w:pStyle w:val="Compact"/>
        <w:numPr>
          <w:ilvl w:val="0"/>
          <w:numId w:val="1012"/>
        </w:numPr>
      </w:pPr>
      <w:r>
        <w:t xml:space="preserve">Organizations struggle to capture and maintain analytical expertise</w:t>
      </w:r>
    </w:p>
    <w:p>
      <w:pPr>
        <w:pStyle w:val="Compact"/>
        <w:numPr>
          <w:ilvl w:val="0"/>
          <w:numId w:val="1012"/>
        </w:numPr>
      </w:pPr>
      <w:r>
        <w:t xml:space="preserve">Security concerns and employee resistance to change slow the pace of information system acceptance [A18]</w:t>
      </w:r>
    </w:p>
    <w:p>
      <w:pPr>
        <w:pStyle w:val="Compact"/>
        <w:numPr>
          <w:ilvl w:val="0"/>
          <w:numId w:val="1012"/>
        </w:numPr>
      </w:pPr>
      <w:r>
        <w:t xml:space="preserve">Person-to-person knowledge transfer fails during rapid turnover cycles</w:t>
      </w:r>
    </w:p>
    <w:bookmarkEnd w:id="49"/>
    <w:bookmarkEnd w:id="50"/>
    <w:bookmarkStart w:id="54" w:name="X4fcdb465b5d130fc136a191f4ad96d06b004362"/>
    <w:p>
      <w:pPr>
        <w:pStyle w:val="Heading2"/>
      </w:pPr>
      <w:r>
        <w:rPr>
          <w:rStyle w:val="SectionNumber"/>
        </w:rPr>
        <w:t xml:space="preserve">4.4</w:t>
      </w:r>
      <w:r>
        <w:tab/>
      </w:r>
      <w:r>
        <w:t xml:space="preserve">4. Integration of Evidence: The Case for Conversational AI</w:t>
      </w:r>
    </w:p>
    <w:bookmarkStart w:id="51"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1"/>
    <w:bookmarkStart w:id="52"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3"/>
        </w:numPr>
      </w:pPr>
      <w:r>
        <w:t xml:space="preserve">Capturing decision-making patterns through usage</w:t>
      </w:r>
    </w:p>
    <w:p>
      <w:pPr>
        <w:pStyle w:val="Compact"/>
        <w:numPr>
          <w:ilvl w:val="0"/>
          <w:numId w:val="1013"/>
        </w:numPr>
      </w:pPr>
      <w:r>
        <w:t xml:space="preserve">Encoding best practices in accessible formats</w:t>
      </w:r>
    </w:p>
    <w:p>
      <w:pPr>
        <w:pStyle w:val="Compact"/>
        <w:numPr>
          <w:ilvl w:val="0"/>
          <w:numId w:val="1013"/>
        </w:numPr>
      </w:pPr>
      <w:r>
        <w:t xml:space="preserve">Providing context-aware guidance to new users</w:t>
      </w:r>
    </w:p>
    <w:p>
      <w:pPr>
        <w:pStyle w:val="Compact"/>
        <w:numPr>
          <w:ilvl w:val="0"/>
          <w:numId w:val="1013"/>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2"/>
    <w:bookmarkStart w:id="53" w:name="X6d083e238594fa23b80808bd7cfd83ad906b4ff"/>
    <w:p>
      <w:pPr>
        <w:pStyle w:val="Heading3"/>
      </w:pPr>
      <w:r>
        <w:rPr>
          <w:rStyle w:val="SectionNumber"/>
        </w:rPr>
        <w:t xml:space="preserve">4.4.3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3"/>
    <w:bookmarkEnd w:id="54"/>
    <w:bookmarkStart w:id="58" w:name="Xe532debb859e62ad2038db373f15ff8608a8c3a"/>
    <w:p>
      <w:pPr>
        <w:pStyle w:val="Heading2"/>
      </w:pPr>
      <w:r>
        <w:rPr>
          <w:rStyle w:val="SectionNumber"/>
        </w:rPr>
        <w:t xml:space="preserve">4.5</w:t>
      </w:r>
      <w:r>
        <w:tab/>
      </w:r>
      <w:r>
        <w:t xml:space="preserve">5. Implications for Healthcare Organizations</w:t>
      </w:r>
    </w:p>
    <w:bookmarkStart w:id="55"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5"/>
    <w:bookmarkStart w:id="56"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56"/>
    <w:bookmarkStart w:id="57"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7"/>
    <w:bookmarkEnd w:id="58"/>
    <w:bookmarkStart w:id="59" w:name="gaps-in-current-literature"/>
    <w:p>
      <w:pPr>
        <w:pStyle w:val="Heading2"/>
      </w:pPr>
      <w:r>
        <w:rPr>
          <w:rStyle w:val="SectionNumber"/>
        </w:rPr>
        <w:t xml:space="preserve">4.6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14"/>
        </w:numPr>
      </w:pPr>
      <w:r>
        <w:rPr>
          <w:b/>
          <w:bCs/>
        </w:rPr>
        <w:t xml:space="preserve">Long-term outcomes</w:t>
      </w:r>
      <w:r>
        <w:t xml:space="preserve">: Most studies examine 6-24 month implementations; multi-year impacts remain understudied</w:t>
      </w:r>
    </w:p>
    <w:p>
      <w:pPr>
        <w:pStyle w:val="Compact"/>
        <w:numPr>
          <w:ilvl w:val="0"/>
          <w:numId w:val="1014"/>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4"/>
        </w:numPr>
      </w:pPr>
      <w:r>
        <w:rPr>
          <w:b/>
          <w:bCs/>
        </w:rPr>
        <w:t xml:space="preserve">Governance frameworks</w:t>
      </w:r>
      <w:r>
        <w:t xml:space="preserve">: Limited research on optimal governance models for democratized analytics</w:t>
      </w:r>
    </w:p>
    <w:p>
      <w:pPr>
        <w:pStyle w:val="Compact"/>
        <w:numPr>
          <w:ilvl w:val="0"/>
          <w:numId w:val="1014"/>
        </w:numPr>
      </w:pPr>
      <w:r>
        <w:rPr>
          <w:b/>
          <w:bCs/>
        </w:rPr>
        <w:t xml:space="preserve">Training methodologies</w:t>
      </w:r>
      <w:r>
        <w:t xml:space="preserve">: Best practices for transitioning from traditional to conversational analytics lack empirical validation</w:t>
      </w:r>
    </w:p>
    <w:p>
      <w:pPr>
        <w:pStyle w:val="Compact"/>
        <w:numPr>
          <w:ilvl w:val="0"/>
          <w:numId w:val="1014"/>
        </w:numPr>
      </w:pPr>
      <w:r>
        <w:rPr>
          <w:b/>
          <w:bCs/>
        </w:rPr>
        <w:t xml:space="preserve">Integration patterns</w:t>
      </w:r>
      <w:r>
        <w:t xml:space="preserve">: Architectural guidance for incorporating conversational AI into existing healthcare IT ecosystems remains sparse</w:t>
      </w:r>
    </w:p>
    <w:bookmarkEnd w:id="59"/>
    <w:bookmarkStart w:id="63" w:name="why-the-problem-persists"/>
    <w:p>
      <w:pPr>
        <w:pStyle w:val="Heading2"/>
      </w:pPr>
      <w:r>
        <w:rPr>
          <w:rStyle w:val="SectionNumber"/>
        </w:rPr>
        <w:t xml:space="preserve">4.7</w:t>
      </w:r>
      <w:r>
        <w:tab/>
      </w:r>
      <w:r>
        <w:t xml:space="preserve">7. 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0"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[A27].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[A28].</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[A29]. At the institutional level, data fragmentation across different organizations creates barriers to linkage, access, and care continuity, while governance issues including unclear responsibilities and weak collaboration compound the problem [A30].</w:t>
      </w:r>
    </w:p>
    <w:p>
      <w:pPr>
        <w:pStyle w:val="BodyText"/>
      </w:pPr>
      <w:r>
        <w:t xml:space="preserve">High-profile industry failures illustrate these research findings. Multi-billion dollar investments in healthcare AI have been divested after failing to achieve clinical adoption [I9], and a joint venture backed by major corporations controlling healthcare spending for over one million employees disbanded after three years without achieving its goals [I10]. These failures share the common pattern identified in academic literature: attempting to impose standardized solutions across institutions with fundamentally unique data definitions, business rules, and clinical workflows.</w:t>
      </w:r>
    </w:p>
    <w:bookmarkEnd w:id="60"/>
    <w:bookmarkStart w:id="61" w:name="X2fadc48b72263d27ff1223301aab0607309f8ac"/>
    <w:p>
      <w:pPr>
        <w:pStyle w:val="Heading3"/>
      </w:pPr>
      <w:r>
        <w:rPr>
          <w:rStyle w:val="SectionNumber"/>
        </w:rPr>
        <w:t xml:space="preserve">4.7.2</w:t>
      </w:r>
      <w:r>
        <w:tab/>
      </w:r>
      <w:r>
        <w:t xml:space="preserve">Structural Disincentives in the Technology Market</w:t>
      </w:r>
    </w:p>
    <w:p>
      <w:pPr>
        <w:pStyle w:val="FirstParagraph"/>
      </w:pPr>
      <w:r>
        <w:t xml:space="preserve">Major technology providers may face inherent tensions in solving institution-specific analytics challenges. EHR platform providers and cloud infrastructure companies derive substantial revenue from consulting services and implementation partner ecosystems. This business model dependency creates potential misalignment: building comprehensive institution-specific knowledge solutions could reduce demand for implementation services. Whether intentional or emergent, the result is that major platforms remain generalized tools requiring significant customization rather than turnkey solutions for institutional analytics.</w:t>
      </w:r>
    </w:p>
    <w:bookmarkEnd w:id="61"/>
    <w:bookmarkStart w:id="62" w:name="deployment-constraint-mismatch"/>
    <w:p>
      <w:pPr>
        <w:pStyle w:val="Heading3"/>
      </w:pPr>
      <w:r>
        <w:rPr>
          <w:rStyle w:val="SectionNumber"/>
        </w:rPr>
        <w:t xml:space="preserve">4.7.3</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2"/>
    <w:bookmarkEnd w:id="63"/>
    <w:bookmarkEnd w:id="64"/>
    <w:bookmarkStart w:id="79" w:name="X31921694b73dcf3ee7cef592b6f3cc25a3db813"/>
    <w:p>
      <w:pPr>
        <w:pStyle w:val="Heading1"/>
      </w:pPr>
      <w:r>
        <w:rPr>
          <w:rStyle w:val="SectionNumber"/>
        </w:rPr>
        <w:t xml:space="preserve">5</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65" w:name="solution-overview"/>
    <w:p>
      <w:pPr>
        <w:pStyle w:val="Heading2"/>
      </w:pPr>
      <w:r>
        <w:rPr>
          <w:rStyle w:val="SectionNumber"/>
        </w:rPr>
        <w:t xml:space="preserve">5.1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15"/>
        </w:numPr>
      </w:pPr>
      <w:r>
        <w:rPr>
          <w:b/>
          <w:bCs/>
        </w:rPr>
        <w:t xml:space="preserve">Technical Barrier Elimination</w:t>
      </w:r>
      <w:r>
        <w:t xml:space="preserve">: Natural language interfaces replace SQL requirements</w:t>
      </w:r>
    </w:p>
    <w:p>
      <w:pPr>
        <w:pStyle w:val="Compact"/>
        <w:numPr>
          <w:ilvl w:val="0"/>
          <w:numId w:val="1015"/>
        </w:numPr>
      </w:pPr>
      <w:r>
        <w:rPr>
          <w:b/>
          <w:bCs/>
        </w:rPr>
        <w:t xml:space="preserve">Analytics Maturity Acceleration</w:t>
      </w:r>
      <w:r>
        <w:t xml:space="preserve">: Democratized access enables broader organizational capability</w:t>
      </w:r>
    </w:p>
    <w:p>
      <w:pPr>
        <w:pStyle w:val="Compact"/>
        <w:numPr>
          <w:ilvl w:val="0"/>
          <w:numId w:val="1015"/>
        </w:numPr>
      </w:pPr>
      <w:r>
        <w:rPr>
          <w:b/>
          <w:bCs/>
        </w:rPr>
        <w:t xml:space="preserve">Institutional Memory Preservation</w:t>
      </w:r>
      <w:r>
        <w:t xml:space="preserve">: AI models embed organizational knowledge and expertise</w:t>
      </w:r>
    </w:p>
    <w:bookmarkEnd w:id="65"/>
    <w:bookmarkStart w:id="70" w:name="core-capabilities"/>
    <w:p>
      <w:pPr>
        <w:pStyle w:val="Heading2"/>
      </w:pPr>
      <w:r>
        <w:rPr>
          <w:rStyle w:val="SectionNumber"/>
        </w:rPr>
        <w:t xml:space="preserve">5.2</w:t>
      </w:r>
      <w:r>
        <w:tab/>
      </w:r>
      <w:r>
        <w:t xml:space="preserve">Core Capabilities</w:t>
      </w:r>
    </w:p>
    <w:bookmarkStart w:id="66" w:name="X5b5cb56f47d7a7344a0b84a0a61c200c141779c"/>
    <w:p>
      <w:pPr>
        <w:pStyle w:val="Heading3"/>
      </w:pPr>
      <w:r>
        <w:rPr>
          <w:rStyle w:val="SectionNumber"/>
        </w:rPr>
        <w:t xml:space="preserve">5.2.1</w:t>
      </w:r>
      <w:r>
        <w:tab/>
      </w:r>
      <w:r>
        <w:t xml:space="preserve">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p>
    <w:p>
      <w:pPr>
        <w:pStyle w:val="Compact"/>
        <w:numPr>
          <w:ilvl w:val="0"/>
          <w:numId w:val="1016"/>
        </w:numPr>
      </w:pPr>
      <w:r>
        <w:rPr>
          <w:b/>
          <w:bCs/>
        </w:rPr>
        <w:t xml:space="preserve">Medical Terminology Recognition</w:t>
      </w:r>
      <w:r>
        <w:t xml:space="preserve">: Integration with ICD-10, CPT, RxNorm, and SNOMED vocabularies</w:t>
      </w:r>
    </w:p>
    <w:p>
      <w:pPr>
        <w:pStyle w:val="Compact"/>
        <w:numPr>
          <w:ilvl w:val="0"/>
          <w:numId w:val="1016"/>
        </w:numPr>
      </w:pPr>
      <w:r>
        <w:rPr>
          <w:b/>
          <w:bCs/>
        </w:rPr>
        <w:t xml:space="preserve">Context-Aware Processing</w:t>
      </w:r>
      <w:r>
        <w:t xml:space="preserve">: Understanding of clinical workflows and temporal relationships</w:t>
      </w:r>
    </w:p>
    <w:p>
      <w:pPr>
        <w:pStyle w:val="Compact"/>
        <w:numPr>
          <w:ilvl w:val="0"/>
          <w:numId w:val="1016"/>
        </w:numPr>
      </w:pPr>
      <w:r>
        <w:rPr>
          <w:b/>
          <w:bCs/>
        </w:rPr>
        <w:t xml:space="preserve">Ambiguity Resolution</w:t>
      </w:r>
      <w:r>
        <w:t xml:space="preserve">: Intelligent disambiguation of medical terms based on organizational usage patterns</w:t>
      </w:r>
    </w:p>
    <w:p>
      <w:pPr>
        <w:pStyle w:val="Compact"/>
        <w:numPr>
          <w:ilvl w:val="0"/>
          <w:numId w:val="1016"/>
        </w:numPr>
      </w:pPr>
      <w:r>
        <w:rPr>
          <w:b/>
          <w:bCs/>
        </w:rPr>
        <w:t xml:space="preserve">Query Intent Classification</w:t>
      </w:r>
      <w:r>
        <w:t xml:space="preserve">: Recognition of different analysis types (population health, clinical outcomes, operational metrics)</w:t>
      </w:r>
    </w:p>
    <w:p>
      <w:pPr>
        <w:pStyle w:val="FirstParagraph"/>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66"/>
    <w:bookmarkStart w:id="67" w:name="healthcare-knowledge-portal"/>
    <w:p>
      <w:pPr>
        <w:pStyle w:val="Heading3"/>
      </w:pPr>
      <w:r>
        <w:rPr>
          <w:rStyle w:val="SectionNumber"/>
        </w:rPr>
        <w:t xml:space="preserve">5.2.2</w:t>
      </w:r>
      <w:r>
        <w:tab/>
      </w:r>
      <w:r>
        <w:t xml:space="preserve">Healthcare Knowledge Portal</w:t>
      </w:r>
    </w:p>
    <w:p>
      <w:pPr>
        <w:pStyle w:val="FirstParagraph"/>
      </w:pPr>
      <w:r>
        <w:rPr>
          <w:b/>
          <w:bCs/>
        </w:rPr>
        <w:t xml:space="preserve">Purpose</w:t>
      </w:r>
      <w:r>
        <w:t xml:space="preserve">: Function as an organizational knowledge portal [A25, A26] that captures, encodes, and perpetually maintains analytics expertise independent of individual staff members.</w:t>
      </w:r>
    </w:p>
    <w:p>
      <w:pPr>
        <w:pStyle w:val="BodyText"/>
      </w:pPr>
      <w:r>
        <w:rPr>
          <w:b/>
          <w:bCs/>
        </w:rPr>
        <w:t xml:space="preserve">Knowledge Preservation Mechanisms</w:t>
      </w:r>
      <w:r>
        <w:t xml:space="preserve">:</w:t>
      </w:r>
    </w:p>
    <w:p>
      <w:pPr>
        <w:pStyle w:val="Compact"/>
        <w:numPr>
          <w:ilvl w:val="0"/>
          <w:numId w:val="1017"/>
        </w:numPr>
      </w:pPr>
      <w:r>
        <w:rPr>
          <w:b/>
          <w:bCs/>
        </w:rPr>
        <w:t xml:space="preserve">Usage Pattern Learning</w:t>
      </w:r>
      <w:r>
        <w:t xml:space="preserve">: AI models continuously learn from successful query patterns and analytical approaches</w:t>
      </w:r>
    </w:p>
    <w:p>
      <w:pPr>
        <w:pStyle w:val="Compact"/>
        <w:numPr>
          <w:ilvl w:val="0"/>
          <w:numId w:val="1017"/>
        </w:numPr>
      </w:pPr>
      <w:r>
        <w:rPr>
          <w:b/>
          <w:bCs/>
        </w:rPr>
        <w:t xml:space="preserve">Best Practice Encoding</w:t>
      </w:r>
      <w:r>
        <w:t xml:space="preserve">: Organizational standards and preferred methodologies embedded in response generation</w:t>
      </w:r>
    </w:p>
    <w:p>
      <w:pPr>
        <w:pStyle w:val="Compact"/>
        <w:numPr>
          <w:ilvl w:val="0"/>
          <w:numId w:val="1017"/>
        </w:numPr>
      </w:pPr>
      <w:r>
        <w:rPr>
          <w:b/>
          <w:bCs/>
        </w:rPr>
        <w:t xml:space="preserve">Context Memory</w:t>
      </w:r>
      <w:r>
        <w:t xml:space="preserve">: Retention of organizational data definitions, business rules, and analytical conventions</w:t>
      </w:r>
    </w:p>
    <w:p>
      <w:pPr>
        <w:pStyle w:val="Compact"/>
        <w:numPr>
          <w:ilvl w:val="0"/>
          <w:numId w:val="1017"/>
        </w:numPr>
      </w:pPr>
      <w:r>
        <w:rPr>
          <w:b/>
          <w:bCs/>
        </w:rPr>
        <w:t xml:space="preserve">Expertise Modeling</w:t>
      </w:r>
      <w:r>
        <w:t xml:space="preserve">: Capture of domain expert decision-making patterns and analytical workflows</w:t>
      </w:r>
    </w:p>
    <w:p>
      <w:pPr>
        <w:pStyle w:val="FirstParagraph"/>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67"/>
    <w:bookmarkStart w:id="68" w:name="Xa2495297bdbab3632b8d3927ccc8594347e53d5"/>
    <w:p>
      <w:pPr>
        <w:pStyle w:val="Heading3"/>
      </w:pPr>
      <w:r>
        <w:rPr>
          <w:rStyle w:val="SectionNumber"/>
        </w:rPr>
        <w:t xml:space="preserve">5.2.3</w:t>
      </w:r>
      <w:r>
        <w:tab/>
      </w:r>
      <w:r>
        <w:t xml:space="preserve">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p>
    <w:p>
      <w:pPr>
        <w:pStyle w:val="Compact"/>
        <w:numPr>
          <w:ilvl w:val="0"/>
          <w:numId w:val="1018"/>
        </w:numPr>
      </w:pPr>
      <w:r>
        <w:rPr>
          <w:b/>
          <w:bCs/>
        </w:rPr>
        <w:t xml:space="preserve">Guided Discovery</w:t>
      </w:r>
      <w:r>
        <w:t xml:space="preserve">: AI-assisted exploration of data relationships and analytical opportunities</w:t>
      </w:r>
    </w:p>
    <w:p>
      <w:pPr>
        <w:pStyle w:val="Compact"/>
        <w:numPr>
          <w:ilvl w:val="0"/>
          <w:numId w:val="1018"/>
        </w:numPr>
      </w:pPr>
      <w:r>
        <w:rPr>
          <w:b/>
          <w:bCs/>
        </w:rPr>
        <w:t xml:space="preserve">Self-Service Analytics</w:t>
      </w:r>
      <w:r>
        <w:t xml:space="preserve">: Clinical staff independently performing complex analyses without technical training</w:t>
      </w:r>
    </w:p>
    <w:p>
      <w:pPr>
        <w:pStyle w:val="Compact"/>
        <w:numPr>
          <w:ilvl w:val="0"/>
          <w:numId w:val="1018"/>
        </w:numPr>
      </w:pPr>
      <w:r>
        <w:rPr>
          <w:b/>
          <w:bCs/>
        </w:rPr>
        <w:t xml:space="preserve">Governance Integration</w:t>
      </w:r>
      <w:r>
        <w:t xml:space="preserve">: Automated compliance with organizational data policies and access controls</w:t>
      </w:r>
    </w:p>
    <w:p>
      <w:pPr>
        <w:pStyle w:val="Compact"/>
        <w:numPr>
          <w:ilvl w:val="0"/>
          <w:numId w:val="1018"/>
        </w:numPr>
      </w:pPr>
      <w:r>
        <w:rPr>
          <w:b/>
          <w:bCs/>
        </w:rPr>
        <w:t xml:space="preserve">Capability Building</w:t>
      </w:r>
      <w:r>
        <w:t xml:space="preserve">: Progressive skill development through intelligent tutoring and suggestion systems</w:t>
      </w:r>
    </w:p>
    <w:p>
      <w:pPr>
        <w:pStyle w:val="FirstParagraph"/>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68"/>
    <w:bookmarkStart w:id="69" w:name="X6c4476cdfb063e88453122afb5beff1c7a74592"/>
    <w:p>
      <w:pPr>
        <w:pStyle w:val="Heading3"/>
      </w:pPr>
      <w:r>
        <w:rPr>
          <w:rStyle w:val="SectionNumber"/>
        </w:rPr>
        <w:t xml:space="preserve">5.2.4</w:t>
      </w:r>
      <w:r>
        <w:tab/>
      </w:r>
      <w:r>
        <w:t xml:space="preserve">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p>
    <w:p>
      <w:pPr>
        <w:pStyle w:val="Compact"/>
        <w:numPr>
          <w:ilvl w:val="0"/>
          <w:numId w:val="1019"/>
        </w:numPr>
      </w:pPr>
      <w:r>
        <w:rPr>
          <w:b/>
          <w:bCs/>
        </w:rPr>
        <w:t xml:space="preserve">Schema-Aware Generation</w:t>
      </w:r>
      <w:r>
        <w:t xml:space="preserve">: Deep understanding of healthcare data warehouse structures and relationships</w:t>
      </w:r>
    </w:p>
    <w:p>
      <w:pPr>
        <w:pStyle w:val="Compact"/>
        <w:numPr>
          <w:ilvl w:val="0"/>
          <w:numId w:val="1019"/>
        </w:numPr>
      </w:pPr>
      <w:r>
        <w:rPr>
          <w:b/>
          <w:bCs/>
        </w:rPr>
        <w:t xml:space="preserve">Performance Optimization</w:t>
      </w:r>
      <w:r>
        <w:t xml:space="preserve">: Query efficiency optimization for large healthcare datasets</w:t>
      </w:r>
    </w:p>
    <w:p>
      <w:pPr>
        <w:pStyle w:val="Compact"/>
        <w:numPr>
          <w:ilvl w:val="0"/>
          <w:numId w:val="1019"/>
        </w:numPr>
      </w:pPr>
      <w:r>
        <w:rPr>
          <w:b/>
          <w:bCs/>
        </w:rPr>
        <w:t xml:space="preserve">Error Detection and Correction</w:t>
      </w:r>
      <w:r>
        <w:t xml:space="preserve">: Intelligent validation and suggestion of query improvements</w:t>
      </w:r>
    </w:p>
    <w:p>
      <w:pPr>
        <w:pStyle w:val="Compact"/>
        <w:numPr>
          <w:ilvl w:val="0"/>
          <w:numId w:val="1019"/>
        </w:numPr>
      </w:pPr>
      <w:r>
        <w:rPr>
          <w:b/>
          <w:bCs/>
        </w:rPr>
        <w:t xml:space="preserve">Multi-Step Analysis Support</w:t>
      </w:r>
      <w:r>
        <w:t xml:space="preserve">: Complex analytical workflows requiring multiple query steps</w:t>
      </w:r>
    </w:p>
    <w:p>
      <w:pPr>
        <w:pStyle w:val="FirstParagraph"/>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69"/>
    <w:bookmarkEnd w:id="70"/>
    <w:bookmarkStart w:id="74" w:name="implementation-framework"/>
    <w:p>
      <w:pPr>
        <w:pStyle w:val="Heading2"/>
      </w:pPr>
      <w:r>
        <w:rPr>
          <w:rStyle w:val="SectionNumber"/>
        </w:rPr>
        <w:t xml:space="preserve">5.3</w:t>
      </w:r>
      <w:r>
        <w:tab/>
      </w:r>
      <w:r>
        <w:t xml:space="preserve">Implementation Framework</w:t>
      </w:r>
    </w:p>
    <w:bookmarkStart w:id="71" w:name="foundation-and-integration-months-1-3"/>
    <w:p>
      <w:pPr>
        <w:pStyle w:val="Heading3"/>
      </w:pPr>
      <w:r>
        <w:rPr>
          <w:rStyle w:val="SectionNumber"/>
        </w:rPr>
        <w:t xml:space="preserve">5.3.1</w:t>
      </w:r>
      <w:r>
        <w:tab/>
      </w:r>
      <w:r>
        <w:t xml:space="preserve">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p>
    <w:p>
      <w:pPr>
        <w:pStyle w:val="Compact"/>
        <w:numPr>
          <w:ilvl w:val="0"/>
          <w:numId w:val="1020"/>
        </w:numPr>
      </w:pPr>
      <w:r>
        <w:t xml:space="preserve">Healthcare data warehouse connectivity and schema mapping</w:t>
      </w:r>
    </w:p>
    <w:p>
      <w:pPr>
        <w:pStyle w:val="Compact"/>
        <w:numPr>
          <w:ilvl w:val="0"/>
          <w:numId w:val="1020"/>
        </w:numPr>
      </w:pPr>
      <w:r>
        <w:t xml:space="preserve">Integration with electronic health record systems and clinical data repositories</w:t>
      </w:r>
    </w:p>
    <w:p>
      <w:pPr>
        <w:pStyle w:val="Compact"/>
        <w:numPr>
          <w:ilvl w:val="0"/>
          <w:numId w:val="1020"/>
        </w:numPr>
      </w:pPr>
      <w:r>
        <w:t xml:space="preserve">Implementation of healthcare terminology vocabularies (ICD-10, CPT, SNOMED)</w:t>
      </w:r>
    </w:p>
    <w:p>
      <w:pPr>
        <w:pStyle w:val="Compact"/>
        <w:numPr>
          <w:ilvl w:val="0"/>
          <w:numId w:val="1020"/>
        </w:numPr>
      </w:pPr>
      <w:r>
        <w:t xml:space="preserve">Basic natural language processing capability deployment</w:t>
      </w:r>
    </w:p>
    <w:p>
      <w:pPr>
        <w:pStyle w:val="Compact"/>
        <w:numPr>
          <w:ilvl w:val="0"/>
          <w:numId w:val="1020"/>
        </w:numPr>
      </w:pPr>
      <w:r>
        <w:t xml:space="preserve">User authentication and access control integration</w:t>
      </w:r>
    </w:p>
    <w:p>
      <w:pPr>
        <w:pStyle w:val="FirstParagraph"/>
      </w:pPr>
      <w:r>
        <w:rPr>
          <w:b/>
          <w:bCs/>
        </w:rPr>
        <w:t xml:space="preserve">Success Metrics</w:t>
      </w:r>
      <w:r>
        <w:t xml:space="preserve">:</w:t>
      </w:r>
    </w:p>
    <w:p>
      <w:pPr>
        <w:pStyle w:val="Compact"/>
        <w:numPr>
          <w:ilvl w:val="0"/>
          <w:numId w:val="1021"/>
        </w:numPr>
      </w:pPr>
      <w:r>
        <w:t xml:space="preserve">Successful connectivity to organizational data sources</w:t>
      </w:r>
    </w:p>
    <w:p>
      <w:pPr>
        <w:pStyle w:val="Compact"/>
        <w:numPr>
          <w:ilvl w:val="0"/>
          <w:numId w:val="1021"/>
        </w:numPr>
      </w:pPr>
      <w:r>
        <w:t xml:space="preserve">Accurate interpretation of basic clinical terminology</w:t>
      </w:r>
    </w:p>
    <w:p>
      <w:pPr>
        <w:pStyle w:val="Compact"/>
        <w:numPr>
          <w:ilvl w:val="0"/>
          <w:numId w:val="1021"/>
        </w:numPr>
      </w:pPr>
      <w:r>
        <w:t xml:space="preserve">Compliance with healthcare data governance policies</w:t>
      </w:r>
    </w:p>
    <w:p>
      <w:pPr>
        <w:pStyle w:val="Compact"/>
        <w:numPr>
          <w:ilvl w:val="0"/>
          <w:numId w:val="1021"/>
        </w:numPr>
      </w:pPr>
      <w:r>
        <w:t xml:space="preserve">User authentication and role-based access functioning</w:t>
      </w:r>
    </w:p>
    <w:bookmarkEnd w:id="71"/>
    <w:bookmarkStart w:id="72" w:name="Xc39c9330ce349e8d811193f325f59433390951c"/>
    <w:p>
      <w:pPr>
        <w:pStyle w:val="Heading3"/>
      </w:pPr>
      <w:r>
        <w:rPr>
          <w:rStyle w:val="SectionNumber"/>
        </w:rPr>
        <w:t xml:space="preserve">5.3.2</w:t>
      </w:r>
      <w:r>
        <w:tab/>
      </w:r>
      <w:r>
        <w:t xml:space="preserve">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p>
    <w:p>
      <w:pPr>
        <w:pStyle w:val="Compact"/>
        <w:numPr>
          <w:ilvl w:val="0"/>
          <w:numId w:val="1022"/>
        </w:numPr>
      </w:pPr>
      <w:r>
        <w:t xml:space="preserve">Deployment with limited user groups (data analysts, clinical informatics staff)</w:t>
      </w:r>
    </w:p>
    <w:p>
      <w:pPr>
        <w:pStyle w:val="Compact"/>
        <w:numPr>
          <w:ilvl w:val="0"/>
          <w:numId w:val="1022"/>
        </w:numPr>
      </w:pPr>
      <w:r>
        <w:t xml:space="preserve">Capture of organizational data definitions and business rules</w:t>
      </w:r>
    </w:p>
    <w:p>
      <w:pPr>
        <w:pStyle w:val="Compact"/>
        <w:numPr>
          <w:ilvl w:val="0"/>
          <w:numId w:val="1022"/>
        </w:numPr>
      </w:pPr>
      <w:r>
        <w:t xml:space="preserve">Learning from existing analytical patterns and reporting requirements</w:t>
      </w:r>
    </w:p>
    <w:p>
      <w:pPr>
        <w:pStyle w:val="Compact"/>
        <w:numPr>
          <w:ilvl w:val="0"/>
          <w:numId w:val="1022"/>
        </w:numPr>
      </w:pPr>
      <w:r>
        <w:t xml:space="preserve">Development of organization-specific query templates and best practices</w:t>
      </w:r>
    </w:p>
    <w:p>
      <w:pPr>
        <w:pStyle w:val="Compact"/>
        <w:numPr>
          <w:ilvl w:val="0"/>
          <w:numId w:val="1022"/>
        </w:numPr>
      </w:pPr>
      <w:r>
        <w:t xml:space="preserve">Integration of domain expert feedback and corrections</w:t>
      </w:r>
    </w:p>
    <w:p>
      <w:pPr>
        <w:pStyle w:val="FirstParagraph"/>
      </w:pPr>
      <w:r>
        <w:rPr>
          <w:b/>
          <w:bCs/>
        </w:rPr>
        <w:t xml:space="preserve">Success Metrics</w:t>
      </w:r>
      <w:r>
        <w:t xml:space="preserve">:</w:t>
      </w:r>
    </w:p>
    <w:p>
      <w:pPr>
        <w:pStyle w:val="Compact"/>
        <w:numPr>
          <w:ilvl w:val="0"/>
          <w:numId w:val="1023"/>
        </w:numPr>
      </w:pPr>
      <w:r>
        <w:t xml:space="preserve">80% accuracy in interpreting organizational data requests</w:t>
      </w:r>
    </w:p>
    <w:p>
      <w:pPr>
        <w:pStyle w:val="Compact"/>
        <w:numPr>
          <w:ilvl w:val="0"/>
          <w:numId w:val="1023"/>
        </w:numPr>
      </w:pPr>
      <w:r>
        <w:t xml:space="preserve">Successful capture of existing analytical workflows</w:t>
      </w:r>
    </w:p>
    <w:p>
      <w:pPr>
        <w:pStyle w:val="Compact"/>
        <w:numPr>
          <w:ilvl w:val="0"/>
          <w:numId w:val="1023"/>
        </w:numPr>
      </w:pPr>
      <w:r>
        <w:t xml:space="preserve">Positive user feedback from limited deployment groups</w:t>
      </w:r>
    </w:p>
    <w:p>
      <w:pPr>
        <w:pStyle w:val="Compact"/>
        <w:numPr>
          <w:ilvl w:val="0"/>
          <w:numId w:val="1023"/>
        </w:numPr>
      </w:pPr>
      <w:r>
        <w:t xml:space="preserve">Establishment of continuous learning feedback loops</w:t>
      </w:r>
    </w:p>
    <w:bookmarkEnd w:id="72"/>
    <w:bookmarkStart w:id="73" w:name="democratization-and-scale-months-7-12"/>
    <w:p>
      <w:pPr>
        <w:pStyle w:val="Heading3"/>
      </w:pPr>
      <w:r>
        <w:rPr>
          <w:rStyle w:val="SectionNumber"/>
        </w:rPr>
        <w:t xml:space="preserve">5.3.3</w:t>
      </w:r>
      <w:r>
        <w:tab/>
      </w:r>
      <w:r>
        <w:t xml:space="preserve">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p>
    <w:p>
      <w:pPr>
        <w:pStyle w:val="Compact"/>
        <w:numPr>
          <w:ilvl w:val="0"/>
          <w:numId w:val="1024"/>
        </w:numPr>
      </w:pPr>
      <w:r>
        <w:t xml:space="preserve">Broader deployment to clinical departments and operational teams</w:t>
      </w:r>
    </w:p>
    <w:p>
      <w:pPr>
        <w:pStyle w:val="Compact"/>
        <w:numPr>
          <w:ilvl w:val="0"/>
          <w:numId w:val="1024"/>
        </w:numPr>
      </w:pPr>
      <w:r>
        <w:t xml:space="preserve">Advanced analytical capability development (predictive analytics, population health)</w:t>
      </w:r>
    </w:p>
    <w:p>
      <w:pPr>
        <w:pStyle w:val="Compact"/>
        <w:numPr>
          <w:ilvl w:val="0"/>
          <w:numId w:val="1024"/>
        </w:numPr>
      </w:pPr>
      <w:r>
        <w:t xml:space="preserve">Self-service analytics enablement for non-technical users</w:t>
      </w:r>
    </w:p>
    <w:p>
      <w:pPr>
        <w:pStyle w:val="Compact"/>
        <w:numPr>
          <w:ilvl w:val="0"/>
          <w:numId w:val="1024"/>
        </w:numPr>
      </w:pPr>
      <w:r>
        <w:t xml:space="preserve">Advanced visualization and reporting capability implementation</w:t>
      </w:r>
    </w:p>
    <w:p>
      <w:pPr>
        <w:pStyle w:val="Compact"/>
        <w:numPr>
          <w:ilvl w:val="0"/>
          <w:numId w:val="1024"/>
        </w:numPr>
      </w:pPr>
      <w:r>
        <w:t xml:space="preserve">Organizational change management and training programs</w:t>
      </w:r>
    </w:p>
    <w:p>
      <w:pPr>
        <w:pStyle w:val="FirstParagraph"/>
      </w:pPr>
      <w:r>
        <w:rPr>
          <w:b/>
          <w:bCs/>
        </w:rPr>
        <w:t xml:space="preserve">Success Metrics</w:t>
      </w:r>
      <w:r>
        <w:t xml:space="preserve">:</w:t>
      </w:r>
    </w:p>
    <w:p>
      <w:pPr>
        <w:pStyle w:val="Compact"/>
        <w:numPr>
          <w:ilvl w:val="0"/>
          <w:numId w:val="1025"/>
        </w:numPr>
      </w:pPr>
      <w:r>
        <w:t xml:space="preserve">Significant reduction in time-to-insight for clinical users</w:t>
      </w:r>
    </w:p>
    <w:p>
      <w:pPr>
        <w:pStyle w:val="Compact"/>
        <w:numPr>
          <w:ilvl w:val="0"/>
          <w:numId w:val="1025"/>
        </w:numPr>
      </w:pPr>
      <w:r>
        <w:t xml:space="preserve">Substantial reduction in query development time</w:t>
      </w:r>
    </w:p>
    <w:p>
      <w:pPr>
        <w:pStyle w:val="Compact"/>
        <w:numPr>
          <w:ilvl w:val="0"/>
          <w:numId w:val="1025"/>
        </w:numPr>
      </w:pPr>
      <w:r>
        <w:t xml:space="preserve">High success rate for clinical users completing analyses independently</w:t>
      </w:r>
    </w:p>
    <w:p>
      <w:pPr>
        <w:pStyle w:val="Compact"/>
        <w:numPr>
          <w:ilvl w:val="0"/>
          <w:numId w:val="1025"/>
        </w:numPr>
      </w:pPr>
      <w:r>
        <w:t xml:space="preserve">Measurable advancement in HIMSS AMAM maturity assessment [I1]</w:t>
      </w:r>
    </w:p>
    <w:bookmarkEnd w:id="73"/>
    <w:bookmarkEnd w:id="74"/>
    <w:bookmarkStart w:id="78" w:name="risk-mitigation-and-quality-assurance"/>
    <w:p>
      <w:pPr>
        <w:pStyle w:val="Heading2"/>
      </w:pPr>
      <w:r>
        <w:rPr>
          <w:rStyle w:val="SectionNumber"/>
        </w:rPr>
        <w:t xml:space="preserve">5.4</w:t>
      </w:r>
      <w:r>
        <w:tab/>
      </w:r>
      <w:r>
        <w:t xml:space="preserve">Risk Mitigation and Quality Assurance</w:t>
      </w:r>
    </w:p>
    <w:bookmarkStart w:id="75" w:name="data-quality-and-accuracy"/>
    <w:p>
      <w:pPr>
        <w:pStyle w:val="Heading3"/>
      </w:pPr>
      <w:r>
        <w:rPr>
          <w:rStyle w:val="SectionNumber"/>
        </w:rPr>
        <w:t xml:space="preserve">5.4.1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p>
    <w:p>
      <w:pPr>
        <w:pStyle w:val="Compact"/>
        <w:numPr>
          <w:ilvl w:val="0"/>
          <w:numId w:val="1026"/>
        </w:numPr>
      </w:pPr>
      <w:r>
        <w:t xml:space="preserve">Multi-layer validation including semantic checking, statistical validation, and clinical review</w:t>
      </w:r>
    </w:p>
    <w:p>
      <w:pPr>
        <w:pStyle w:val="Compact"/>
        <w:numPr>
          <w:ilvl w:val="0"/>
          <w:numId w:val="1026"/>
        </w:numPr>
      </w:pPr>
      <w:r>
        <w:t xml:space="preserve">Confidence scoring for AI-generated queries with human review thresholds</w:t>
      </w:r>
    </w:p>
    <w:p>
      <w:pPr>
        <w:pStyle w:val="Compact"/>
        <w:numPr>
          <w:ilvl w:val="0"/>
          <w:numId w:val="1026"/>
        </w:numPr>
      </w:pPr>
      <w:r>
        <w:t xml:space="preserve">Audit trails for all analytical outputs enabling traceability and verification</w:t>
      </w:r>
    </w:p>
    <w:p>
      <w:pPr>
        <w:pStyle w:val="Compact"/>
        <w:numPr>
          <w:ilvl w:val="0"/>
          <w:numId w:val="1026"/>
        </w:numPr>
      </w:pPr>
      <w:r>
        <w:t xml:space="preserve">Integration with clinical decision support systems for context validation</w:t>
      </w:r>
    </w:p>
    <w:bookmarkEnd w:id="75"/>
    <w:bookmarkStart w:id="76" w:name="change-management-and-adoption"/>
    <w:p>
      <w:pPr>
        <w:pStyle w:val="Heading3"/>
      </w:pPr>
      <w:r>
        <w:rPr>
          <w:rStyle w:val="SectionNumber"/>
        </w:rPr>
        <w:t xml:space="preserve">5.4.2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p>
    <w:p>
      <w:pPr>
        <w:pStyle w:val="Compact"/>
        <w:numPr>
          <w:ilvl w:val="0"/>
          <w:numId w:val="1027"/>
        </w:numPr>
      </w:pPr>
      <w:r>
        <w:t xml:space="preserve">Gradual deployment beginning with analytics-savvy early adopters</w:t>
      </w:r>
    </w:p>
    <w:p>
      <w:pPr>
        <w:pStyle w:val="Compact"/>
        <w:numPr>
          <w:ilvl w:val="0"/>
          <w:numId w:val="1027"/>
        </w:numPr>
      </w:pPr>
      <w:r>
        <w:t xml:space="preserve">Comprehensive training programs tailored to clinical workflows</w:t>
      </w:r>
    </w:p>
    <w:p>
      <w:pPr>
        <w:pStyle w:val="Compact"/>
        <w:numPr>
          <w:ilvl w:val="0"/>
          <w:numId w:val="1027"/>
        </w:numPr>
      </w:pPr>
      <w:r>
        <w:t xml:space="preserve">Champions program utilizing domain experts as internal advocates</w:t>
      </w:r>
    </w:p>
    <w:p>
      <w:pPr>
        <w:pStyle w:val="Compact"/>
        <w:numPr>
          <w:ilvl w:val="0"/>
          <w:numId w:val="1027"/>
        </w:numPr>
      </w:pPr>
      <w:r>
        <w:t xml:space="preserve">Demonstration of quick wins and tangible value through pilot projects</w:t>
      </w:r>
    </w:p>
    <w:bookmarkEnd w:id="76"/>
    <w:bookmarkStart w:id="77" w:name="regulatory-compliance-and-security"/>
    <w:p>
      <w:pPr>
        <w:pStyle w:val="Heading3"/>
      </w:pPr>
      <w:r>
        <w:rPr>
          <w:rStyle w:val="SectionNumber"/>
        </w:rPr>
        <w:t xml:space="preserve">5.4.3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p>
    <w:p>
      <w:pPr>
        <w:pStyle w:val="Compact"/>
        <w:numPr>
          <w:ilvl w:val="0"/>
          <w:numId w:val="1028"/>
        </w:numPr>
      </w:pPr>
      <w:r>
        <w:t xml:space="preserve">Role-based access controls integrated with existing identity management systems</w:t>
      </w:r>
    </w:p>
    <w:p>
      <w:pPr>
        <w:pStyle w:val="Compact"/>
        <w:numPr>
          <w:ilvl w:val="0"/>
          <w:numId w:val="1028"/>
        </w:numPr>
      </w:pPr>
      <w:r>
        <w:t xml:space="preserve">Audit logging of all data access and analytical activities</w:t>
      </w:r>
    </w:p>
    <w:p>
      <w:pPr>
        <w:pStyle w:val="Compact"/>
        <w:numPr>
          <w:ilvl w:val="0"/>
          <w:numId w:val="1028"/>
        </w:numPr>
      </w:pPr>
      <w:r>
        <w:t xml:space="preserve">Data de-identification and anonymization capabilities for research and training</w:t>
      </w:r>
    </w:p>
    <w:p>
      <w:pPr>
        <w:pStyle w:val="Compact"/>
        <w:numPr>
          <w:ilvl w:val="0"/>
          <w:numId w:val="1028"/>
        </w:numPr>
      </w:pPr>
      <w:r>
        <w:t xml:space="preserve">Regular security assessments and compliance validation</w:t>
      </w:r>
    </w:p>
    <w:bookmarkEnd w:id="77"/>
    <w:bookmarkEnd w:id="78"/>
    <w:bookmarkEnd w:id="79"/>
    <w:bookmarkStart w:id="90" w:name="X66cabc236ae7269b8de9ac30399e4499b840a55"/>
    <w:p>
      <w:pPr>
        <w:pStyle w:val="Heading1"/>
      </w:pPr>
      <w:r>
        <w:rPr>
          <w:rStyle w:val="SectionNumber"/>
        </w:rPr>
        <w:t xml:space="preserve">6</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84" w:name="academic-study-results"/>
    <w:p>
      <w:pPr>
        <w:pStyle w:val="Heading2"/>
      </w:pPr>
      <w:r>
        <w:rPr>
          <w:rStyle w:val="SectionNumber"/>
        </w:rPr>
        <w:t xml:space="preserve">6.1</w:t>
      </w:r>
      <w:r>
        <w:tab/>
      </w:r>
      <w:r>
        <w:t xml:space="preserve">Academic Study Results</w:t>
      </w:r>
    </w:p>
    <w:bookmarkStart w:id="80" w:name="llm-benchmarking-in-healthcare"/>
    <w:p>
      <w:pPr>
        <w:pStyle w:val="Heading3"/>
      </w:pPr>
      <w:r>
        <w:rPr>
          <w:rStyle w:val="SectionNumber"/>
        </w:rPr>
        <w:t xml:space="preserve">6.1.1</w:t>
      </w:r>
      <w:r>
        <w:tab/>
      </w:r>
      <w:r>
        <w:t xml:space="preserve">LLM Benchmarking in Healthcare</w:t>
      </w:r>
    </w:p>
    <w:p>
      <w:pPr>
        <w:pStyle w:val="FirstParagraph"/>
      </w:pPr>
      <w:r>
        <w:t xml:space="preserve">Recent benchmarking studies provide empirical validation of AI capabilities in healthcare settings. The MedAgentBench study [A8]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[A9]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80"/>
    <w:bookmarkStart w:id="81" w:name="healthcare-text-to-sql-benchmarks"/>
    <w:p>
      <w:pPr>
        <w:pStyle w:val="Heading3"/>
      </w:pPr>
      <w:r>
        <w:rPr>
          <w:rStyle w:val="SectionNumber"/>
        </w:rPr>
        <w:t xml:space="preserve">6.1.2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81"/>
    <w:bookmarkStart w:id="82" w:name="rag-for-healthcare-queries"/>
    <w:p>
      <w:pPr>
        <w:pStyle w:val="Heading3"/>
      </w:pPr>
      <w:r>
        <w:rPr>
          <w:rStyle w:val="SectionNumber"/>
        </w:rPr>
        <w:t xml:space="preserve">6.1.3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82"/>
    <w:bookmarkStart w:id="83" w:name="nlp-in-healthcare"/>
    <w:p>
      <w:pPr>
        <w:pStyle w:val="Heading3"/>
      </w:pPr>
      <w:r>
        <w:rPr>
          <w:rStyle w:val="SectionNumber"/>
        </w:rPr>
        <w:t xml:space="preserve">6.1.4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83"/>
    <w:bookmarkEnd w:id="84"/>
    <w:bookmarkStart w:id="86" w:name="real-world-case-studies"/>
    <w:p>
      <w:pPr>
        <w:pStyle w:val="Heading2"/>
      </w:pPr>
      <w:r>
        <w:rPr>
          <w:rStyle w:val="SectionNumber"/>
        </w:rPr>
        <w:t xml:space="preserve">6.2</w:t>
      </w:r>
      <w:r>
        <w:tab/>
      </w:r>
      <w:r>
        <w:t xml:space="preserve">Real-World Case Studies</w:t>
      </w:r>
    </w:p>
    <w:bookmarkStart w:id="85" w:name="berkshire-healthcare-nhs-trust"/>
    <w:p>
      <w:pPr>
        <w:pStyle w:val="Heading3"/>
      </w:pPr>
      <w:r>
        <w:rPr>
          <w:rStyle w:val="SectionNumber"/>
        </w:rPr>
        <w:t xml:space="preserve">6.2.1</w:t>
      </w:r>
      <w:r>
        <w:tab/>
      </w:r>
      <w:r>
        <w:t xml:space="preserve">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p>
    <w:p>
      <w:pPr>
        <w:pStyle w:val="Compact"/>
        <w:numPr>
          <w:ilvl w:val="0"/>
          <w:numId w:val="1029"/>
        </w:numPr>
      </w:pPr>
      <w:r>
        <w:rPr>
          <w:b/>
          <w:bCs/>
        </w:rPr>
        <w:t xml:space="preserve">Platform</w:t>
      </w:r>
      <w:r>
        <w:t xml:space="preserve">: Microsoft Power Platform (low-code)</w:t>
      </w:r>
    </w:p>
    <w:p>
      <w:pPr>
        <w:pStyle w:val="Compact"/>
        <w:numPr>
          <w:ilvl w:val="0"/>
          <w:numId w:val="1029"/>
        </w:numPr>
      </w:pP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p>
    <w:p>
      <w:pPr>
        <w:pStyle w:val="Compact"/>
        <w:numPr>
          <w:ilvl w:val="0"/>
          <w:numId w:val="1029"/>
        </w:numPr>
      </w:pPr>
      <w:r>
        <w:rPr>
          <w:b/>
          <w:bCs/>
        </w:rPr>
        <w:t xml:space="preserve">Training</w:t>
      </w:r>
      <w:r>
        <w:t xml:space="preserve">: Structured citizen developer programme</w:t>
      </w:r>
    </w:p>
    <w:p>
      <w:pPr>
        <w:pStyle w:val="FirstParagraph"/>
      </w:pPr>
      <w:r>
        <w:rPr>
          <w:b/>
          <w:bCs/>
        </w:rPr>
        <w:t xml:space="preserve">Outcomes</w:t>
      </w:r>
      <w:r>
        <w:t xml:space="preserve">:</w:t>
      </w:r>
    </w:p>
    <w:p>
      <w:pPr>
        <w:pStyle w:val="Compact"/>
        <w:numPr>
          <w:ilvl w:val="0"/>
          <w:numId w:val="1030"/>
        </w:numPr>
      </w:pPr>
      <w:r>
        <w:t xml:space="preserve">Healthcare professionals without IT expertise now create custom solutions and apps</w:t>
      </w:r>
    </w:p>
    <w:p>
      <w:pPr>
        <w:pStyle w:val="Compact"/>
        <w:numPr>
          <w:ilvl w:val="0"/>
          <w:numId w:val="1030"/>
        </w:numPr>
      </w:pPr>
      <w:r>
        <w:t xml:space="preserve">Streamlined operations and enabled data-driven decisions</w:t>
      </w:r>
    </w:p>
    <w:p>
      <w:pPr>
        <w:pStyle w:val="Compact"/>
        <w:numPr>
          <w:ilvl w:val="0"/>
          <w:numId w:val="1030"/>
        </w:numPr>
      </w:pPr>
      <w:r>
        <w:t xml:space="preserve">Over 65,000 observations recorded through Power Apps in patient wards</w:t>
      </w:r>
    </w:p>
    <w:p>
      <w:pPr>
        <w:pStyle w:val="Compact"/>
        <w:numPr>
          <w:ilvl w:val="0"/>
          <w:numId w:val="1030"/>
        </w:numPr>
      </w:pPr>
      <w:r>
        <w:t xml:space="preserve">Significant improvement in data accuracy and time given back to clinical service</w:t>
      </w:r>
    </w:p>
    <w:p>
      <w:pPr>
        <w:pStyle w:val="Compact"/>
        <w:numPr>
          <w:ilvl w:val="0"/>
          <w:numId w:val="1030"/>
        </w:numPr>
      </w:pPr>
      <w:r>
        <w:t xml:space="preserve">Backlog of 100+ processes submitted for automation</w:t>
      </w:r>
    </w:p>
    <w:p>
      <w:pPr>
        <w:pStyle w:val="FirstParagraph"/>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85"/>
    <w:bookmarkEnd w:id="86"/>
    <w:bookmarkStart w:id="89" w:name="economic-impact-analysis"/>
    <w:p>
      <w:pPr>
        <w:pStyle w:val="Heading2"/>
      </w:pPr>
      <w:r>
        <w:rPr>
          <w:rStyle w:val="SectionNumber"/>
        </w:rPr>
        <w:t xml:space="preserve">6.3</w:t>
      </w:r>
      <w:r>
        <w:tab/>
      </w:r>
      <w:r>
        <w:t xml:space="preserve">Economic Impact Analysis</w:t>
      </w:r>
    </w:p>
    <w:bookmarkStart w:id="87" w:name="return-on-investment-evidence-1"/>
    <w:p>
      <w:pPr>
        <w:pStyle w:val="Heading3"/>
      </w:pPr>
      <w:r>
        <w:rPr>
          <w:rStyle w:val="SectionNumber"/>
        </w:rPr>
        <w:t xml:space="preserve">6.3.1</w:t>
      </w:r>
      <w:r>
        <w:tab/>
      </w:r>
      <w:r>
        <w:t xml:space="preserve">Return on Investment Evidence</w:t>
      </w:r>
    </w:p>
    <w:p>
      <w:pPr>
        <w:pStyle w:val="FirstParagraph"/>
      </w:pPr>
      <w:r>
        <w:t xml:space="preserve">Academic research provides evidence for the financial benefits of low-code and conversational AI platforms in healthcare:</w:t>
      </w:r>
    </w:p>
    <w:p>
      <w:pPr>
        <w:pStyle w:val="Compact"/>
        <w:numPr>
          <w:ilvl w:val="0"/>
          <w:numId w:val="1031"/>
        </w:numPr>
      </w:pPr>
      <w:r>
        <w:rPr>
          <w:b/>
          <w:bCs/>
        </w:rPr>
        <w:t xml:space="preserve">Operational Efficiency</w:t>
      </w:r>
      <w:r>
        <w:t xml:space="preserve">: Jiao et al. [A20] found AI adoption leads to cost savings through improved service delivery and shorter hospitalization lengths</w:t>
      </w:r>
    </w:p>
    <w:p>
      <w:pPr>
        <w:pStyle w:val="Compact"/>
        <w:numPr>
          <w:ilvl w:val="0"/>
          <w:numId w:val="1031"/>
        </w:numPr>
      </w:pPr>
      <w:r>
        <w:rPr>
          <w:b/>
          <w:bCs/>
        </w:rPr>
        <w:t xml:space="preserve">Revenue Cycle Improvements</w:t>
      </w:r>
      <w:r>
        <w:t xml:space="preserve">: Pennington [A22] documented payment cycle acceleration from 90 to 40 days with AI implementation</w:t>
      </w:r>
    </w:p>
    <w:p>
      <w:pPr>
        <w:pStyle w:val="Compact"/>
        <w:numPr>
          <w:ilvl w:val="0"/>
          <w:numId w:val="1031"/>
        </w:numPr>
      </w:pPr>
      <w:r>
        <w:rPr>
          <w:b/>
          <w:bCs/>
        </w:rPr>
        <w:t xml:space="preserve">Reduced Overhead</w:t>
      </w:r>
      <w:r>
        <w:t xml:space="preserve">: Sezgin et al. [A19] demonstrated chatbot implementations that reduce clinic administrative burden</w:t>
      </w:r>
    </w:p>
    <w:p>
      <w:pPr>
        <w:pStyle w:val="Compact"/>
        <w:numPr>
          <w:ilvl w:val="0"/>
          <w:numId w:val="1031"/>
        </w:numPr>
      </w:pPr>
      <w:r>
        <w:rPr>
          <w:b/>
          <w:bCs/>
        </w:rPr>
        <w:t xml:space="preserve">Workflow Optimization</w:t>
      </w:r>
      <w:r>
        <w:t xml:space="preserve">: Dai and Abramoff [A21] showed AI enables affordable predictions that prevent costly interventions</w:t>
      </w:r>
    </w:p>
    <w:p>
      <w:pPr>
        <w:pStyle w:val="FirstParagraph"/>
      </w:pPr>
      <w:r>
        <w:t xml:space="preserve">Industry-sponsored research from Forrester [I5] projects 206% three-year ROI and $31.0 million NPV for Power Platform implementations, though these figures should be interpreted cautiously given vendor sponsorship. Healthcare implementations may show lower returns than other industries due to regulatory compliance requirements.</w:t>
      </w:r>
    </w:p>
    <w:bookmarkEnd w:id="87"/>
    <w:bookmarkStart w:id="88" w:name="market-validation-and-growth"/>
    <w:p>
      <w:pPr>
        <w:pStyle w:val="Heading3"/>
      </w:pPr>
      <w:r>
        <w:rPr>
          <w:rStyle w:val="SectionNumber"/>
        </w:rPr>
        <w:t xml:space="preserve">6.3.2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p>
    <w:p>
      <w:pPr>
        <w:pStyle w:val="Compact"/>
        <w:numPr>
          <w:ilvl w:val="0"/>
          <w:numId w:val="1032"/>
        </w:numPr>
      </w:pPr>
      <w:r>
        <w:rPr>
          <w:b/>
          <w:bCs/>
        </w:rPr>
        <w:t xml:space="preserve">Current Market</w:t>
      </w:r>
      <w:r>
        <w:t xml:space="preserve">: $64.49 billion (2025) healthcare analytics market</w:t>
      </w:r>
    </w:p>
    <w:p>
      <w:pPr>
        <w:pStyle w:val="Compact"/>
        <w:numPr>
          <w:ilvl w:val="0"/>
          <w:numId w:val="1032"/>
        </w:numPr>
      </w:pPr>
      <w:r>
        <w:rPr>
          <w:b/>
          <w:bCs/>
        </w:rPr>
        <w:t xml:space="preserve">Projected Growth</w:t>
      </w:r>
      <w:r>
        <w:t xml:space="preserve">: $369.66 billion by 2034</w:t>
      </w:r>
    </w:p>
    <w:p>
      <w:pPr>
        <w:pStyle w:val="Compact"/>
        <w:numPr>
          <w:ilvl w:val="0"/>
          <w:numId w:val="1032"/>
        </w:numPr>
      </w:pPr>
      <w:r>
        <w:rPr>
          <w:b/>
          <w:bCs/>
        </w:rPr>
        <w:t xml:space="preserve">CAGR</w:t>
      </w:r>
      <w:r>
        <w:t xml:space="preserve">: 21.41% from 2025 to 2034</w:t>
      </w:r>
    </w:p>
    <w:p>
      <w:pPr>
        <w:pStyle w:val="Compact"/>
        <w:numPr>
          <w:ilvl w:val="0"/>
          <w:numId w:val="1032"/>
        </w:numPr>
      </w:pPr>
      <w:r>
        <w:rPr>
          <w:b/>
          <w:bCs/>
        </w:rPr>
        <w:t xml:space="preserve">North America Share</w:t>
      </w:r>
      <w:r>
        <w:t xml:space="preserve">: 48.62% of market in 2024</w:t>
      </w:r>
    </w:p>
    <w:p>
      <w:pPr>
        <w:pStyle w:val="Compact"/>
        <w:numPr>
          <w:ilvl w:val="0"/>
          <w:numId w:val="1032"/>
        </w:numPr>
      </w:pPr>
      <w:r>
        <w:rPr>
          <w:b/>
          <w:bCs/>
        </w:rPr>
        <w:t xml:space="preserve">U.S. Market</w:t>
      </w:r>
      <w:r>
        <w:t xml:space="preserve">: Expected to reach $152.03 billion by 2034</w:t>
      </w:r>
    </w:p>
    <w:bookmarkEnd w:id="88"/>
    <w:bookmarkEnd w:id="89"/>
    <w:bookmarkEnd w:id="90"/>
    <w:bookmarkStart w:id="112" w:name="discussion"/>
    <w:p>
      <w:pPr>
        <w:pStyle w:val="Heading1"/>
      </w:pPr>
      <w:r>
        <w:rPr>
          <w:rStyle w:val="SectionNumber"/>
        </w:rPr>
        <w:t xml:space="preserve">7</w:t>
      </w:r>
      <w:r>
        <w:tab/>
      </w:r>
      <w:r>
        <w:t xml:space="preserve">Discussion</w:t>
      </w:r>
    </w:p>
    <w:bookmarkStart w:id="96" w:name="strengths-of-the-evidence-base"/>
    <w:p>
      <w:pPr>
        <w:pStyle w:val="Heading2"/>
      </w:pPr>
      <w:r>
        <w:rPr>
          <w:rStyle w:val="SectionNumber"/>
        </w:rPr>
        <w:t xml:space="preserve">7.1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91" w:name="validated-benchmarking-data"/>
    <w:p>
      <w:pPr>
        <w:pStyle w:val="Heading3"/>
      </w:pPr>
      <w:r>
        <w:rPr>
          <w:rStyle w:val="SectionNumber"/>
        </w:rPr>
        <w:t xml:space="preserve">7.1.1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91"/>
    <w:bookmarkStart w:id="92" w:name="real-world-implementation-evidence"/>
    <w:p>
      <w:pPr>
        <w:pStyle w:val="Heading3"/>
      </w:pPr>
      <w:r>
        <w:rPr>
          <w:rStyle w:val="SectionNumber"/>
        </w:rPr>
        <w:t xml:space="preserve">7.1.2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92"/>
    <w:bookmarkStart w:id="93" w:name="X4bdb3f96981e95785fd307c52a030d26fb6f97c"/>
    <w:p>
      <w:pPr>
        <w:pStyle w:val="Heading3"/>
      </w:pPr>
      <w:r>
        <w:rPr>
          <w:rStyle w:val="SectionNumber"/>
        </w:rPr>
        <w:t xml:space="preserve">7.1.3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93"/>
    <w:bookmarkStart w:id="94" w:name="strong-economic-justification"/>
    <w:p>
      <w:pPr>
        <w:pStyle w:val="Heading3"/>
      </w:pPr>
      <w:r>
        <w:rPr>
          <w:rStyle w:val="SectionNumber"/>
        </w:rPr>
        <w:t xml:space="preserve">7.1.4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94"/>
    <w:bookmarkStart w:id="95" w:name="honest-assessment-of-limitations"/>
    <w:p>
      <w:pPr>
        <w:pStyle w:val="Heading3"/>
      </w:pPr>
      <w:r>
        <w:rPr>
          <w:rStyle w:val="SectionNumber"/>
        </w:rPr>
        <w:t xml:space="preserve">7.1.5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95"/>
    <w:bookmarkEnd w:id="96"/>
    <w:bookmarkStart w:id="103" w:name="limitations-and-constraints"/>
    <w:p>
      <w:pPr>
        <w:pStyle w:val="Heading2"/>
      </w:pPr>
      <w:r>
        <w:rPr>
          <w:rStyle w:val="SectionNumber"/>
        </w:rPr>
        <w:t xml:space="preserve">7.2</w:t>
      </w:r>
      <w:r>
        <w:tab/>
      </w:r>
      <w:r>
        <w:t xml:space="preserve">Limitations and Constraints</w:t>
      </w:r>
    </w:p>
    <w:p>
      <w:pPr>
        <w:pStyle w:val="FirstParagraph"/>
      </w:pPr>
      <w:r>
        <w:t xml:space="preserve">Despite strong evidence supporting conversational AI adoption, several limitations must be acknowledged:</w:t>
      </w:r>
    </w:p>
    <w:bookmarkStart w:id="97" w:name="implementation-complexity"/>
    <w:p>
      <w:pPr>
        <w:pStyle w:val="Heading3"/>
      </w:pPr>
      <w:r>
        <w:rPr>
          <w:rStyle w:val="SectionNumber"/>
        </w:rPr>
        <w:t xml:space="preserve">7.2.1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97"/>
    <w:bookmarkStart w:id="98" w:name="X45f8c7a46a04784e9744b636e11bc2977732e83"/>
    <w:p>
      <w:pPr>
        <w:pStyle w:val="Heading3"/>
      </w:pPr>
      <w:r>
        <w:rPr>
          <w:rStyle w:val="SectionNumber"/>
        </w:rPr>
        <w:t xml:space="preserve">7.2.2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98"/>
    <w:bookmarkStart w:id="99" w:name="long-term-outcome-uncertainties"/>
    <w:p>
      <w:pPr>
        <w:pStyle w:val="Heading3"/>
      </w:pPr>
      <w:r>
        <w:rPr>
          <w:rStyle w:val="SectionNumber"/>
        </w:rPr>
        <w:t xml:space="preserve">7.2.3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99"/>
    <w:bookmarkStart w:id="100" w:name="X2274a69eeb0cb360e25f4a0c6de53a1a41ef3b2"/>
    <w:p>
      <w:pPr>
        <w:pStyle w:val="Heading3"/>
      </w:pPr>
      <w:r>
        <w:rPr>
          <w:rStyle w:val="SectionNumber"/>
        </w:rPr>
        <w:t xml:space="preserve">7.2.4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100"/>
    <w:bookmarkStart w:id="101" w:name="specialty-specific-application-gaps"/>
    <w:p>
      <w:pPr>
        <w:pStyle w:val="Heading3"/>
      </w:pPr>
      <w:r>
        <w:rPr>
          <w:rStyle w:val="SectionNumber"/>
        </w:rPr>
        <w:t xml:space="preserve">7.2.5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101"/>
    <w:bookmarkStart w:id="102" w:name="methodological-considerations"/>
    <w:p>
      <w:pPr>
        <w:pStyle w:val="Heading3"/>
      </w:pPr>
      <w:r>
        <w:rPr>
          <w:rStyle w:val="SectionNumber"/>
        </w:rPr>
        <w:t xml:space="preserve">7.2.6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102"/>
    <w:bookmarkEnd w:id="103"/>
    <w:bookmarkStart w:id="107" w:name="future-research-directions"/>
    <w:p>
      <w:pPr>
        <w:pStyle w:val="Heading2"/>
      </w:pPr>
      <w:r>
        <w:rPr>
          <w:rStyle w:val="SectionNumber"/>
        </w:rPr>
        <w:t xml:space="preserve">7.3</w:t>
      </w:r>
      <w:r>
        <w:tab/>
      </w:r>
      <w:r>
        <w:t xml:space="preserve">Future Research Directions</w:t>
      </w:r>
    </w:p>
    <w:p>
      <w:pPr>
        <w:pStyle w:val="FirstParagraph"/>
      </w:pPr>
      <w:r>
        <w:t xml:space="preserve">The evidence review identifies several priority areas for future investigation:</w:t>
      </w:r>
    </w:p>
    <w:bookmarkStart w:id="104" w:name="short-term-research-priorities-1-year"/>
    <w:p>
      <w:pPr>
        <w:pStyle w:val="Heading3"/>
      </w:pPr>
      <w:r>
        <w:rPr>
          <w:rStyle w:val="SectionNumber"/>
        </w:rPr>
        <w:t xml:space="preserve">7.3.1</w:t>
      </w:r>
      <w:r>
        <w:tab/>
      </w:r>
      <w:r>
        <w:t xml:space="preserve">Short-Term Research Priorities (&lt;1 year)</w:t>
      </w:r>
    </w:p>
    <w:p>
      <w:pPr>
        <w:pStyle w:val="Compact"/>
        <w:numPr>
          <w:ilvl w:val="0"/>
          <w:numId w:val="1033"/>
        </w:numPr>
      </w:pPr>
      <w:r>
        <w:rPr>
          <w:b/>
          <w:bCs/>
        </w:rPr>
        <w:t xml:space="preserve">Specialty Domain Validation</w:t>
      </w:r>
      <w:r>
        <w:t xml:space="preserve">: Empirical studies in specialized clinical areas to validate generalizability</w:t>
      </w:r>
    </w:p>
    <w:p>
      <w:pPr>
        <w:pStyle w:val="Compact"/>
        <w:numPr>
          <w:ilvl w:val="0"/>
          <w:numId w:val="1033"/>
        </w:numPr>
      </w:pPr>
      <w:r>
        <w:rPr>
          <w:b/>
          <w:bCs/>
        </w:rPr>
        <w:t xml:space="preserve">Governance Framework Development</w:t>
      </w:r>
      <w:r>
        <w:t xml:space="preserve">: Research on optimal governance models for democratized analytics</w:t>
      </w:r>
    </w:p>
    <w:p>
      <w:pPr>
        <w:pStyle w:val="Compact"/>
        <w:numPr>
          <w:ilvl w:val="0"/>
          <w:numId w:val="1033"/>
        </w:numPr>
      </w:pPr>
      <w:r>
        <w:rPr>
          <w:b/>
          <w:bCs/>
        </w:rPr>
        <w:t xml:space="preserve">Integration Pattern Analysis</w:t>
      </w:r>
      <w:r>
        <w:t xml:space="preserve">: Technical research on architectural patterns for healthcare IT ecosystem integration</w:t>
      </w:r>
    </w:p>
    <w:bookmarkEnd w:id="104"/>
    <w:bookmarkStart w:id="105" w:name="X7d60b5f2cd724c2ff27fb462003d9a6f0f38ecc"/>
    <w:p>
      <w:pPr>
        <w:pStyle w:val="Heading3"/>
      </w:pPr>
      <w:r>
        <w:rPr>
          <w:rStyle w:val="SectionNumber"/>
        </w:rPr>
        <w:t xml:space="preserve">7.3.2</w:t>
      </w:r>
      <w:r>
        <w:tab/>
      </w:r>
      <w:r>
        <w:t xml:space="preserve">Medium-Term Research Priorities (1-2 years)</w:t>
      </w:r>
    </w:p>
    <w:p>
      <w:pPr>
        <w:pStyle w:val="Compact"/>
        <w:numPr>
          <w:ilvl w:val="0"/>
          <w:numId w:val="1034"/>
        </w:numPr>
      </w:pPr>
      <w:r>
        <w:rPr>
          <w:b/>
          <w:bCs/>
        </w:rPr>
        <w:t xml:space="preserve">Longitudinal Outcome Studies</w:t>
      </w:r>
      <w:r>
        <w:t xml:space="preserve">: Multi-year implementations to assess sustained benefits and organizational evolution</w:t>
      </w:r>
    </w:p>
    <w:p>
      <w:pPr>
        <w:pStyle w:val="Compact"/>
        <w:numPr>
          <w:ilvl w:val="0"/>
          <w:numId w:val="1034"/>
        </w:numPr>
      </w:pPr>
      <w:r>
        <w:rPr>
          <w:b/>
          <w:bCs/>
        </w:rPr>
        <w:t xml:space="preserve">Comparative Effectiveness Research</w:t>
      </w:r>
      <w:r>
        <w:t xml:space="preserve">: Head-to-head comparisons of different conversational AI approaches</w:t>
      </w:r>
    </w:p>
    <w:p>
      <w:pPr>
        <w:pStyle w:val="Compact"/>
        <w:numPr>
          <w:ilvl w:val="0"/>
          <w:numId w:val="1034"/>
        </w:numPr>
      </w:pPr>
      <w:r>
        <w:rPr>
          <w:b/>
          <w:bCs/>
        </w:rPr>
        <w:t xml:space="preserve">Training Methodology Optimization</w:t>
      </w:r>
      <w:r>
        <w:t xml:space="preserve">: Evidence-based approaches for transitioning from traditional to conversational analytics</w:t>
      </w:r>
    </w:p>
    <w:bookmarkEnd w:id="105"/>
    <w:bookmarkStart w:id="106" w:name="long-term-research-priorities-2-years"/>
    <w:p>
      <w:pPr>
        <w:pStyle w:val="Heading3"/>
      </w:pPr>
      <w:r>
        <w:rPr>
          <w:rStyle w:val="SectionNumber"/>
        </w:rPr>
        <w:t xml:space="preserve">7.3.3</w:t>
      </w:r>
      <w:r>
        <w:tab/>
      </w:r>
      <w:r>
        <w:t xml:space="preserve">Long-Term Research Priorities (&gt;2 years)</w:t>
      </w:r>
    </w:p>
    <w:p>
      <w:pPr>
        <w:pStyle w:val="Compact"/>
        <w:numPr>
          <w:ilvl w:val="0"/>
          <w:numId w:val="1035"/>
        </w:numPr>
      </w:pPr>
      <w:r>
        <w:rPr>
          <w:b/>
          <w:bCs/>
        </w:rPr>
        <w:t xml:space="preserve">Organizational Transformation Studies</w:t>
      </w:r>
      <w:r>
        <w:t xml:space="preserve">: Research on how conversational AI platforms reshape healthcare organizational capabilities</w:t>
      </w:r>
    </w:p>
    <w:p>
      <w:pPr>
        <w:pStyle w:val="Compact"/>
        <w:numPr>
          <w:ilvl w:val="0"/>
          <w:numId w:val="1035"/>
        </w:numPr>
      </w:pPr>
      <w:r>
        <w:rPr>
          <w:b/>
          <w:bCs/>
        </w:rPr>
        <w:t xml:space="preserve">Clinical Outcome Impact Assessment</w:t>
      </w:r>
      <w:r>
        <w:t xml:space="preserve">: Studies linking improved analytics access to patient care outcomes</w:t>
      </w:r>
    </w:p>
    <w:p>
      <w:pPr>
        <w:pStyle w:val="Compact"/>
        <w:numPr>
          <w:ilvl w:val="0"/>
          <w:numId w:val="1035"/>
        </w:numPr>
      </w:pPr>
      <w:r>
        <w:rPr>
          <w:b/>
          <w:bCs/>
        </w:rPr>
        <w:t xml:space="preserve">Predictive Analytics Integration</w:t>
      </w:r>
      <w:r>
        <w:t xml:space="preserve">: Research on combining conversational interfaces with advanced predictive modeling</w:t>
      </w:r>
    </w:p>
    <w:bookmarkEnd w:id="106"/>
    <w:bookmarkEnd w:id="107"/>
    <w:bookmarkStart w:id="111" w:name="X655f7faf8ada965dcdcaa0e7f463cb4a3ee5bd1"/>
    <w:p>
      <w:pPr>
        <w:pStyle w:val="Heading2"/>
      </w:pPr>
      <w:r>
        <w:rPr>
          <w:rStyle w:val="SectionNumber"/>
        </w:rPr>
        <w:t xml:space="preserve">7.4</w:t>
      </w:r>
      <w:r>
        <w:tab/>
      </w:r>
      <w:r>
        <w:t xml:space="preserve">Implications for Healthcare Organizations</w:t>
      </w:r>
    </w:p>
    <w:p>
      <w:pPr>
        <w:pStyle w:val="FirstParagraph"/>
      </w:pPr>
      <w:r>
        <w:t xml:space="preserve">The evidence has immediate implications for healthcare leaders considering analytics strategy:</w:t>
      </w:r>
    </w:p>
    <w:bookmarkStart w:id="108" w:name="strategic-imperative"/>
    <w:p>
      <w:pPr>
        <w:pStyle w:val="Heading3"/>
      </w:pPr>
      <w:r>
        <w:rPr>
          <w:rStyle w:val="SectionNumber"/>
        </w:rPr>
        <w:t xml:space="preserve">7.4.1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108"/>
    <w:bookmarkStart w:id="109" w:name="implementation-approach"/>
    <w:p>
      <w:pPr>
        <w:pStyle w:val="Heading3"/>
      </w:pPr>
      <w:r>
        <w:rPr>
          <w:rStyle w:val="SectionNumber"/>
        </w:rPr>
        <w:t xml:space="preserve">7.4.2</w:t>
      </w:r>
      <w:r>
        <w:tab/>
      </w:r>
      <w:r>
        <w:t xml:space="preserve">Implementation Approach</w:t>
      </w:r>
    </w:p>
    <w:p>
      <w:pPr>
        <w:pStyle w:val="FirstParagraph"/>
      </w:pPr>
      <w:r>
        <w:t xml:space="preserve">Evidence suggests that successful implementations require:</w:t>
      </w:r>
    </w:p>
    <w:p>
      <w:pPr>
        <w:pStyle w:val="Compact"/>
        <w:numPr>
          <w:ilvl w:val="0"/>
          <w:numId w:val="1036"/>
        </w:numPr>
      </w:pPr>
      <w:r>
        <w:rPr>
          <w:b/>
          <w:bCs/>
        </w:rPr>
        <w:t xml:space="preserve">Executive Commitment</w:t>
      </w:r>
      <w:r>
        <w:t xml:space="preserve">: Strong leadership support throughout the 18-month average implementation timeline</w:t>
      </w:r>
    </w:p>
    <w:p>
      <w:pPr>
        <w:pStyle w:val="Compact"/>
        <w:numPr>
          <w:ilvl w:val="0"/>
          <w:numId w:val="1036"/>
        </w:numPr>
      </w:pPr>
      <w:r>
        <w:rPr>
          <w:b/>
          <w:bCs/>
        </w:rPr>
        <w:t xml:space="preserve">Change Management Investment</w:t>
      </w:r>
      <w:r>
        <w:t xml:space="preserve">: Comprehensive training and support programs to ensure user adoption</w:t>
      </w:r>
    </w:p>
    <w:p>
      <w:pPr>
        <w:pStyle w:val="Compact"/>
        <w:numPr>
          <w:ilvl w:val="0"/>
          <w:numId w:val="1036"/>
        </w:numPr>
      </w:pPr>
      <w:r>
        <w:rPr>
          <w:b/>
          <w:bCs/>
        </w:rPr>
        <w:t xml:space="preserve">Phased Deployment</w:t>
      </w:r>
      <w:r>
        <w:t xml:space="preserve">: Gradual rollout beginning with analytics-savvy early adopters</w:t>
      </w:r>
    </w:p>
    <w:p>
      <w:pPr>
        <w:pStyle w:val="Compact"/>
        <w:numPr>
          <w:ilvl w:val="0"/>
          <w:numId w:val="1036"/>
        </w:numPr>
      </w:pPr>
      <w:r>
        <w:rPr>
          <w:b/>
          <w:bCs/>
        </w:rPr>
        <w:t xml:space="preserve">Governance Framework Development</w:t>
      </w:r>
      <w:r>
        <w:t xml:space="preserve">: New policies and procedures for democratized analytics</w:t>
      </w:r>
    </w:p>
    <w:bookmarkEnd w:id="109"/>
    <w:bookmarkStart w:id="110" w:name="competitive-advantage"/>
    <w:p>
      <w:pPr>
        <w:pStyle w:val="Heading3"/>
      </w:pPr>
      <w:r>
        <w:rPr>
          <w:rStyle w:val="SectionNumber"/>
        </w:rPr>
        <w:t xml:space="preserve">7.4.3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110"/>
    <w:bookmarkEnd w:id="111"/>
    <w:bookmarkEnd w:id="112"/>
    <w:bookmarkStart w:id="119" w:name="conclusion"/>
    <w:p>
      <w:pPr>
        <w:pStyle w:val="Heading1"/>
      </w:pPr>
      <w:r>
        <w:rPr>
          <w:rStyle w:val="SectionNumber"/>
        </w:rPr>
        <w:t xml:space="preserve">8</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113" w:name="the-dual-dimensions-of-harm"/>
    <w:p>
      <w:pPr>
        <w:pStyle w:val="Heading2"/>
      </w:pPr>
      <w:r>
        <w:rPr>
          <w:rStyle w:val="SectionNumber"/>
        </w:rPr>
        <w:t xml:space="preserve">8.1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37"/>
        </w:numPr>
      </w:pPr>
      <w:r>
        <w:rPr>
          <w:b/>
          <w:bCs/>
        </w:rPr>
        <w:t xml:space="preserve">Analytics maturity gaps</w:t>
      </w:r>
      <w:r>
        <w:t xml:space="preserve"> </w:t>
      </w:r>
      <w:r>
        <w:t xml:space="preserve">leave clinical decisions unsupported by available data, potentially compromising patient care optimization</w:t>
      </w:r>
    </w:p>
    <w:p>
      <w:pPr>
        <w:pStyle w:val="Compact"/>
        <w:numPr>
          <w:ilvl w:val="0"/>
          <w:numId w:val="1037"/>
        </w:numPr>
      </w:pPr>
      <w:r>
        <w:rPr>
          <w:b/>
          <w:bCs/>
        </w:rPr>
        <w:t xml:space="preserve">Workforce turnover</w:t>
      </w:r>
      <w:r>
        <w:t xml:space="preserve"> </w:t>
      </w:r>
      <w:r>
        <w:t xml:space="preserve">(34% annually for healthcare IT staff [A10]) causes institutional memory loss costing organizations up to three times annual salary budgets [A24]</w:t>
      </w:r>
    </w:p>
    <w:p>
      <w:pPr>
        <w:pStyle w:val="Compact"/>
        <w:numPr>
          <w:ilvl w:val="0"/>
          <w:numId w:val="1037"/>
        </w:numPr>
      </w:pPr>
      <w:r>
        <w:rPr>
          <w:b/>
          <w:bCs/>
        </w:rPr>
        <w:t xml:space="preserve">Technical barriers</w:t>
      </w:r>
      <w:r>
        <w:t xml:space="preserve"> </w:t>
      </w:r>
      <w:r>
        <w:t xml:space="preserve">disconnect clinical experts from data insights, delaying evidence-based practice improvements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113"/>
    <w:bookmarkStart w:id="114" w:name="summary-of-contributions"/>
    <w:p>
      <w:pPr>
        <w:pStyle w:val="Heading2"/>
      </w:pPr>
      <w:r>
        <w:rPr>
          <w:rStyle w:val="SectionNumber"/>
        </w:rPr>
        <w:t xml:space="preserve">8.2</w:t>
      </w:r>
      <w:r>
        <w:tab/>
      </w:r>
      <w:r>
        <w:t xml:space="preserve">Summary of Contributions</w:t>
      </w:r>
    </w:p>
    <w:p>
      <w:pPr>
        <w:pStyle w:val="FirstParagraph"/>
      </w:pPr>
      <w:r>
        <w:t xml:space="preserve">This narrative review contributes to healthcare informatics scholarship through:</w:t>
      </w:r>
    </w:p>
    <w:p>
      <w:pPr>
        <w:numPr>
          <w:ilvl w:val="0"/>
          <w:numId w:val="1038"/>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38"/>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38"/>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114"/>
    <w:bookmarkStart w:id="115" w:name="key-findings"/>
    <w:p>
      <w:pPr>
        <w:pStyle w:val="Heading2"/>
      </w:pPr>
      <w:r>
        <w:rPr>
          <w:rStyle w:val="SectionNumber"/>
        </w:rPr>
        <w:t xml:space="preserve">8.3</w:t>
      </w:r>
      <w:r>
        <w:tab/>
      </w:r>
      <w:r>
        <w:t xml:space="preserve">Key Findings</w:t>
      </w:r>
    </w:p>
    <w:p>
      <w:pPr>
        <w:pStyle w:val="FirstParagraph"/>
      </w:pPr>
      <w:r>
        <w:t xml:space="preserve">This review of academic and industry sources establishes several critical findings:</w:t>
      </w:r>
    </w:p>
    <w:p>
      <w:pPr>
        <w:numPr>
          <w:ilvl w:val="0"/>
          <w:numId w:val="1039"/>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39"/>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39"/>
        </w:numPr>
      </w:pPr>
      <w:r>
        <w:rPr>
          <w:b/>
          <w:bCs/>
        </w:rPr>
        <w:t xml:space="preserve">Workforce Impact</w:t>
      </w:r>
      <w:r>
        <w:t xml:space="preserve">: Healthcare IT staff turnover of 34% [A10]—the highest among IT sectors—creates institutional memory loss, with knowledge loss costs reaching three times annual salary budgets [A24]. This creates urgent need for knowledge preservation approaches.</w:t>
      </w:r>
    </w:p>
    <w:p>
      <w:pPr>
        <w:numPr>
          <w:ilvl w:val="0"/>
          <w:numId w:val="1039"/>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115"/>
    <w:bookmarkStart w:id="116" w:name="X763cadd1601e4aaf67a245ab2df69f095516d3d"/>
    <w:p>
      <w:pPr>
        <w:pStyle w:val="Heading2"/>
      </w:pPr>
      <w:r>
        <w:rPr>
          <w:rStyle w:val="SectionNumber"/>
        </w:rPr>
        <w:t xml:space="preserve">8.4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40"/>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40"/>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40"/>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16"/>
    <w:bookmarkStart w:id="117" w:name="future-research-directions-1"/>
    <w:p>
      <w:pPr>
        <w:pStyle w:val="Heading2"/>
      </w:pPr>
      <w:r>
        <w:rPr>
          <w:rStyle w:val="SectionNumber"/>
        </w:rPr>
        <w:t xml:space="preserve">8.5</w:t>
      </w:r>
      <w:r>
        <w:tab/>
      </w:r>
      <w:r>
        <w:t xml:space="preserve">Future Research Directions</w:t>
      </w:r>
    </w:p>
    <w:p>
      <w:pPr>
        <w:pStyle w:val="FirstParagraph"/>
      </w:pPr>
      <w:r>
        <w:t xml:space="preserve">Several research gaps limit the ability to provide definitive organizational guidance:</w:t>
      </w:r>
    </w:p>
    <w:p>
      <w:pPr>
        <w:numPr>
          <w:ilvl w:val="0"/>
          <w:numId w:val="1041"/>
        </w:numPr>
      </w:pPr>
      <w:r>
        <w:rPr>
          <w:b/>
          <w:bCs/>
        </w:rPr>
        <w:t xml:space="preserve">Longitudinal outcomes</w:t>
      </w:r>
      <w:r>
        <w:t xml:space="preserve">: Most implementation studies span 6-24 months; multi-year institutional knowledge preservation effects remain understudied</w:t>
      </w:r>
    </w:p>
    <w:p>
      <w:pPr>
        <w:numPr>
          <w:ilvl w:val="0"/>
          <w:numId w:val="1041"/>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41"/>
        </w:numPr>
      </w:pPr>
      <w:r>
        <w:rPr>
          <w:b/>
          <w:bCs/>
        </w:rPr>
        <w:t xml:space="preserve">Governance frameworks</w:t>
      </w:r>
      <w:r>
        <w:t xml:space="preserve">: Optimal approaches for balancing analytics democratization with data quality and clinical safety standards need development</w:t>
      </w:r>
    </w:p>
    <w:p>
      <w:pPr>
        <w:numPr>
          <w:ilvl w:val="0"/>
          <w:numId w:val="1041"/>
        </w:numPr>
      </w:pPr>
      <w:r>
        <w:rPr>
          <w:b/>
          <w:bCs/>
        </w:rPr>
        <w:t xml:space="preserve">Comparative effectiveness</w:t>
      </w:r>
      <w:r>
        <w:t xml:space="preserve">: Head-to-head comparisons of different technological approaches to addressing the three-pillar challenges remain sparse</w:t>
      </w:r>
    </w:p>
    <w:bookmarkEnd w:id="117"/>
    <w:bookmarkStart w:id="118" w:name="closing-reflection"/>
    <w:p>
      <w:pPr>
        <w:pStyle w:val="Heading2"/>
      </w:pPr>
      <w:r>
        <w:rPr>
          <w:rStyle w:val="SectionNumber"/>
        </w:rPr>
        <w:t xml:space="preserve">8.6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18"/>
    <w:bookmarkEnd w:id="119"/>
    <w:bookmarkStart w:id="120" w:name="acknowledgments"/>
    <w:p>
      <w:pPr>
        <w:pStyle w:val="Heading1"/>
      </w:pPr>
      <w:r>
        <w:rPr>
          <w:rStyle w:val="SectionNumber"/>
        </w:rPr>
        <w:t xml:space="preserve">9</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120"/>
    <w:bookmarkStart w:id="121" w:name="author-contributions"/>
    <w:p>
      <w:pPr>
        <w:pStyle w:val="Heading1"/>
      </w:pPr>
      <w:r>
        <w:rPr>
          <w:rStyle w:val="SectionNumber"/>
        </w:rPr>
        <w:t xml:space="preserve">10</w:t>
      </w:r>
      <w:r>
        <w:tab/>
      </w:r>
      <w:r>
        <w:t xml:space="preserve">Author Contributions</w:t>
      </w:r>
    </w:p>
    <w:p>
      <w:pPr>
        <w:pStyle w:val="FirstParagraph"/>
      </w:pPr>
      <w:r>
        <w:t xml:space="preserve">S.T.H. conceived the research, conducted the literature review, and wrote the manuscript.</w:t>
      </w:r>
    </w:p>
    <w:bookmarkEnd w:id="121"/>
    <w:bookmarkStart w:id="122" w:name="competing-interests"/>
    <w:p>
      <w:pPr>
        <w:pStyle w:val="Heading1"/>
      </w:pPr>
      <w:r>
        <w:rPr>
          <w:rStyle w:val="SectionNumber"/>
        </w:rPr>
        <w:t xml:space="preserve">11</w:t>
      </w:r>
      <w:r>
        <w:tab/>
      </w:r>
      <w:r>
        <w:t xml:space="preserve">Competing Interests</w:t>
      </w:r>
    </w:p>
    <w:p>
      <w:pPr>
        <w:pStyle w:val="FirstParagraph"/>
      </w:pPr>
      <w:r>
        <w:t xml:space="preserve">Samuel T Harrold is a contract product advisor at Yuimedi and a Data Scientist at Indiana University Health. The views and opinions expressed in this paper are those of the author and do not necessarily reflect the official policy or position of Indiana University Health, Yuimedi, or any other organization. This research was conducted independently and does not constitute an endorsement by any affiliated institution.</w:t>
      </w:r>
    </w:p>
    <w:bookmarkEnd w:id="122"/>
    <w:bookmarkStart w:id="123" w:name="data-availability"/>
    <w:p>
      <w:pPr>
        <w:pStyle w:val="Heading1"/>
      </w:pPr>
      <w:r>
        <w:rPr>
          <w:rStyle w:val="SectionNumber"/>
        </w:rPr>
        <w:t xml:space="preserve">12</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23"/>
    <w:bookmarkStart w:id="124" w:name="code-availability"/>
    <w:p>
      <w:pPr>
        <w:pStyle w:val="Heading1"/>
      </w:pPr>
      <w:r>
        <w:rPr>
          <w:rStyle w:val="SectionNumber"/>
        </w:rPr>
        <w:t xml:space="preserve">13</w:t>
      </w:r>
      <w:r>
        <w:tab/>
      </w:r>
      <w:r>
        <w:t xml:space="preserve">Code Availability</w:t>
      </w:r>
    </w:p>
    <w:p>
      <w:pPr>
        <w:pStyle w:val="FirstParagraph"/>
      </w:pPr>
      <w:r>
        <w:t xml:space="preserve">Not applicable. No custom code was developed for this research.</w:t>
      </w:r>
    </w:p>
    <w:bookmarkEnd w:id="124"/>
    <w:bookmarkStart w:id="125" w:name="funding"/>
    <w:p>
      <w:pPr>
        <w:pStyle w:val="Heading1"/>
      </w:pPr>
      <w:r>
        <w:rPr>
          <w:rStyle w:val="SectionNumber"/>
        </w:rPr>
        <w:t xml:space="preserve">14</w:t>
      </w:r>
      <w:r>
        <w:tab/>
      </w:r>
      <w:r>
        <w:t xml:space="preserve">Funding</w:t>
      </w:r>
    </w:p>
    <w:p>
      <w:pPr>
        <w:pStyle w:val="FirstParagraph"/>
      </w:pPr>
      <w:r>
        <w:t xml:space="preserve">Yuimedi provided funding for the author’s time writing and researching this manuscript.</w:t>
      </w:r>
    </w:p>
    <w:bookmarkEnd w:id="125"/>
    <w:bookmarkStart w:id="128" w:name="references"/>
    <w:p>
      <w:pPr>
        <w:pStyle w:val="Heading1"/>
      </w:pPr>
      <w:r>
        <w:rPr>
          <w:rStyle w:val="SectionNumber"/>
        </w:rPr>
        <w:t xml:space="preserve">15</w:t>
      </w:r>
      <w:r>
        <w:tab/>
      </w:r>
      <w:r>
        <w:t xml:space="preserve">References</w:t>
      </w:r>
    </w:p>
    <w:bookmarkStart w:id="126" w:name="academic-sources"/>
    <w:p>
      <w:pPr>
        <w:pStyle w:val="Heading2"/>
      </w:pPr>
      <w:r>
        <w:rPr>
          <w:rStyle w:val="SectionNumber"/>
        </w:rPr>
        <w:t xml:space="preserve">15.1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Aulawi, H., Ramdhani, M. A., Slamet, C., Ainisyifa, H., &amp; Darmalaksana, W. (2017). Functional need analysis of knowledge portal design in higher education institution.</w:t>
      </w:r>
      <w:r>
        <w:t xml:space="preserve"> </w:t>
      </w:r>
      <w:r>
        <w:rPr>
          <w:i/>
          <w:iCs/>
        </w:rPr>
        <w:t xml:space="preserve">International Journal of Soft Computing</w:t>
      </w:r>
      <w:r>
        <w:t xml:space="preserve">, 12(2), 132-141. https://digilib.uinsgd.ac.id/5114/</w:t>
      </w:r>
    </w:p>
    <w:p>
      <w:pPr>
        <w:pStyle w:val="BodyText"/>
      </w:pPr>
      <w:r>
        <w:t xml:space="preserve">[A27]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[A28]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[A29]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[A30]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bookmarkEnd w:id="126"/>
    <w:bookmarkStart w:id="127" w:name="industry-sources"/>
    <w:p>
      <w:pPr>
        <w:pStyle w:val="Heading2"/>
      </w:pPr>
      <w:r>
        <w:rPr>
          <w:rStyle w:val="SectionNumber"/>
        </w:rPr>
        <w:t xml:space="preserve">15.2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27"/>
    <w:bookmarkEnd w:id="128"/>
    <w:bookmarkStart w:id="135" w:name="appendices"/>
    <w:p>
      <w:pPr>
        <w:pStyle w:val="Heading1"/>
      </w:pPr>
      <w:r>
        <w:rPr>
          <w:rStyle w:val="SectionNumber"/>
        </w:rPr>
        <w:t xml:space="preserve">16</w:t>
      </w:r>
      <w:r>
        <w:tab/>
      </w:r>
      <w:r>
        <w:t xml:space="preserve">Appendices</w:t>
      </w:r>
    </w:p>
    <w:bookmarkStart w:id="129" w:name="appendix-a-healthcare-analytics-glossary"/>
    <w:p>
      <w:pPr>
        <w:pStyle w:val="Heading2"/>
      </w:pPr>
      <w:r>
        <w:rPr>
          <w:rStyle w:val="SectionNumber"/>
        </w:rPr>
        <w:t xml:space="preserve">16.1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29"/>
    <w:bookmarkStart w:id="130" w:name="Xda282ad3909d53d8ac6252a99a3daf0ffe2dfbb"/>
    <w:p>
      <w:pPr>
        <w:pStyle w:val="Heading2"/>
      </w:pPr>
      <w:r>
        <w:rPr>
          <w:rStyle w:val="SectionNumber"/>
        </w:rPr>
        <w:t xml:space="preserve">16.2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30"/>
    <w:bookmarkStart w:id="134" w:name="Xbfd30549e6247e2f3e5132a039875af0e2849bb"/>
    <w:p>
      <w:pPr>
        <w:pStyle w:val="Heading2"/>
      </w:pPr>
      <w:r>
        <w:rPr>
          <w:rStyle w:val="SectionNumber"/>
        </w:rPr>
        <w:t xml:space="preserve">16.3</w:t>
      </w:r>
      <w:r>
        <w:tab/>
      </w:r>
      <w:r>
        <w:t xml:space="preserve">Appendix C: Healthcare NL2SQL Query Examples</w:t>
      </w:r>
    </w:p>
    <w:bookmarkStart w:id="131" w:name="patient-population-analysis"/>
    <w:p>
      <w:pPr>
        <w:pStyle w:val="Heading3"/>
      </w:pPr>
      <w:r>
        <w:rPr>
          <w:rStyle w:val="SectionNumber"/>
        </w:rPr>
        <w:t xml:space="preserve">16.3.1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31"/>
    <w:bookmarkStart w:id="132" w:name="operational-metrics"/>
    <w:p>
      <w:pPr>
        <w:pStyle w:val="Heading3"/>
      </w:pPr>
      <w:r>
        <w:rPr>
          <w:rStyle w:val="SectionNumber"/>
        </w:rPr>
        <w:t xml:space="preserve">16.3.2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32"/>
    <w:bookmarkStart w:id="133" w:name="quality-metrics"/>
    <w:p>
      <w:pPr>
        <w:pStyle w:val="Heading3"/>
      </w:pPr>
      <w:r>
        <w:rPr>
          <w:rStyle w:val="SectionNumber"/>
        </w:rPr>
        <w:t xml:space="preserve">16.3.3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2025-12-16T00:14:25Z</dcterms:created>
  <dcterms:modified xsi:type="dcterms:W3CDTF">2025-12-16T00:14:25Z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~34%—the highest among IT sectors—creates institutional memory loss, while low-code implementations demonstrate significant efficiency gains and cost savings. The convergence of technical advances in NL2SQL generation, analytics maturity challenges in healthcare organizations, and workforce turnover creates both urgent need and strategic opportunity for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