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 Inc.</w:t>
      </w:r>
    </w:p>
    <w:p>
      <w:pPr>
        <w:pStyle w:val="Date"/>
      </w:pPr>
      <w:r>
        <w:t xml:space="preserve">March 2026</w:t>
      </w:r>
    </w:p>
    <w:p>
      <w:pPr>
        <w:pStyle w:val="AbstractTitle"/>
      </w:pPr>
      <w:r>
        <w:t xml:space="preserve">Abstract</w:t>
      </w:r>
    </w:p>
    <w:p>
      <w:pPr>
        <w:pStyle w:val="Abstract"/>
      </w:pPr>
      <w:r>
        <w:t xml:space="preserve">Healthcare organizations face a</w:t>
      </w:r>
      <w:r>
        <w:t xml:space="preserve"> </w:t>
      </w:r>
      <w:r>
        <w:t xml:space="preserve">“Triple Threat”</w:t>
      </w:r>
      <w:r>
        <w:t xml:space="preserve"> </w:t>
      </w:r>
      <w:r>
        <w:t xml:space="preserve">of low analytics maturity, high workforce instability, and semantic technical barriers that together produce a crisis of</w:t>
      </w:r>
      <w:r>
        <w:t xml:space="preserve"> </w:t>
      </w:r>
      <w:r>
        <w:t xml:space="preserve">“Institutional Amnesia.”</w:t>
      </w:r>
      <w:r>
        <w:t xml:space="preserve"> </w:t>
      </w:r>
      <w:r>
        <w:t xml:space="preserve">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w:t>
      </w:r>
    </w:p>
    <w:p>
      <w:pPr>
        <w:pStyle w:val="Abstract"/>
      </w:pPr>
      <w:r>
        <w:t xml:space="preserve">Viewed through Nonaka’s SECI model of knowledge creation, the root cause is a</w:t>
      </w:r>
      <w:r>
        <w:t xml:space="preserve"> </w:t>
      </w:r>
      <w:r>
        <w:t xml:space="preserve">“Socialization Failure”</w:t>
      </w:r>
      <w:r>
        <w:t xml:space="preserv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w:t>
      </w:r>
    </w:p>
    <w:p>
      <w:pPr>
        <w:pStyle w:val="Abstract"/>
      </w:pPr>
      <w:r>
        <w:t xml:space="preserve">HITL-KG is designed to shift the locus of organizational knowledge from volatile human memory to durable semantic artifacts called</w:t>
      </w:r>
      <w:r>
        <w:t xml:space="preserve"> </w:t>
      </w:r>
      <w:r>
        <w:t xml:space="preserve">“Validated Query Triples,”</w:t>
      </w:r>
      <w:r>
        <w:t xml:space="preserve"> </w:t>
      </w:r>
      <w:r>
        <w:t xml:space="preserve">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w:t>
      </w:r>
    </w:p>
    <w:p>
      <w:pPr>
        <w:pStyle w:val="Abstract"/>
      </w:pPr>
      <w:r>
        <w:t xml:space="preserve">A critical objection, the</w:t>
      </w:r>
      <w:r>
        <w:t xml:space="preserve"> </w:t>
      </w:r>
      <w:r>
        <w:t xml:space="preserve">“Validator Paradox”</w:t>
      </w:r>
      <w:r>
        <w:t xml:space="preserve"> </w:t>
      </w:r>
      <w:r>
        <w:t xml:space="preserve">(who validates the AI when experts leave?), is resolved by reframing validation through Lean</w:t>
      </w:r>
      <w:r>
        <w:t xml:space="preserve"> </w:t>
      </w:r>
      <w:r>
        <w:t xml:space="preserve">“Standard Work”</w:t>
      </w:r>
      <w:r>
        <w:t xml:space="preserve">: each validated query establishes the current known standard rather than eternal truth, functioning as a</w:t>
      </w:r>
      <w:r>
        <w:t xml:space="preserve"> </w:t>
      </w:r>
      <w:r>
        <w:t xml:space="preserve">“knowledge ratchet”</w:t>
      </w:r>
      <w:r>
        <w:t xml:space="preserve"> </w:t>
      </w:r>
      <w:r>
        <w:t xml:space="preserve">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a772df4b8f827734714eb2cb65812cb56df5f7d"/>
    <w:p>
      <w:pPr>
        <w:pStyle w:val="Heading1"/>
      </w:pPr>
      <w:r>
        <w:rPr>
          <w:rStyle w:val="SectionNumber"/>
        </w:rPr>
        <w:t xml:space="preserve">1</w:t>
      </w:r>
      <w:r>
        <w:tab/>
      </w:r>
      <w:r>
        <w:t xml:space="preserve">The Triple Threat: Institutional Amnesia in Healthcare Analytics</w:t>
      </w:r>
    </w:p>
    <w:p>
      <w:pPr>
        <w:pStyle w:val="FirstParagraph"/>
      </w:pPr>
      <w:r>
        <w:t xml:space="preserve">The healthcare analytics landscape is currently paralyzed by a</w:t>
      </w:r>
      <w:r>
        <w:t xml:space="preserve"> </w:t>
      </w:r>
      <w:r>
        <w:t xml:space="preserve">“Triple Threat”</w:t>
      </w:r>
      <w:r>
        <w:t xml:space="preserve"> </w:t>
      </w:r>
      <w:r>
        <w:t xml:space="preserve">of compounding failures: (1) persistently</w:t>
      </w:r>
      <w:r>
        <w:t xml:space="preserve"> </w:t>
      </w:r>
      <w:r>
        <w:rPr>
          <w:i/>
          <w:iCs/>
        </w:rPr>
        <w:t xml:space="preserve">Low Analytics Maturity</w:t>
      </w:r>
      <w:r>
        <w:t xml:space="preserve">, where despite decades of investment, only 39 organizations globally, 26 at HIMSS AMAM Stage 6 and 13 at Stage 7, have achieved these maturity levels</w:t>
      </w:r>
      <w:hyperlink w:anchor="ref-himss2024">
        <w:r>
          <w:rPr>
            <w:rStyle w:val="Hyperlink"/>
            <w:vertAlign w:val="superscript"/>
          </w:rPr>
          <w:t xml:space="preserve">1</w:t>
        </w:r>
      </w:hyperlink>
      <w:r>
        <w:t xml:space="preserve">; (2) a</w:t>
      </w:r>
      <w:r>
        <w:t xml:space="preserve"> </w:t>
      </w:r>
      <w:r>
        <w:rPr>
          <w:i/>
          <w:iCs/>
        </w:rPr>
        <w:t xml:space="preserve">Semantic Gap</w:t>
      </w:r>
      <w:r>
        <w:t xml:space="preserve"> </w:t>
      </w:r>
      <w:r>
        <w:t xml:space="preserve">between clinical intent and technical schema implementation</w:t>
      </w: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r>
        <w:t xml:space="preserve">; and (3) a profound crisis of</w:t>
      </w:r>
      <w:r>
        <w:t xml:space="preserve"> </w:t>
      </w:r>
      <w:r>
        <w:rPr>
          <w:i/>
          <w:iCs/>
        </w:rPr>
        <w:t xml:space="preserve">Workforce Instability</w:t>
      </w:r>
      <w:r>
        <w:t xml:space="preserve"> </w:t>
      </w:r>
      <w:r>
        <w:t xml:space="preserve">that creates</w:t>
      </w:r>
      <w:r>
        <w:t xml:space="preserve"> </w:t>
      </w:r>
      <w:r>
        <w:t xml:space="preserve">“Institutional Amnesia”</w:t>
      </w:r>
      <w:hyperlink w:anchor="ref-hong2025">
        <w:r>
          <w:rPr>
            <w:rStyle w:val="Hyperlink"/>
            <w:vertAlign w:val="superscript"/>
          </w:rPr>
          <w:t xml:space="preserve">4</w:t>
        </w:r>
      </w:hyperlink>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CIOs have held their roles for less than three years</w:t>
      </w:r>
      <w:hyperlink w:anchor="ref-wittkieffer2024">
        <w:r>
          <w:rPr>
            <w:rStyle w:val="Hyperlink"/>
            <w:vertAlign w:val="superscript"/>
          </w:rPr>
          <w:t xml:space="preserve">5</w:t>
        </w:r>
      </w:hyperlink>
      <w:r>
        <w:t xml:space="preserve">, creating a strategic vacuum at the top. At the operational level, the situation is equally precarious: 79% of provider organizations report persistent shortages in digital health roles</w:t>
      </w:r>
      <w:hyperlink w:anchor="ref-himssworkforce2024">
        <w:r>
          <w:rPr>
            <w:rStyle w:val="Hyperlink"/>
            <w:vertAlign w:val="superscript"/>
          </w:rPr>
          <w:t xml:space="preserve">6</w:t>
        </w:r>
      </w:hyperlink>
      <w:r>
        <w:t xml:space="preserve">, and a 2025 study found that 55% of public health informatics specialists intend to leave their positions</w:t>
      </w:r>
      <w:hyperlink w:anchor="ref-rajamani2025">
        <w:r>
          <w:rPr>
            <w:rStyle w:val="Hyperlink"/>
            <w:vertAlign w:val="superscript"/>
          </w:rPr>
          <w:t xml:space="preserve">7</w:t>
        </w:r>
      </w:hyperlink>
      <w:r>
        <w:t xml:space="preserve">.</w:t>
      </w:r>
    </w:p>
    <w:p>
      <w:pPr>
        <w:pStyle w:val="BodyText"/>
      </w:pPr>
      <w:r>
        <w:t xml:space="preserve">This turnover creates a phenomenon we define as</w:t>
      </w:r>
      <w:r>
        <w:t xml:space="preserve"> </w:t>
      </w:r>
      <w:r>
        <w:rPr>
          <w:i/>
          <w:iCs/>
        </w:rPr>
        <w:t xml:space="preserve">Institutional Amnesia</w:t>
      </w:r>
      <w:r>
        <w:t xml:space="preserve">: the systematic erasure of the tacit knowledge required to interpret complex health data. In healthcare,</w:t>
      </w:r>
      <w:r>
        <w:t xml:space="preserve"> </w:t>
      </w:r>
      <w:r>
        <w:t xml:space="preserve">“data”</w:t>
      </w:r>
      <w:r>
        <w:t xml:space="preserve"> </w:t>
      </w:r>
      <w:r>
        <w:t xml:space="preserve">is never raw; it is wrapped in layers of institutional context (billing rules, workflow workarounds, and unwritten exclusions)</w:t>
      </w:r>
      <w:hyperlink w:anchor="ref-american2023">
        <w:r>
          <w:rPr>
            <w:rStyle w:val="Hyperlink"/>
            <w:vertAlign w:val="superscript"/>
          </w:rPr>
          <w:t xml:space="preserve">8</w:t>
        </w:r>
      </w:hyperlink>
      <w:r>
        <w:t xml:space="preserve">. When the analyst who knows that</w:t>
      </w:r>
      <w:r>
        <w:t xml:space="preserve"> </w:t>
      </w:r>
      <w:r>
        <w:t xml:space="preserve">“exclusion code 99”</w:t>
      </w:r>
      <w:r>
        <w:t xml:space="preserve"> </w:t>
      </w:r>
      <w:r>
        <w:t xml:space="preserve">actually means</w:t>
      </w:r>
      <w:r>
        <w:t xml:space="preserve"> </w:t>
      </w:r>
      <w:r>
        <w:t xml:space="preserve">“hospice transfer”</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hyperlink w:anchor="ref-himss2024">
        <w:r>
          <w:rPr>
            <w:rStyle w:val="Hyperlink"/>
            <w:vertAlign w:val="superscript"/>
          </w:rPr>
          <w:t xml:space="preserve">1</w:t>
        </w:r>
      </w:hyperlink>
      <w:r>
        <w:rPr>
          <w:vertAlign w:val="superscript"/>
        </w:rPr>
        <w:t xml:space="preserve">,</w:t>
      </w:r>
      <w:hyperlink w:anchor="ref-wang2018">
        <w:r>
          <w:rPr>
            <w:rStyle w:val="Hyperlink"/>
            <w:vertAlign w:val="superscript"/>
          </w:rPr>
          <w:t xml:space="preserve">9</w:t>
        </w:r>
      </w:hyperlink>
      <w:r>
        <w:t xml:space="preserve">. Technical solutions (e.g., NL2SQL) assume a stable schema and clear intent</w:t>
      </w:r>
      <w:hyperlink w:anchor="ref-wang2020">
        <w:r>
          <w:rPr>
            <w:rStyle w:val="Hyperlink"/>
            <w:vertAlign w:val="superscript"/>
          </w:rPr>
          <w:t xml:space="preserve">10</w:t>
        </w:r>
      </w:hyperlink>
      <w:r>
        <w:t xml:space="preserve">. Neither accounts for the reality of the</w:t>
      </w:r>
      <w:r>
        <w:t xml:space="preserve"> </w:t>
      </w:r>
      <w:r>
        <w:t xml:space="preserve">“Great Resignation,”</w:t>
      </w:r>
      <w:r>
        <w:t xml:space="preserve"> </w:t>
      </w:r>
      <w:r>
        <w:t xml:space="preserve">where the rate of knowledge loss (</w:t>
      </w:r>
      <w:r>
        <w:t xml:space="preserve">“organizational forgetting”</w:t>
      </w:r>
      <w:r>
        <w:t xml:space="preserve">) often exceeds the rate of knowledge capture</w:t>
      </w:r>
      <w:hyperlink w:anchor="ref-rao2006">
        <w:r>
          <w:rPr>
            <w:rStyle w:val="Hyperlink"/>
            <w:vertAlign w:val="superscript"/>
          </w:rPr>
          <w:t xml:space="preserve">11</w:t>
        </w:r>
      </w:hyperlink>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hyperlink w:anchor="ref-mayo2016">
        <w:r>
          <w:rPr>
            <w:rStyle w:val="Hyperlink"/>
            <w:vertAlign w:val="superscript"/>
          </w:rPr>
          <w:t xml:space="preserve">12</w:t>
        </w:r>
      </w:hyperlink>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hyperlink w:anchor="ref-ledikwe2013">
        <w:r>
          <w:rPr>
            <w:rStyle w:val="Hyperlink"/>
            <w:vertAlign w:val="superscript"/>
          </w:rPr>
          <w:t xml:space="preserve">13</w:t>
        </w:r>
      </w:hyperlink>
      <w:r>
        <w:rPr>
          <w:vertAlign w:val="superscript"/>
        </w:rPr>
        <w:t xml:space="preserve">,</w:t>
      </w:r>
      <w:hyperlink w:anchor="ref-mantas2010">
        <w:r>
          <w:rPr>
            <w:rStyle w:val="Hyperlink"/>
            <w:vertAlign w:val="superscript"/>
          </w:rPr>
          <w:t xml:space="preserve">14</w:t>
        </w:r>
      </w:hyperlink>
      <w:r>
        <w:t xml:space="preserve">. A foundational 2004 study established that healthcare IT staff had the lowest expected tenure among all IT sectors at just 2.9 years</w:t>
      </w:r>
      <w:hyperlink w:anchor="ref-ang2004">
        <w:r>
          <w:rPr>
            <w:rStyle w:val="Hyperlink"/>
            <w:vertAlign w:val="superscript"/>
          </w:rPr>
          <w:t xml:space="preserve">15</w:t>
        </w:r>
      </w:hyperlink>
      <w:r>
        <w:t xml:space="preserve">. That this two-decade-old study remains a key benchmark is itself evidence of the crisis: the industry lacks the stability to track its own attrition. Contemporary signals suggest the situation has worsened, as detailed in the following section.</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9"/>
    <w:bookmarkStart w:id="12" w:name="Xd1e5d85c386cb0a54481a328e393ff51b6e18a9"/>
    <w:p>
      <w:pPr>
        <w:pStyle w:val="Heading1"/>
      </w:pPr>
      <w:r>
        <w:rPr>
          <w:rStyle w:val="SectionNumber"/>
        </w:rPr>
        <w:t xml:space="preserve">2</w:t>
      </w:r>
      <w:r>
        <w:tab/>
      </w:r>
      <w:r>
        <w:t xml:space="preserve">Theoretical Grounding: SECI and the Unstable Workforce</w:t>
      </w:r>
    </w:p>
    <w:p>
      <w:pPr>
        <w:pStyle w:val="FirstParagraph"/>
      </w:pPr>
      <w:r>
        <w:t xml:space="preserve">We ground our analysis in Nonaka’s SECI model of knowledge creation</w:t>
      </w:r>
      <w:hyperlink w:anchor="ref-farnese2019">
        <w:r>
          <w:rPr>
            <w:rStyle w:val="Hyperlink"/>
            <w:vertAlign w:val="superscript"/>
          </w:rPr>
          <w:t xml:space="preserve">16</w:t>
        </w:r>
      </w:hyperlink>
      <w:r>
        <w:t xml:space="preserve">, informed by a narrative review of the literature across healthcare analytics maturity, workforce turnover dynamics, and natural language processing, with grey literature assessed using the AACODS checklist</w:t>
      </w:r>
      <w:hyperlink w:anchor="ref-tyndall2010">
        <w:r>
          <w:rPr>
            <w:rStyle w:val="Hyperlink"/>
            <w:vertAlign w:val="superscript"/>
          </w:rPr>
          <w:t xml:space="preserve">17</w:t>
        </w:r>
      </w:hyperlink>
      <w:r>
        <w:t xml:space="preserve">. Grey literature sources were retained only when no peer-reviewed equivalent was available or when the source provided unique industry data not captured in academic literature. The SECI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hyperlink w:anchor="ref-farnese2019">
        <w:r>
          <w:rPr>
            <w:rStyle w:val="Hyperlink"/>
            <w:vertAlign w:val="superscript"/>
          </w:rPr>
          <w:t xml:space="preserve">16</w:t>
        </w:r>
      </w:hyperlink>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Framework alignment with established models.</w:t>
      </w:r>
      <w:r>
        <w:t xml:space="preserve"> </w:t>
      </w:r>
    </w:p>
    <w:tbl>
      <w:tblPr>
        <w:tblStyle w:val="Table"/>
        <w:tblW w:type="pct" w:w="5000"/>
        <w:tblLayout w:type="fixed"/>
        <w:tblLook w:firstRow="1" w:lastRow="0" w:firstColumn="0" w:lastColumn="0" w:noHBand="0" w:noVBand="0" w:val="0020"/>
        <w:tblCaption w:val="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-&gt;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-&gt;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-&gt;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hyperlink w:anchor="ref-rao2006">
        <w:r>
          <w:rPr>
            <w:rStyle w:val="Hyperlink"/>
            <w:vertAlign w:val="superscript"/>
          </w:rPr>
          <w:t xml:space="preserve">11</w:t>
        </w:r>
      </w:hyperlink>
      <w:r>
        <w:rPr>
          <w:vertAlign w:val="superscript"/>
        </w:rPr>
        <w:t xml:space="preserve">,</w:t>
      </w:r>
      <w:hyperlink w:anchor="ref-farnese2019">
        <w:r>
          <w:rPr>
            <w:rStyle w:val="Hyperlink"/>
            <w:vertAlign w:val="superscript"/>
          </w:rPr>
          <w:t xml:space="preserve">16</w:t>
        </w:r>
      </w:hyperlink>
      <w:r>
        <w:t xml:space="preserve">.</w:t>
      </w:r>
    </w:p>
    <w:bookmarkStart w:id="10" w:name="the-broken-cycle-socialization-failure"/>
    <w:p>
      <w:pPr>
        <w:pStyle w:val="Heading2"/>
      </w:pPr>
      <w:r>
        <w:rPr>
          <w:rStyle w:val="SectionNumber"/>
        </w:rPr>
        <w:t xml:space="preserve">2.1</w:t>
      </w:r>
      <w:r>
        <w:tab/>
      </w: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hyperlink w:anchor="ref-farnese2019">
        <w:r>
          <w:rPr>
            <w:rStyle w:val="Hyperlink"/>
            <w:vertAlign w:val="superscript"/>
          </w:rPr>
          <w:t xml:space="preserve">16</w:t>
        </w:r>
      </w:hyperlink>
      <w:r>
        <w:t xml:space="preserve">. Socialization depends on two preconditions: sustained interaction and sufficient temporal overlap between knowledge holders and receivers</w:t>
      </w:r>
      <w:hyperlink w:anchor="ref-foos2006">
        <w:r>
          <w:rPr>
            <w:rStyle w:val="Hyperlink"/>
            <w:vertAlign w:val="superscript"/>
          </w:rPr>
          <w:t xml:space="preserve">18</w:t>
        </w:r>
      </w:hyperlink>
      <w:r>
        <w:t xml:space="preserve">. It is, in effect, an apprenticeship model requiring years of shared practice.</w:t>
      </w:r>
    </w:p>
    <w:p>
      <w:pPr>
        <w:pStyle w:val="BodyText"/>
      </w:pPr>
      <w:r>
        <w:t xml:space="preserve">In the current healthcare environment, this mechanism has collapsed. The available workforce data reveals an</w:t>
      </w:r>
      <w:r>
        <w:t xml:space="preserve"> </w:t>
      </w:r>
      <w:r>
        <w:t xml:space="preserve">“apprenticeship window”</w:t>
      </w:r>
      <w:r>
        <w:t xml:space="preserve"> </w:t>
      </w:r>
      <w:r>
        <w:t xml:space="preserve">that is shorter than the knowledge transfer cycle it must support. With 53% of healthcare CIOs holding their roles for less than three years</w:t>
      </w:r>
      <w:hyperlink w:anchor="ref-wittkieffer2024">
        <w:r>
          <w:rPr>
            <w:rStyle w:val="Hyperlink"/>
            <w:vertAlign w:val="superscript"/>
          </w:rPr>
          <w:t xml:space="preserve">5</w:t>
        </w:r>
      </w:hyperlink>
      <w:r>
        <w:t xml:space="preserve">, strategic knowledge at the leadership level turns over before it can be transmitted. At the operational level, 55% of public health informatics specialists intend to leave their positions</w:t>
      </w:r>
      <w:hyperlink w:anchor="ref-rajamani2025">
        <w:r>
          <w:rPr>
            <w:rStyle w:val="Hyperlink"/>
            <w:vertAlign w:val="superscript"/>
          </w:rPr>
          <w:t xml:space="preserve">7</w:t>
        </w:r>
      </w:hyperlink>
      <w:r>
        <w:t xml:space="preserve">, and 30% of new employees depart within their first year</w:t>
      </w:r>
      <w:hyperlink w:anchor="ref-nsi2025">
        <w:r>
          <w:rPr>
            <w:rStyle w:val="Hyperlink"/>
            <w:vertAlign w:val="superscript"/>
          </w:rPr>
          <w:t xml:space="preserve">19</w:t>
        </w:r>
      </w:hyperlink>
      <w:r>
        <w:t xml:space="preserve">. Meanwhile, specialized informatics roles require 18 to 24 months to reach fluency</w:t>
      </w:r>
      <w:hyperlink w:anchor="ref-ledikwe2013">
        <w:r>
          <w:rPr>
            <w:rStyle w:val="Hyperlink"/>
            <w:vertAlign w:val="superscript"/>
          </w:rPr>
          <w:t xml:space="preserve">13</w:t>
        </w:r>
      </w:hyperlink>
      <w:r>
        <w:rPr>
          <w:vertAlign w:val="superscript"/>
        </w:rPr>
        <w:t xml:space="preserve">,</w:t>
      </w:r>
      <w:hyperlink w:anchor="ref-konrad2022">
        <w:r>
          <w:rPr>
            <w:rStyle w:val="Hyperlink"/>
            <w:vertAlign w:val="superscript"/>
          </w:rPr>
          <w:t xml:space="preserve">20</w:t>
        </w:r>
      </w:hyperlink>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hyperlink w:anchor="ref-wu2024">
        <w:r>
          <w:rPr>
            <w:rStyle w:val="Hyperlink"/>
            <w:vertAlign w:val="superscript"/>
          </w:rPr>
          <w:t xml:space="preserve">21</w:t>
        </w:r>
      </w:hyperlink>
      <w:r>
        <w:rPr>
          <w:vertAlign w:val="superscript"/>
        </w:rPr>
        <w:t xml:space="preserve">,</w:t>
      </w:r>
      <w:hyperlink w:anchor="ref-ren2024">
        <w:r>
          <w:rPr>
            <w:rStyle w:val="Hyperlink"/>
            <w:vertAlign w:val="superscript"/>
          </w:rPr>
          <w:t xml:space="preserve">22</w:t>
        </w:r>
      </w:hyperlink>
      <w:r>
        <w:t xml:space="preserve">. The resulting knowledge loss is compounding: each departure removes a node from the organization’s informal knowledge network, making subsequent Socialization attempts less effective because fewer experienced practitioners remain to serve as mentors</w:t>
      </w:r>
      <w:hyperlink w:anchor="ref-massingham2018">
        <w:r>
          <w:rPr>
            <w:rStyle w:val="Hyperlink"/>
            <w:vertAlign w:val="superscript"/>
          </w:rPr>
          <w:t xml:space="preserve">23</w:t>
        </w:r>
      </w:hyperlink>
      <w:r>
        <w:t xml:space="preserve">. Socialization is no longer a viable strategy for resilience.</w:t>
      </w:r>
    </w:p>
    <w:bookmarkEnd w:id="10"/>
    <w:bookmarkStart w:id="11" w:name="Xf458f350ef8764fcb7ec571ecbc945d28921a42"/>
    <w:p>
      <w:pPr>
        <w:pStyle w:val="Heading2"/>
      </w:pPr>
      <w:r>
        <w:rPr>
          <w:rStyle w:val="SectionNumber"/>
        </w:rPr>
        <w:t xml:space="preserve">2.2</w:t>
      </w:r>
      <w:r>
        <w:tab/>
      </w: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hyperlink w:anchor="ref-zhang2025">
        <w:r>
          <w:rPr>
            <w:rStyle w:val="Hyperlink"/>
            <w:vertAlign w:val="superscript"/>
          </w:rPr>
          <w:t xml:space="preserve">24</w:t>
        </w:r>
      </w:hyperlink>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hyperlink w:anchor="ref-goffin2011">
        <w:r>
          <w:rPr>
            <w:rStyle w:val="Hyperlink"/>
            <w:vertAlign w:val="superscript"/>
          </w:rPr>
          <w:t xml:space="preserve">25</w:t>
        </w:r>
      </w:hyperlink>
      <w:r>
        <w:t xml:space="preserve">. In a high-burnout environment where provider organizations report persistent shortages in digital health roles</w:t>
      </w:r>
      <w:hyperlink w:anchor="ref-himssworkforce2024">
        <w:r>
          <w:rPr>
            <w:rStyle w:val="Hyperlink"/>
            <w:vertAlign w:val="superscript"/>
          </w:rPr>
          <w:t xml:space="preserve">6</w:t>
        </w:r>
      </w:hyperlink>
      <w:r>
        <w:t xml:space="preserve">, this discretionary documentation is the first casualty. Second, it is low-fidelity: the act of writing down tacit knowledge inevitably loses nuance, context, and the conditional logic that makes institutional knowledge valuable</w:t>
      </w:r>
      <w:hyperlink w:anchor="ref-foos2006">
        <w:r>
          <w:rPr>
            <w:rStyle w:val="Hyperlink"/>
            <w:vertAlign w:val="superscript"/>
          </w:rPr>
          <w:t xml:space="preserve">18</w:t>
        </w:r>
      </w:hyperlink>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workflow of analytics rather than as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“Hypertension readmissions excluding planned transfers”</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“why”</w:t>
      </w:r>
      <w:r>
        <w:t xml:space="preserve"> </w:t>
      </w:r>
      <w:r>
        <w:t xml:space="preserve">behind the logic (e.g.,</w:t>
      </w:r>
      <w:r>
        <w:t xml:space="preserve"> </w:t>
      </w:r>
      <w:r>
        <w:t xml:space="preserve">“Excluding status 02 per CMS 2025 rule”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hyperlink w:anchor="ref-moore2018">
        <w:r>
          <w:rPr>
            <w:rStyle w:val="Hyperlink"/>
            <w:vertAlign w:val="superscript"/>
          </w:rPr>
          <w:t xml:space="preserve">26</w:t>
        </w:r>
      </w:hyperlink>
      <w:r>
        <w:t xml:space="preserve">.</w:t>
      </w:r>
    </w:p>
    <w:bookmarkEnd w:id="11"/>
    <w:bookmarkEnd w:id="12"/>
    <w:bookmarkStart w:id="22" w:name="human-in-the-loop-knowledge-governance"/>
    <w:p>
      <w:pPr>
        <w:pStyle w:val="Heading1"/>
      </w:pPr>
      <w:r>
        <w:rPr>
          <w:rStyle w:val="SectionNumber"/>
        </w:rPr>
        <w:t xml:space="preserve">3</w:t>
      </w:r>
      <w:r>
        <w:tab/>
      </w: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hyperlink w:anchor="ref-foss2007">
        <w:r>
          <w:rPr>
            <w:rStyle w:val="Hyperlink"/>
            <w:vertAlign w:val="superscript"/>
          </w:rPr>
          <w:t xml:space="preserve">27</w:t>
        </w:r>
      </w:hyperlink>
      <w:r>
        <w:t xml:space="preserve"> </w:t>
      </w:r>
      <w:r>
        <w:t xml:space="preserve">with the Validated Query Cycle as its core operational process. This framing reflects that the system serves as a governance mechanism, not just a productivity tool.</w:t>
      </w:r>
    </w:p>
    <w:bookmarkStart w:id="19" w:name="the-hitl-kg-architecture"/>
    <w:p>
      <w:pPr>
        <w:pStyle w:val="Heading2"/>
      </w:pPr>
      <w:r>
        <w:rPr>
          <w:rStyle w:val="SectionNumber"/>
        </w:rPr>
        <w:t xml:space="preserve">3.1</w:t>
      </w:r>
      <w:r>
        <w:tab/>
      </w: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the</w:t>
      </w:r>
      <w:r>
        <w:t xml:space="preserve"> </w:t>
      </w:r>
      <w:r>
        <w:t xml:space="preserve">“laundering”</w:t>
      </w:r>
      <w:r>
        <w:t xml:space="preserve"> </w:t>
      </w:r>
      <w:r>
        <w:t xml:space="preserve">of hallucinations while simultaneously capturing expert knowledge.</w:t>
      </w:r>
    </w:p>
    <w:p>
      <w:pPr>
        <w:pStyle w:val="CaptionedFigure"/>
      </w:pPr>
      <w:r>
        <w:drawing>
          <wp:inline>
            <wp:extent cx="5067300" cy="5062370"/>
            <wp:effectExtent b="0" l="0" r="0" t="0"/>
            <wp:docPr descr="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informs future queries alongside a Knowledge Base of ontologies and best practices." title="" id="14" name="Picture"/>
            <a:graphic>
              <a:graphicData uri="http://schemas.openxmlformats.org/drawingml/2006/picture">
                <pic:pic>
                  <pic:nvPicPr>
                    <pic:cNvPr descr="figures/architecture.mmd.png" id="15" name="Picture"/>
                    <pic:cNvPicPr>
                      <a:picLocks noChangeArrowheads="1" noChangeAspect="1"/>
                    </pic:cNvPicPr>
                  </pic:nvPicPr>
                  <pic:blipFill>
                    <a:blip r:embed="rId13"/>
                    <a:stretch>
                      <a:fillRect/>
                    </a:stretch>
                  </pic:blipFill>
                  <pic:spPr bwMode="auto">
                    <a:xfrm>
                      <a:off x="0" y="0"/>
                      <a:ext cx="5067300" cy="5062370"/>
                    </a:xfrm>
                    <a:prstGeom prst="rect">
                      <a:avLst/>
                    </a:prstGeom>
                    <a:noFill/>
                    <a:ln w="9525">
                      <a:noFill/>
                      <a:headEnd/>
                      <a:tailEnd/>
                    </a:ln>
                  </pic:spPr>
                </pic:pic>
              </a:graphicData>
            </a:graphic>
          </wp:inline>
        </w:drawing>
      </w:r>
    </w:p>
    <w:p>
      <w:pPr>
        <w:pStyle w:val="ImageCaption"/>
      </w:pPr>
      <w:r>
        <w:t xml:space="preserve">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informs future queries alongside a Knowledge Base of ontologies and best practices.</w:t>
      </w:r>
    </w:p>
    <w:p>
      <w:pPr>
        <w:pStyle w:val="BodyText"/>
      </w:pPr>
      <w:r>
        <w:t xml:space="preserve">The corresponding six step Validated Query Cycle is summarized in Figure 2, which shows how queries move from initial clinical intent through expert validation into durable organizational memory.</w:t>
      </w:r>
    </w:p>
    <w:p>
      <w:pPr>
        <w:pStyle w:val="CaptionedFigure"/>
      </w:pPr>
      <w:r>
        <w:drawing>
          <wp:inline>
            <wp:extent cx="4267200" cy="7697062"/>
            <wp:effectExtent b="0" l="0" r="0" t="0"/>
            <wp:docPr descr="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 title="" id="17" name="Picture"/>
            <a:graphic>
              <a:graphicData uri="http://schemas.openxmlformats.org/drawingml/2006/picture">
                <pic:pic>
                  <pic:nvPicPr>
                    <pic:cNvPr descr="figures/knowledge-cycle.mmd.png" id="18" name="Picture"/>
                    <pic:cNvPicPr>
                      <a:picLocks noChangeArrowheads="1" noChangeAspect="1"/>
                    </pic:cNvPicPr>
                  </pic:nvPicPr>
                  <pic:blipFill>
                    <a:blip r:embed="rId16"/>
                    <a:stretch>
                      <a:fillRect/>
                    </a:stretch>
                  </pic:blipFill>
                  <pic:spPr bwMode="auto">
                    <a:xfrm>
                      <a:off x="0" y="0"/>
                      <a:ext cx="4267200" cy="7697062"/>
                    </a:xfrm>
                    <a:prstGeom prst="rect">
                      <a:avLst/>
                    </a:prstGeom>
                    <a:noFill/>
                    <a:ln w="9525">
                      <a:noFill/>
                      <a:headEnd/>
                      <a:tailEnd/>
                    </a:ln>
                  </pic:spPr>
                </pic:pic>
              </a:graphicData>
            </a:graphic>
          </wp:inline>
        </w:drawing>
      </w:r>
    </w:p>
    <w:p>
      <w:pPr>
        <w:pStyle w:val="ImageCaption"/>
      </w:pPr>
      <w:r>
        <w:t xml:space="preserve">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w:t>
      </w:r>
    </w:p>
    <w:bookmarkEnd w:id="19"/>
    <w:bookmarkStart w:id="20" w:name="the-process-of-externalization"/>
    <w:p>
      <w:pPr>
        <w:pStyle w:val="Heading2"/>
      </w:pPr>
      <w:r>
        <w:rPr>
          <w:rStyle w:val="SectionNumber"/>
        </w:rPr>
        <w:t xml:space="preserve">3.2</w:t>
      </w:r>
      <w:r>
        <w:tab/>
      </w:r>
      <w:r>
        <w:t xml:space="preserve">The Process of Externalization</w:t>
      </w:r>
    </w:p>
    <w:p>
      <w:pPr>
        <w:pStyle w:val="Compact"/>
        <w:numPr>
          <w:ilvl w:val="0"/>
          <w:numId w:val="1002"/>
        </w:numPr>
      </w:pPr>
      <w:r>
        <w:rPr>
          <w:i/>
          <w:iCs/>
        </w:rPr>
        <w:t xml:space="preserve">Query Generation</w:t>
      </w:r>
      <w:r>
        <w:t xml:space="preserve">: A user asks a question. The AI proposes SQL based on schema knowledge</w:t>
      </w:r>
      <w:hyperlink w:anchor="ref-wang2020">
        <w:r>
          <w:rPr>
            <w:rStyle w:val="Hyperlink"/>
            <w:vertAlign w:val="superscript"/>
          </w:rPr>
          <w:t xml:space="preserve">10</w:t>
        </w:r>
      </w:hyperlink>
      <w:r>
        <w:rPr>
          <w:vertAlign w:val="superscript"/>
        </w:rPr>
        <w:t xml:space="preserve">,</w:t>
      </w:r>
      <w:hyperlink w:anchor="ref-lee2023">
        <w:r>
          <w:rPr>
            <w:rStyle w:val="Hyperlink"/>
            <w:vertAlign w:val="superscript"/>
          </w:rPr>
          <w:t xml:space="preserve">28</w:t>
        </w:r>
      </w:hyperlink>
      <w:r>
        <w:t xml:space="preserve">.</w:t>
      </w:r>
    </w:p>
    <w:p>
      <w:pPr>
        <w:pStyle w:val="Compact"/>
        <w:numPr>
          <w:ilvl w:val="0"/>
          <w:numId w:val="1002"/>
        </w:numPr>
      </w:pPr>
      <w:r>
        <w:rPr>
          <w:i/>
          <w:iCs/>
        </w:rPr>
        <w:t xml:space="preserve">Semantic Translation</w:t>
      </w:r>
      <w:r>
        <w:t xml:space="preserve">: The AI translates the SQL back into a natural language explanation</w:t>
      </w:r>
      <w:hyperlink w:anchor="ref-ziletti2024">
        <w:r>
          <w:rPr>
            <w:rStyle w:val="Hyperlink"/>
            <w:vertAlign w:val="superscript"/>
          </w:rPr>
          <w:t xml:space="preserve">29</w:t>
        </w:r>
      </w:hyperlink>
      <w:r>
        <w:t xml:space="preserve">.</w:t>
      </w:r>
    </w:p>
    <w:p>
      <w:pPr>
        <w:pStyle w:val="Compact"/>
        <w:numPr>
          <w:ilvl w:val="0"/>
          <w:numId w:val="1002"/>
        </w:numPr>
      </w:pPr>
      <w:r>
        <w:rPr>
          <w:i/>
          <w:iCs/>
        </w:rPr>
        <w:t xml:space="preserve">Expert Validation</w:t>
      </w:r>
      <w:r>
        <w:t xml:space="preserve">: The domain expert confirms or corrects this interpretation.</w:t>
      </w:r>
      <w:r>
        <w:t xml:space="preserve"> </w:t>
      </w:r>
      <w:r>
        <w:rPr>
          <w:i/>
          <w:iCs/>
        </w:rPr>
        <w:t xml:space="preserve">This is the critical moment of Externalization.</w:t>
      </w:r>
      <w:r>
        <w:t xml:space="preserve"> </w:t>
      </w:r>
      <w:r>
        <w:t xml:space="preserve">This</w:t>
      </w:r>
      <w:r>
        <w:t xml:space="preserve"> </w:t>
      </w:r>
      <w:r>
        <w:t xml:space="preserve">“Human-in-the-Loop”</w:t>
      </w:r>
      <w:r>
        <w:t xml:space="preserve"> </w:t>
      </w:r>
      <w:r>
        <w:t xml:space="preserve">(HITL) step transforms validation into an iterative knowledge capture process</w:t>
      </w:r>
      <w:hyperlink w:anchor="ref-bravorocca2023">
        <w:r>
          <w:rPr>
            <w:rStyle w:val="Hyperlink"/>
            <w:vertAlign w:val="superscript"/>
          </w:rPr>
          <w:t xml:space="preserve">30</w:t>
        </w:r>
      </w:hyperlink>
      <w:r>
        <w:rPr>
          <w:vertAlign w:val="superscript"/>
        </w:rPr>
        <w:t xml:space="preserve">,</w:t>
      </w:r>
      <w:hyperlink w:anchor="ref-mosqueirarey2023">
        <w:r>
          <w:rPr>
            <w:rStyle w:val="Hyperlink"/>
            <w:vertAlign w:val="superscript"/>
          </w:rPr>
          <w:t xml:space="preserve">31</w:t>
        </w:r>
      </w:hyperlink>
      <w:r>
        <w:t xml:space="preserve">.</w:t>
      </w:r>
    </w:p>
    <w:p>
      <w:pPr>
        <w:pStyle w:val="Compact"/>
        <w:numPr>
          <w:ilvl w:val="0"/>
          <w:numId w:val="1002"/>
        </w:numPr>
      </w:pPr>
      <w:r>
        <w:rPr>
          <w:i/>
          <w:iCs/>
        </w:rPr>
        <w:t xml:space="preserve">Artifact Storage</w:t>
      </w:r>
      <w:r>
        <w:t xml:space="preserve">: The validated triple is hashed and stored in organizational memory</w:t>
      </w:r>
      <w:hyperlink w:anchor="ref-benbya2004">
        <w:r>
          <w:rPr>
            <w:rStyle w:val="Hyperlink"/>
            <w:vertAlign w:val="superscript"/>
          </w:rPr>
          <w:t xml:space="preserve">32</w:t>
        </w:r>
      </w:hyperlink>
      <w:r>
        <w:t xml:space="preserve">.</w:t>
      </w:r>
    </w:p>
    <w:p>
      <w:pPr>
        <w:pStyle w:val="Compact"/>
        <w:numPr>
          <w:ilvl w:val="0"/>
          <w:numId w:val="1002"/>
        </w:numPr>
      </w:pPr>
      <w:r>
        <w:rPr>
          <w:i/>
          <w:iCs/>
        </w:rPr>
        <w:t xml:space="preserve">Retrieval</w:t>
      </w:r>
      <w:r>
        <w:t xml:space="preserve">: Future queries semantically match against this repository first, retrieving</w:t>
      </w:r>
      <w:r>
        <w:t xml:space="preserve"> </w:t>
      </w:r>
      <w:r>
        <w:rPr>
          <w:i/>
          <w:iCs/>
        </w:rPr>
        <w:t xml:space="preserve">trusted</w:t>
      </w:r>
      <w:r>
        <w:t xml:space="preserve"> </w:t>
      </w:r>
      <w:r>
        <w:t xml:space="preserve">human knowledge before attempting</w:t>
      </w:r>
      <w:r>
        <w:t xml:space="preserve"> </w:t>
      </w:r>
      <w:r>
        <w:rPr>
          <w:i/>
          <w:iCs/>
        </w:rPr>
        <w:t xml:space="preserve">probabilistic</w:t>
      </w:r>
      <w:r>
        <w:t xml:space="preserve"> </w:t>
      </w:r>
      <w:r>
        <w:t xml:space="preserve">generation</w:t>
      </w:r>
      <w:hyperlink w:anchor="ref-whittaker2008">
        <w:r>
          <w:rPr>
            <w:rStyle w:val="Hyperlink"/>
            <w:vertAlign w:val="superscript"/>
          </w:rPr>
          <w:t xml:space="preserve">33</w:t>
        </w:r>
      </w:hyperlink>
      <w:r>
        <w:t xml:space="preserve">.</w:t>
      </w:r>
    </w:p>
    <w:bookmarkEnd w:id="20"/>
    <w:bookmarkStart w:id="21" w:name="comparison-with-existing-approaches"/>
    <w:p>
      <w:pPr>
        <w:pStyle w:val="Heading2"/>
      </w:pPr>
      <w:r>
        <w:rPr>
          <w:rStyle w:val="SectionNumber"/>
        </w:rPr>
        <w:t xml:space="preserve">3.3</w:t>
      </w:r>
      <w:r>
        <w:tab/>
      </w:r>
      <w:r>
        <w:t xml:space="preserve">Comparison with Existing Approaches</w:t>
      </w:r>
    </w:p>
    <w:p>
      <w:pPr>
        <w:pStyle w:val="FirstParagraph"/>
      </w:pPr>
      <w:r>
        <w:t xml:space="preserve">Organizations have attempted to address institutional memory loss through several strategies, each with limitations that HITL-KG is designed to overcome.</w:t>
      </w:r>
    </w:p>
    <w:p>
      <w:pPr>
        <w:pStyle w:val="BodyText"/>
      </w:pPr>
      <w:r>
        <w:rPr>
          <w:i/>
          <w:iCs/>
        </w:rPr>
        <w:t xml:space="preserve">Code-based semantic layers</w:t>
      </w:r>
      <w:r>
        <w:t xml:space="preserve"> </w:t>
      </w:r>
      <w:r>
        <w:t xml:space="preserve">(e.g., dbt, LookML) encode business logic in version-controlled repositories. However, these layers suffer from</w:t>
      </w:r>
      <w:r>
        <w:t xml:space="preserve"> </w:t>
      </w:r>
      <w:r>
        <w:t xml:space="preserve">“schema rot”</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hyperlink w:anchor="ref-mannapur2025">
        <w:r>
          <w:rPr>
            <w:rStyle w:val="Hyperlink"/>
            <w:vertAlign w:val="superscript"/>
          </w:rPr>
          <w:t xml:space="preserve">34</w:t>
        </w:r>
      </w:hyperlink>
      <w:r>
        <w:rPr>
          <w:vertAlign w:val="superscript"/>
        </w:rPr>
        <w:t xml:space="preserve">,</w:t>
      </w:r>
      <w:hyperlink w:anchor="ref-battula2025">
        <w:r>
          <w:rPr>
            <w:rStyle w:val="Hyperlink"/>
            <w:vertAlign w:val="superscript"/>
          </w:rPr>
          <w:t xml:space="preserve">35</w:t>
        </w:r>
      </w:hyperlink>
      <w:r>
        <w:t xml:space="preserve">. HITL-KG’s validated query triples share the version-control principle but add the rationale metadata that semantic layers lack: not just</w:t>
      </w:r>
      <w:r>
        <w:t xml:space="preserve"> </w:t>
      </w:r>
      <w:r>
        <w:rPr>
          <w:i/>
          <w:iCs/>
        </w:rPr>
        <w:t xml:space="preserve">what</w:t>
      </w:r>
      <w:r>
        <w:t xml:space="preserve"> </w:t>
      </w:r>
      <w:r>
        <w:t xml:space="preserve">the query does, but</w:t>
      </w:r>
      <w:r>
        <w:t xml:space="preserve"> </w:t>
      </w:r>
      <w:r>
        <w:rPr>
          <w:i/>
          <w:iCs/>
        </w:rPr>
        <w:t xml:space="preserve">why</w:t>
      </w:r>
      <w:r>
        <w:t xml:space="preserve"> </w:t>
      </w:r>
      <w:r>
        <w:t xml:space="preserve">it was constructed that way.</w:t>
      </w:r>
    </w:p>
    <w:p>
      <w:pPr>
        <w:pStyle w:val="BodyText"/>
      </w:pPr>
      <w:r>
        <w:rPr>
          <w:i/>
          <w:iCs/>
        </w:rPr>
        <w:t xml:space="preserve">Traditional knowledge management</w:t>
      </w:r>
      <w:r>
        <w:t xml:space="preserve"> </w:t>
      </w:r>
      <w:r>
        <w:t xml:space="preserve">(wikis, data dictionaries, runbooks) relies on passive capture where users must stop working to document. Evidence suggests this negatively impacts participation and produces inaccurate records due to cognitive load</w:t>
      </w:r>
      <w:hyperlink w:anchor="ref-mayo2016">
        <w:r>
          <w:rPr>
            <w:rStyle w:val="Hyperlink"/>
            <w:vertAlign w:val="superscript"/>
          </w:rPr>
          <w:t xml:space="preserve">12</w:t>
        </w:r>
      </w:hyperlink>
      <w:r>
        <w:rPr>
          <w:vertAlign w:val="superscript"/>
        </w:rPr>
        <w:t xml:space="preserve">,</w:t>
      </w:r>
      <w:hyperlink w:anchor="ref-goffin2011">
        <w:r>
          <w:rPr>
            <w:rStyle w:val="Hyperlink"/>
            <w:vertAlign w:val="superscript"/>
          </w:rPr>
          <w:t xml:space="preserve">25</w:t>
        </w:r>
      </w:hyperlink>
      <w:r>
        <w:t xml:space="preserve">. HITL-KG instead implements active capture: the query itself is the documentation, and validation happens at the point of use rather than as a separate maintenance task</w:t>
      </w:r>
      <w:hyperlink w:anchor="ref-moore2018">
        <w:r>
          <w:rPr>
            <w:rStyle w:val="Hyperlink"/>
            <w:vertAlign w:val="superscript"/>
          </w:rPr>
          <w:t xml:space="preserve">26</w:t>
        </w:r>
      </w:hyperlink>
      <w:r>
        <w:t xml:space="preserve">.</w:t>
      </w:r>
    </w:p>
    <w:p>
      <w:pPr>
        <w:pStyle w:val="BodyText"/>
      </w:pPr>
      <w:r>
        <w:rPr>
          <w:i/>
          <w:iCs/>
        </w:rPr>
        <w:t xml:space="preserve">Unsupervised AI querying</w:t>
      </w:r>
      <w:r>
        <w:t xml:space="preserve"> </w:t>
      </w:r>
      <w:r>
        <w:t xml:space="preserve">represents the opposite extreme: removing human oversight entirely. Current NL2SQL accuracy levels make this unsafe for clinical analytics</w:t>
      </w:r>
      <w:hyperlink w:anchor="ref-ziletti2024">
        <w:r>
          <w:rPr>
            <w:rStyle w:val="Hyperlink"/>
            <w:vertAlign w:val="superscript"/>
          </w:rPr>
          <w:t xml:space="preserve">29</w:t>
        </w:r>
      </w:hyperlink>
      <w:r>
        <w:t xml:space="preserve">. HITL-KG occupies the middle ground, using AI as the generation engine while preserving human judgment as the validation gate.</w:t>
      </w:r>
    </w:p>
    <w:bookmarkEnd w:id="21"/>
    <w:bookmarkEnd w:id="22"/>
    <w:bookmarkStart w:id="26" w:name="the-evidence-base-three-pillars"/>
    <w:p>
      <w:pPr>
        <w:pStyle w:val="Heading1"/>
      </w:pPr>
      <w:r>
        <w:rPr>
          <w:rStyle w:val="SectionNumber"/>
        </w:rPr>
        <w:t xml:space="preserve">4</w:t>
      </w:r>
      <w:r>
        <w:tab/>
      </w: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over 130 sources.</w:t>
      </w:r>
    </w:p>
    <w:bookmarkStart w:id="23" w:name="pillar-1-analytics-maturity-evidence"/>
    <w:p>
      <w:pPr>
        <w:pStyle w:val="Heading2"/>
      </w:pPr>
      <w:r>
        <w:rPr>
          <w:rStyle w:val="SectionNumber"/>
        </w:rPr>
        <w:t xml:space="preserve">4.1</w:t>
      </w:r>
      <w:r>
        <w:tab/>
      </w:r>
      <w:r>
        <w:t xml:space="preserve">Pillar 1: Analytics Maturity Evidence</w:t>
      </w:r>
    </w:p>
    <w:p>
      <w:pPr>
        <w:pStyle w:val="FirstParagraph"/>
      </w:pPr>
      <w:r>
        <w:t xml:space="preserve">Healthcare maturity remains chronically low. Assessments reveal only 26 organizations achieved Stage 6 and 13 reached Stage 7 by late 2024</w:t>
      </w:r>
      <w:hyperlink w:anchor="ref-himss2024">
        <w:r>
          <w:rPr>
            <w:rStyle w:val="Hyperlink"/>
            <w:vertAlign w:val="superscript"/>
          </w:rPr>
          <w:t xml:space="preserve">1</w:t>
        </w:r>
      </w:hyperlink>
      <w:r>
        <w:rPr>
          <w:vertAlign w:val="superscript"/>
        </w:rPr>
        <w:t xml:space="preserve">,</w:t>
      </w:r>
      <w:hyperlink w:anchor="ref-himss2024news">
        <w:r>
          <w:rPr>
            <w:rStyle w:val="Hyperlink"/>
            <w:vertAlign w:val="superscript"/>
          </w:rPr>
          <w:t xml:space="preserve">36</w:t>
        </w:r>
      </w:hyperlink>
      <w:r>
        <w:t xml:space="preserve">. Most organizations remain at Stages 0-3, characterized by fragmented data and limited predictive capabilities</w:t>
      </w:r>
      <w:hyperlink w:anchor="ref-health2020">
        <w:r>
          <w:rPr>
            <w:rStyle w:val="Hyperlink"/>
            <w:vertAlign w:val="superscript"/>
          </w:rPr>
          <w:t xml:space="preserve">37</w:t>
        </w:r>
      </w:hyperlink>
      <w:r>
        <w:t xml:space="preserve">. However, maturity is not merely an IT metric; it is a clinical safety predictor. EMRAM levels 6-7 correlate with 3.25 times higher odds of better Leapfrog Safety Grades</w:t>
      </w:r>
      <w:hyperlink w:anchor="ref-snowdon2024">
        <w:r>
          <w:rPr>
            <w:rStyle w:val="Hyperlink"/>
            <w:vertAlign w:val="superscript"/>
          </w:rPr>
          <w:t xml:space="preserve">38</w:t>
        </w:r>
      </w:hyperlink>
      <w:r>
        <w:t xml:space="preserve">. Low maturity creates a</w:t>
      </w:r>
      <w:r>
        <w:t xml:space="preserve"> </w:t>
      </w:r>
      <w:r>
        <w:t xml:space="preserve">“low-maturity trap”</w:t>
      </w:r>
      <w:r>
        <w:t xml:space="preserve"> </w:t>
      </w:r>
      <w:r>
        <w:t xml:space="preserve">where data quality issues (such as the 39-71% missing data rates in cancer databases</w:t>
      </w:r>
      <w:hyperlink w:anchor="ref-yang2021">
        <w:r>
          <w:rPr>
            <w:rStyle w:val="Hyperlink"/>
            <w:vertAlign w:val="superscript"/>
          </w:rPr>
          <w:t xml:space="preserve">39</w:t>
        </w:r>
      </w:hyperlink>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creating a vicious cycle in which poor data quality goes unrecognized because no systems exist to measure it. The clinical consequences of this trap are measurable: one Medicare ACO that implemented analytics to overcome EHR fragmentation reduced readmission rates from 24% to 17.8% and achieved $1.6 million in cost savings</w:t>
      </w:r>
      <w:hyperlink w:anchor="ref-latrella2024">
        <w:r>
          <w:rPr>
            <w:rStyle w:val="Hyperlink"/>
            <w:vertAlign w:val="superscript"/>
          </w:rPr>
          <w:t xml:space="preserve">40</w:t>
        </w:r>
      </w:hyperlink>
      <w:r>
        <w:t xml:space="preserve">, demonstrating what becomes possible when organizations escape this cycle. Yet 68% of healthcare organizations continue to cite data interoperability as the leading obstacle to analytics adoption, followed by privacy concerns (64%) and insufficient staff training (59%)</w:t>
      </w:r>
      <w:hyperlink w:anchor="ref-nashid2023">
        <w:r>
          <w:rPr>
            <w:rStyle w:val="Hyperlink"/>
            <w:vertAlign w:val="superscript"/>
          </w:rPr>
          <w:t xml:space="preserve">41</w:t>
        </w:r>
      </w:hyperlink>
      <w:r>
        <w:t xml:space="preserve">. Barriers including employee resistance to change and lack of organizational readiness further stall data-driven initiatives</w:t>
      </w:r>
      <w:hyperlink w:anchor="ref-shahbaz2019">
        <w:r>
          <w:rPr>
            <w:rStyle w:val="Hyperlink"/>
            <w:vertAlign w:val="superscript"/>
          </w:rPr>
          <w:t xml:space="preserve">42</w:t>
        </w:r>
      </w:hyperlink>
      <w:r>
        <w:rPr>
          <w:vertAlign w:val="superscript"/>
        </w:rPr>
        <w:t xml:space="preserve">,</w:t>
      </w:r>
      <w:hyperlink w:anchor="ref-kamble2019">
        <w:r>
          <w:rPr>
            <w:rStyle w:val="Hyperlink"/>
            <w:vertAlign w:val="superscript"/>
          </w:rPr>
          <w:t xml:space="preserve">43</w:t>
        </w:r>
      </w:hyperlink>
      <w:r>
        <w:t xml:space="preserve">. The low-maturity trap thus compounds over time: each year of delayed investment widens the gap between what the organization could know and what it actually knows.</w:t>
      </w:r>
    </w:p>
    <w:bookmarkEnd w:id="23"/>
    <w:bookmarkStart w:id="24" w:name="pillar-2-workforce-agility-evidence"/>
    <w:p>
      <w:pPr>
        <w:pStyle w:val="Heading2"/>
      </w:pPr>
      <w:r>
        <w:rPr>
          <w:rStyle w:val="SectionNumber"/>
        </w:rPr>
        <w:t xml:space="preserve">4.2</w:t>
      </w:r>
      <w:r>
        <w:tab/>
      </w:r>
      <w:r>
        <w:t xml:space="preserve">Pillar 2: Workforce Agility Evidence</w:t>
      </w:r>
    </w:p>
    <w:p>
      <w:pPr>
        <w:pStyle w:val="FirstParagraph"/>
      </w:pPr>
      <w:r>
        <w:t xml:space="preserve">The cost of turnover in informatics is higher than standard IT. Knowledge loss can cost up to three times annual salary</w:t>
      </w:r>
      <w:hyperlink w:anchor="ref-massingham2018">
        <w:r>
          <w:rPr>
            <w:rStyle w:val="Hyperlink"/>
            <w:vertAlign w:val="superscript"/>
          </w:rPr>
          <w:t xml:space="preserve">23</w:t>
        </w:r>
      </w:hyperlink>
      <w:r>
        <w:rPr>
          <w:vertAlign w:val="superscript"/>
        </w:rPr>
        <w:t xml:space="preserve">,</w:t>
      </w:r>
      <w:hyperlink w:anchor="ref-wynendaele2025">
        <w:r>
          <w:rPr>
            <w:rStyle w:val="Hyperlink"/>
            <w:vertAlign w:val="superscript"/>
          </w:rPr>
          <w:t xml:space="preserve">44</w:t>
        </w:r>
      </w:hyperlink>
      <w:r>
        <w:t xml:space="preserve">. In clinical informatics specifically, replacement costs range from $50,000 to $230,000 per departing employee, with a single department losing 39 staff in one year at a total cost of up to $8.97 million</w:t>
      </w:r>
      <w:hyperlink w:anchor="ref-hackney2024">
        <w:r>
          <w:rPr>
            <w:rStyle w:val="Hyperlink"/>
            <w:vertAlign w:val="superscript"/>
          </w:rPr>
          <w:t xml:space="preserve">45</w:t>
        </w:r>
      </w:hyperlink>
      <w:r>
        <w:t xml:space="preserve">. With 30% of new employees leaving within their first year</w:t>
      </w:r>
      <w:hyperlink w:anchor="ref-nsi2025">
        <w:r>
          <w:rPr>
            <w:rStyle w:val="Hyperlink"/>
            <w:vertAlign w:val="superscript"/>
          </w:rPr>
          <w:t xml:space="preserve">19</w:t>
        </w:r>
      </w:hyperlink>
      <w:r>
        <w:t xml:space="preserve">, healthcare IT professionals spend a limited portion of their employment at full productivity, as specialized roles require 18-24 months to reach fluency</w:t>
      </w:r>
      <w:hyperlink w:anchor="ref-ledikwe2013">
        <w:r>
          <w:rPr>
            <w:rStyle w:val="Hyperlink"/>
            <w:vertAlign w:val="superscript"/>
          </w:rPr>
          <w:t xml:space="preserve">13</w:t>
        </w:r>
      </w:hyperlink>
      <w:r>
        <w:rPr>
          <w:vertAlign w:val="superscript"/>
        </w:rPr>
        <w:t xml:space="preserve">,</w:t>
      </w:r>
      <w:hyperlink w:anchor="ref-konrad2022">
        <w:r>
          <w:rPr>
            <w:rStyle w:val="Hyperlink"/>
            <w:vertAlign w:val="superscript"/>
          </w:rPr>
          <w:t xml:space="preserve">20</w:t>
        </w:r>
      </w:hyperlink>
      <w:r>
        <w:t xml:space="preserve">. This</w:t>
      </w:r>
      <w:r>
        <w:t xml:space="preserve"> </w:t>
      </w:r>
      <w:r>
        <w:t xml:space="preserve">“revolving door”</w:t>
      </w:r>
      <w:r>
        <w:t xml:space="preserve"> </w:t>
      </w:r>
      <w:r>
        <w:t xml:space="preserve">prevents the accumulation of the</w:t>
      </w:r>
      <w:r>
        <w:t xml:space="preserve"> </w:t>
      </w:r>
      <w:r>
        <w:t xml:space="preserve">“Collective Knowledge Structures”</w:t>
      </w:r>
      <w:r>
        <w:t xml:space="preserve"> </w:t>
      </w:r>
      <w:r>
        <w:t xml:space="preserve">required for complex task performance</w:t>
      </w:r>
      <w:hyperlink w:anchor="ref-rao2006">
        <w:r>
          <w:rPr>
            <w:rStyle w:val="Hyperlink"/>
            <w:vertAlign w:val="superscript"/>
          </w:rPr>
          <w:t xml:space="preserve">11</w:t>
        </w:r>
      </w:hyperlink>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 A foundational 2004 study established that healthcare IT staff had the lowest expected tenure for new hires among all IT sectors at just 2.9 years</w:t>
      </w:r>
      <w:hyperlink w:anchor="ref-ang2004">
        <w:r>
          <w:rPr>
            <w:rStyle w:val="Hyperlink"/>
            <w:vertAlign w:val="superscript"/>
          </w:rPr>
          <w:t xml:space="preserve">15</w:t>
        </w:r>
      </w:hyperlink>
      <w:r>
        <w:t xml:space="preserve">. That this two-decade-old benchmark remains a primary reference point is itself evidence of the crisis: the field has lacked the stability even to systematically track its own attrition over the intervening decades.</w:t>
      </w:r>
    </w:p>
    <w:bookmarkEnd w:id="24"/>
    <w:bookmarkStart w:id="25" w:name="pillar-3-technical-enablement-evidence"/>
    <w:p>
      <w:pPr>
        <w:pStyle w:val="Heading2"/>
      </w:pPr>
      <w:r>
        <w:rPr>
          <w:rStyle w:val="SectionNumber"/>
        </w:rPr>
        <w:t xml:space="preserve">4.3</w:t>
      </w:r>
      <w:r>
        <w:tab/>
      </w:r>
      <w:r>
        <w:t xml:space="preserve">Pillar 3: Technical Enablement Evidence</w:t>
      </w:r>
    </w:p>
    <w:p>
      <w:pPr>
        <w:pStyle w:val="FirstParagraph"/>
      </w:pPr>
      <w:r>
        <w:t xml:space="preserve">NL2SQL technology has matured along a clear accuracy gradient: general-purpose models achieve approximately 65% execution accuracy on healthcare-specific benchmarks such as MIMICSQL</w:t>
      </w:r>
      <w:hyperlink w:anchor="ref-blaskovic2025">
        <w:r>
          <w:rPr>
            <w:rStyle w:val="Hyperlink"/>
            <w:vertAlign w:val="superscript"/>
          </w:rPr>
          <w:t xml:space="preserve">46</w:t>
        </w:r>
      </w:hyperlink>
      <w:r>
        <w:t xml:space="preserve">; domain-adapted systems like MedT5SQL reach 80%</w:t>
      </w:r>
      <w:hyperlink w:anchor="ref-marshan2024">
        <w:r>
          <w:rPr>
            <w:rStyle w:val="Hyperlink"/>
            <w:vertAlign w:val="superscript"/>
          </w:rPr>
          <w:t xml:space="preserve">47</w:t>
        </w:r>
      </w:hyperlink>
      <w:r>
        <w:t xml:space="preserve">; and architecturally specialized approaches combining LLMs with structured knowledge representations achieve 94% on the same benchmarks</w:t>
      </w:r>
      <w:hyperlink w:anchor="ref-chen2026graph">
        <w:r>
          <w:rPr>
            <w:rStyle w:val="Hyperlink"/>
            <w:vertAlign w:val="superscript"/>
          </w:rPr>
          <w:t xml:space="preserve">48</w:t>
        </w:r>
      </w:hyperlink>
      <w:r>
        <w:t xml:space="preserve">. While insufficient for unsupervised clinical deployment</w:t>
      </w:r>
      <w:hyperlink w:anchor="ref-ziletti2024">
        <w:r>
          <w:rPr>
            <w:rStyle w:val="Hyperlink"/>
            <w:vertAlign w:val="superscript"/>
          </w:rPr>
          <w:t xml:space="preserve">29</w:t>
        </w:r>
      </w:hyperlink>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hyperlink w:anchor="ref-tarbell2024">
        <w:r>
          <w:rPr>
            <w:rStyle w:val="Hyperlink"/>
            <w:vertAlign w:val="superscript"/>
          </w:rPr>
          <w:t xml:space="preserve">49</w:t>
        </w:r>
      </w:hyperlink>
      <w:r>
        <w:t xml:space="preserve">, reinforcing the necessity of the human-in-the-loop architecture. Healthcare-specific natural language interfaces such as Criteria2Query achieve fully automated cohort query formulation in 1.22 seconds per criterion</w:t>
      </w:r>
      <w:hyperlink w:anchor="ref-yuan2019">
        <w:r>
          <w:rPr>
            <w:rStyle w:val="Hyperlink"/>
            <w:vertAlign w:val="superscript"/>
          </w:rPr>
          <w:t xml:space="preserve">50</w:t>
        </w:r>
      </w:hyperlink>
      <w:r>
        <w:t xml:space="preserve">, with over 80% of clinical users indicating willingness to adopt such tools, and LLM-powered interfaces reduce task completion time by 28% compared to traditional methods</w:t>
      </w:r>
      <w:hyperlink w:anchor="ref-nittala2024">
        <w:r>
          <w:rPr>
            <w:rStyle w:val="Hyperlink"/>
            <w:vertAlign w:val="superscript"/>
          </w:rPr>
          <w:t xml:space="preserve">51</w:t>
        </w:r>
      </w:hyperlink>
      <w:r>
        <w:t xml:space="preserve">.</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r>
        <w:t xml:space="preserve">. In other words, the technology forces organizational discipline as a precondition for functioning, making it a governance forcing function even before considering the query results.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hyperlink w:anchor="ref-anthropic2025">
        <w:r>
          <w:rPr>
            <w:rStyle w:val="Hyperlink"/>
            <w:vertAlign w:val="superscript"/>
          </w:rPr>
          <w:t xml:space="preserve">52</w:t>
        </w:r>
      </w:hyperlink>
      <w:r>
        <w:rPr>
          <w:vertAlign w:val="superscript"/>
        </w:rPr>
        <w:t xml:space="preserve">–</w:t>
      </w:r>
      <w:hyperlink w:anchor="ref-arora2025">
        <w:r>
          <w:rPr>
            <w:rStyle w:val="Hyperlink"/>
            <w:vertAlign w:val="superscript"/>
          </w:rPr>
          <w:t xml:space="preserve">55</w:t>
        </w:r>
      </w:hyperlink>
      <w:r>
        <w:t xml:space="preserve">. The technical barrier thus becomes, paradoxically, a governance opportunity: the very difficulty of making NL2SQL work correctly compels organizations to surface and formalize the tacit knowledge that would otherwise remain trapped in departing experts.</w:t>
      </w:r>
    </w:p>
    <w:bookmarkEnd w:id="25"/>
    <w:bookmarkEnd w:id="26"/>
    <w:bookmarkStart w:id="29" w:name="organizational-self-assessment"/>
    <w:p>
      <w:pPr>
        <w:pStyle w:val="Heading1"/>
      </w:pPr>
      <w:r>
        <w:rPr>
          <w:rStyle w:val="SectionNumber"/>
        </w:rPr>
        <w:t xml:space="preserve">5</w:t>
      </w:r>
      <w:r>
        <w:tab/>
      </w: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27" w:name="why-assessment-not-just-maturity"/>
    <w:p>
      <w:pPr>
        <w:pStyle w:val="Heading2"/>
      </w:pPr>
      <w:r>
        <w:rPr>
          <w:rStyle w:val="SectionNumber"/>
        </w:rPr>
        <w:t xml:space="preserve">5.1</w:t>
      </w:r>
      <w:r>
        <w:tab/>
      </w:r>
      <w:r>
        <w:t xml:space="preserve">Why Assessment, Not Just Maturity</w:t>
      </w:r>
    </w:p>
    <w:p>
      <w:pPr>
        <w:pStyle w:val="FirstParagraph"/>
      </w:pPr>
      <w:r>
        <w:t xml:space="preserve">Existing maturity models such as AMAM, the DIKW hierarchy, and established knowledge management frameworks (see Table 1) assume linear progression and implicitly presuppose a stable workforce</w:t>
      </w:r>
      <w:hyperlink w:anchor="ref-himss2024">
        <w:r>
          <w:rPr>
            <w:rStyle w:val="Hyperlink"/>
            <w:vertAlign w:val="superscript"/>
          </w:rPr>
          <w:t xml:space="preserve">1</w:t>
        </w:r>
      </w:hyperlink>
      <w:r>
        <w:rPr>
          <w:vertAlign w:val="superscript"/>
        </w:rPr>
        <w:t xml:space="preserve">,</w:t>
      </w:r>
      <w:hyperlink w:anchor="ref-wang2018">
        <w:r>
          <w:rPr>
            <w:rStyle w:val="Hyperlink"/>
            <w:vertAlign w:val="superscript"/>
          </w:rPr>
          <w:t xml:space="preserve">9</w:t>
        </w:r>
      </w:hyperlink>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identified 23 distinct organizational resilience instruments applied in health facilities, yet found no consensus on what to measure</w:t>
      </w:r>
      <w:hyperlink w:anchor="ref-ignatowicz2023">
        <w:r>
          <w:rPr>
            <w:rStyle w:val="Hyperlink"/>
            <w:vertAlign w:val="superscript"/>
          </w:rPr>
          <w:t xml:space="preserve">56</w:t>
        </w:r>
      </w:hyperlink>
      <w:r>
        <w:t xml:space="preserve">. Only four instruments have been developed specifically for healthcare, and only two have been validated</w:t>
      </w:r>
      <w:hyperlink w:anchor="ref-ratliff2025">
        <w:r>
          <w:rPr>
            <w:rStyle w:val="Hyperlink"/>
            <w:vertAlign w:val="superscript"/>
          </w:rPr>
          <w:t xml:space="preserve">57</w:t>
        </w:r>
      </w:hyperlink>
      <w:r>
        <w:t xml:space="preserve">. The Three-Pillar Assessment addresses this gap by organizing evidence-based indicators around the specific domains where institutional amnesia operates, measuring not just where an organization stands but how vulnerable it is to the compounding effects identified in Section 1.</w:t>
      </w:r>
    </w:p>
    <w:bookmarkEnd w:id="27"/>
    <w:bookmarkStart w:id="28" w:name="the-three-pillar-rubric"/>
    <w:p>
      <w:pPr>
        <w:pStyle w:val="Heading2"/>
      </w:pPr>
      <w:r>
        <w:rPr>
          <w:rStyle w:val="SectionNumber"/>
        </w:rPr>
        <w:t xml:space="preserve">5.2</w:t>
      </w:r>
      <w:r>
        <w:tab/>
      </w:r>
      <w:r>
        <w:t xml:space="preserve">The Three-Pillar Rubric</w:t>
      </w:r>
    </w:p>
    <w:p>
      <w:pPr>
        <w:pStyle w:val="FirstParagraph"/>
      </w:pPr>
      <w:r>
        <w:t xml:space="preserve">Each indicator is scored as Low, Medium, or High Strength using evidence-based anchors from the literature reviewed in Section 4. Organizations scoring predominantly</w:t>
      </w:r>
      <w:r>
        <w:t xml:space="preserve"> </w:t>
      </w:r>
      <w:r>
        <w:t xml:space="preserve">“Low Strength”</w:t>
      </w:r>
      <w:r>
        <w:t xml:space="preserve"> </w:t>
      </w:r>
      <w:r>
        <w:t xml:space="preserve">across multiple pillars face the self-reinforcing degradation cycle that the framework identifies as the central threat.</w:t>
      </w:r>
    </w:p>
    <w:p>
      <w:pPr>
        <w:pStyle w:val="BodyText"/>
      </w:pPr>
      <w:r>
        <w:rPr>
          <w:i/>
          <w:iCs/>
        </w:rPr>
        <w:t xml:space="preserve">Pillar 1: Analytics Maturity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hyperlink w:anchor="ref-himss2024">
              <w:r>
                <w:rPr>
                  <w:rStyle w:val="Hyperlink"/>
                  <w:vertAlign w:val="superscript"/>
                </w:rPr>
                <w:t xml:space="preserve">1</w:t>
              </w:r>
            </w:hyperlink>
            <w:r>
              <w:rPr>
                <w:vertAlign w:val="superscript"/>
              </w:rPr>
              <w:t xml:space="preserve">,</w:t>
            </w:r>
            <w:hyperlink w:anchor="ref-himss2024news">
              <w:r>
                <w:rPr>
                  <w:rStyle w:val="Hyperlink"/>
                  <w:vertAlign w:val="superscript"/>
                </w:rPr>
                <w:t xml:space="preserve">36</w:t>
              </w:r>
            </w:hyperlink>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hyperlink w:anchor="ref-health2020">
              <w:r>
                <w:rPr>
                  <w:rStyle w:val="Hyperlink"/>
                  <w:vertAlign w:val="superscript"/>
                </w:rPr>
                <w:t xml:space="preserve">37</w:t>
              </w:r>
            </w:hyperlink>
            <w:r>
              <w:rPr>
                <w:vertAlign w:val="superscript"/>
              </w:rPr>
              <w:t xml:space="preserve">,</w:t>
            </w:r>
            <w:hyperlink w:anchor="ref-shahbaz2019">
              <w:r>
                <w:rPr>
                  <w:rStyle w:val="Hyperlink"/>
                  <w:vertAlign w:val="superscript"/>
                </w:rPr>
                <w:t xml:space="preserve">42</w:t>
              </w:r>
            </w:hyperlink>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hyperlink w:anchor="ref-ziletti2024">
              <w:r>
                <w:rPr>
                  <w:rStyle w:val="Hyperlink"/>
                  <w:vertAlign w:val="superscript"/>
                </w:rPr>
                <w:t xml:space="preserve">29</w:t>
              </w:r>
            </w:hyperlink>
            <w:r>
              <w:rPr>
                <w:vertAlign w:val="superscript"/>
              </w:rPr>
              <w:t xml:space="preserve">,</w:t>
            </w:r>
            <w:hyperlink w:anchor="ref-yuan2019">
              <w:r>
                <w:rPr>
                  <w:rStyle w:val="Hyperlink"/>
                  <w:vertAlign w:val="superscript"/>
                </w:rPr>
                <w:t xml:space="preserve">50</w:t>
              </w:r>
            </w:hyperlink>
          </w:p>
        </w:tc>
      </w:tr>
    </w:tbl>
    <w:p>
      <w:pPr>
        <w:pStyle w:val="BodyText"/>
      </w:pPr>
      <w:r>
        <w:rPr>
          <w:i/>
          <w:iCs/>
        </w:rPr>
        <w:t xml:space="preserve">Pillar 2: Workforce Agility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First-year analytics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hyperlink w:anchor="ref-nsi2025">
              <w:r>
                <w:rPr>
                  <w:rStyle w:val="Hyperlink"/>
                  <w:vertAlign w:val="superscript"/>
                </w:rPr>
                <w:t xml:space="preserve">19</w:t>
              </w:r>
            </w:hyperlink>
            <w:r>
              <w:rPr>
                <w:vertAlign w:val="superscript"/>
              </w:rPr>
              <w:t xml:space="preserve">,</w:t>
            </w:r>
            <w:hyperlink w:anchor="ref-hackney2024">
              <w:r>
                <w:rPr>
                  <w:rStyle w:val="Hyperlink"/>
                  <w:vertAlign w:val="superscript"/>
                </w:rPr>
                <w:t xml:space="preserve">45</w:t>
              </w:r>
            </w:hyperlink>
          </w:p>
        </w:tc>
      </w:tr>
      <w:tr>
        <w:tc>
          <w:tcPr/>
          <w:p>
            <w:pPr>
              <w:pStyle w:val="Compact"/>
              <w:jc w:val="left"/>
            </w:pPr>
            <w:r>
              <w:t xml:space="preserve">Avg. leadership tenure</w:t>
            </w:r>
          </w:p>
        </w:tc>
        <w:tc>
          <w:tcPr/>
          <w:p>
            <w:pPr>
              <w:pStyle w:val="Compact"/>
              <w:jc w:val="left"/>
            </w:pPr>
            <w:r>
              <w:t xml:space="preserve">&lt; 3 years</w:t>
            </w:r>
          </w:p>
        </w:tc>
        <w:tc>
          <w:tcPr/>
          <w:p>
            <w:pPr>
              <w:pStyle w:val="Compact"/>
              <w:jc w:val="left"/>
            </w:pPr>
            <w:r>
              <w:t xml:space="preserve">3-5 years</w:t>
            </w:r>
          </w:p>
        </w:tc>
        <w:tc>
          <w:tcPr/>
          <w:p>
            <w:pPr>
              <w:pStyle w:val="Compact"/>
              <w:jc w:val="left"/>
            </w:pPr>
            <w:r>
              <w:t xml:space="preserve">&gt; 5 years</w:t>
            </w:r>
          </w:p>
        </w:tc>
        <w:tc>
          <w:tcPr/>
          <w:p>
            <w:pPr>
              <w:pStyle w:val="Compact"/>
              <w:jc w:val="left"/>
            </w:pPr>
            <w:hyperlink w:anchor="ref-wittkieffer2024">
              <w:r>
                <w:rPr>
                  <w:rStyle w:val="Hyperlink"/>
                  <w:vertAlign w:val="superscript"/>
                </w:rPr>
                <w:t xml:space="preserve">5</w:t>
              </w:r>
            </w:hyperlink>
          </w:p>
        </w:tc>
      </w:tr>
      <w:tr>
        <w:tc>
          <w:tcPr/>
          <w:p>
            <w:pPr>
              <w:pStyle w:val="Compact"/>
              <w:jc w:val="left"/>
            </w:pPr>
            <w:r>
              <w:t xml:space="preserve">Knowledge concentration</w:t>
            </w:r>
          </w:p>
        </w:tc>
        <w:tc>
          <w:tcPr/>
          <w:p>
            <w:pPr>
              <w:pStyle w:val="Compact"/>
              <w:jc w:val="left"/>
            </w:pPr>
            <w:r>
              <w:t xml:space="preserve">Critical expertise held by 3 or fewer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hyperlink w:anchor="ref-massingham2018">
              <w:r>
                <w:rPr>
                  <w:rStyle w:val="Hyperlink"/>
                  <w:vertAlign w:val="superscript"/>
                </w:rPr>
                <w:t xml:space="preserve">23</w:t>
              </w:r>
            </w:hyperlink>
            <w:r>
              <w:rPr>
                <w:vertAlign w:val="superscript"/>
              </w:rPr>
              <w:t xml:space="preserve">,</w:t>
            </w:r>
            <w:hyperlink w:anchor="ref-foss2007">
              <w:r>
                <w:rPr>
                  <w:rStyle w:val="Hyperlink"/>
                  <w:vertAlign w:val="superscript"/>
                </w:rPr>
                <w:t xml:space="preserve">27</w:t>
              </w:r>
            </w:hyperlink>
          </w:p>
        </w:tc>
      </w:tr>
    </w:tbl>
    <w:p>
      <w:pPr>
        <w:pStyle w:val="BodyText"/>
      </w:pPr>
      <w:r>
        <w:rPr>
          <w:i/>
          <w:iCs/>
        </w:rPr>
        <w:t xml:space="preserve">Pillar 3: Technical Enablement</w:t>
      </w:r>
    </w:p>
    <w:p>
      <w:pPr>
        <w:pStyle w:val="TableCaption"/>
      </w:pPr>
      <w:r>
        <w:t xml:space="preserve">Three-Pillar Organizational Assessment Rubric.</w:t>
      </w:r>
      <w:r>
        <w:t xml:space="preserve"> </w:t>
      </w:r>
    </w:p>
    <w:tbl>
      <w:tblPr>
        <w:tblStyle w:val="Table"/>
        <w:tblW w:type="pct" w:w="5000"/>
        <w:tblLayout w:type="fixed"/>
        <w:tblLook w:firstRow="1" w:lastRow="0" w:firstColumn="0" w:lastColumn="0" w:noHBand="0" w:noVBand="0" w:val="0020"/>
        <w:tblCaption w:val="Three-Pillar Organizational Assessment Rubric. "/>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hyperlink w:anchor="ref-shahbaz2019">
              <w:r>
                <w:rPr>
                  <w:rStyle w:val="Hyperlink"/>
                  <w:vertAlign w:val="superscript"/>
                </w:rPr>
                <w:t xml:space="preserve">42</w:t>
              </w:r>
            </w:hyperlink>
            <w:r>
              <w:rPr>
                <w:vertAlign w:val="superscript"/>
              </w:rPr>
              <w:t xml:space="preserve">,</w:t>
            </w:r>
            <w:hyperlink w:anchor="ref-yuan2019">
              <w:r>
                <w:rPr>
                  <w:rStyle w:val="Hyperlink"/>
                  <w:vertAlign w:val="superscript"/>
                </w:rPr>
                <w:t xml:space="preserve">50</w:t>
              </w:r>
            </w:hyperlink>
          </w:p>
        </w:tc>
      </w:tr>
      <w:tr>
        <w:tc>
          <w:tcPr/>
          <w:p>
            <w:pPr>
              <w:pStyle w:val="Compact"/>
              <w:jc w:val="left"/>
            </w:pPr>
            <w:r>
              <w:t xml:space="preserve">Interoperability</w:t>
            </w:r>
          </w:p>
        </w:tc>
        <w:tc>
          <w:tcPr/>
          <w:p>
            <w:pPr>
              <w:pStyle w:val="Compact"/>
              <w:jc w:val="left"/>
            </w:pPr>
            <w:r>
              <w:t xml:space="preserve">Fragmented systems; manual reconciliation</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p>
        </w:tc>
      </w:tr>
      <w:tr>
        <w:tc>
          <w:tcPr/>
          <w:p>
            <w:pPr>
              <w:pStyle w:val="Compact"/>
              <w:jc w:val="left"/>
            </w:pPr>
            <w:r>
              <w:t xml:space="preserve">Schema coupling</w:t>
            </w:r>
          </w:p>
        </w:tc>
        <w:tc>
          <w:tcPr/>
          <w:p>
            <w:pPr>
              <w:pStyle w:val="Compact"/>
              <w:jc w:val="left"/>
            </w:pPr>
            <w:r>
              <w:t xml:space="preserve">Hard-coded reports break on schema change</w:t>
            </w:r>
          </w:p>
        </w:tc>
        <w:tc>
          <w:tcPr/>
          <w:p>
            <w:pPr>
              <w:pStyle w:val="Compact"/>
              <w:jc w:val="left"/>
            </w:pPr>
            <w:r>
              <w:t xml:space="preserve">Partial semantic layer; some automated feeds</w:t>
            </w:r>
          </w:p>
        </w:tc>
        <w:tc>
          <w:tcPr/>
          <w:p>
            <w:pPr>
              <w:pStyle w:val="Compact"/>
              <w:jc w:val="left"/>
            </w:pPr>
            <w:r>
              <w:t xml:space="preserve">Semantic layer adapts; CI/CD detects drift</w:t>
            </w:r>
          </w:p>
        </w:tc>
        <w:tc>
          <w:tcPr/>
          <w:p>
            <w:pPr>
              <w:pStyle w:val="Compact"/>
              <w:jc w:val="left"/>
            </w:pPr>
            <w:hyperlink w:anchor="ref-mannapur2025">
              <w:r>
                <w:rPr>
                  <w:rStyle w:val="Hyperlink"/>
                  <w:vertAlign w:val="superscript"/>
                </w:rPr>
                <w:t xml:space="preserve">34</w:t>
              </w:r>
            </w:hyperlink>
            <w:r>
              <w:rPr>
                <w:vertAlign w:val="superscript"/>
              </w:rPr>
              <w:t xml:space="preserve">,</w:t>
            </w:r>
            <w:hyperlink w:anchor="ref-battula2025">
              <w:r>
                <w:rPr>
                  <w:rStyle w:val="Hyperlink"/>
                  <w:vertAlign w:val="superscript"/>
                </w:rPr>
                <w:t xml:space="preserve">35</w:t>
              </w:r>
            </w:hyperlink>
          </w:p>
        </w:tc>
      </w:tr>
    </w:tbl>
    <w:p>
      <w:pPr>
        <w:pStyle w:val="BodyText"/>
      </w:pPr>
      <w:r>
        <w:t xml:space="preserve">The</w:t>
      </w:r>
      <w:r>
        <w:t xml:space="preserve"> </w:t>
      </w:r>
      <w:r>
        <w:t xml:space="preserve">“Schema Coupling”</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w:t>
      </w:r>
      <w:hyperlink w:anchor="ref-valiaiev2025">
        <w:r>
          <w:rPr>
            <w:rStyle w:val="Hyperlink"/>
            <w:vertAlign w:val="superscript"/>
          </w:rPr>
          <w:t xml:space="preserve">58</w:t>
        </w:r>
      </w:hyperlink>
      <w:r>
        <w:t xml:space="preserve">. When a data warehouse schema is updated, the system automatically re-runs stored queries and flags failures, transforming institutional memory into a living test suite</w:t>
      </w:r>
      <w:hyperlink w:anchor="ref-betha2023">
        <w:r>
          <w:rPr>
            <w:rStyle w:val="Hyperlink"/>
            <w:vertAlign w:val="superscript"/>
          </w:rPr>
          <w:t xml:space="preserve">59</w:t>
        </w:r>
      </w:hyperlink>
      <w:r>
        <w:rPr>
          <w:vertAlign w:val="superscript"/>
        </w:rPr>
        <w:t xml:space="preserve">,</w:t>
      </w:r>
      <w:hyperlink w:anchor="ref-kottam2025">
        <w:r>
          <w:rPr>
            <w:rStyle w:val="Hyperlink"/>
            <w:vertAlign w:val="superscript"/>
          </w:rPr>
          <w:t xml:space="preserve">60</w:t>
        </w:r>
      </w:hyperlink>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28"/>
    <w:bookmarkEnd w:id="29"/>
    <w:bookmarkStart w:id="30" w:name="the-validator-paradox-and-standard-work"/>
    <w:p>
      <w:pPr>
        <w:pStyle w:val="Heading1"/>
      </w:pPr>
      <w:r>
        <w:rPr>
          <w:rStyle w:val="SectionNumber"/>
        </w:rPr>
        <w:t xml:space="preserve">6</w:t>
      </w:r>
      <w:r>
        <w:tab/>
      </w: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“Standard Work”</w:t>
      </w:r>
      <w:hyperlink w:anchor="ref-alukal2006">
        <w:r>
          <w:rPr>
            <w:rStyle w:val="Hyperlink"/>
            <w:vertAlign w:val="superscript"/>
          </w:rPr>
          <w:t xml:space="preserve">61</w:t>
        </w:r>
      </w:hyperlink>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time an analyst validates a query triple, they record the best available understanding of how a business question maps to a data operation at that moment in time. The validation is time-stamped and contextual, not permanent. Critically, as Alukal and Manos</w:t>
      </w:r>
      <w:hyperlink w:anchor="ref-alukal2006">
        <w:r>
          <w:rPr>
            <w:rStyle w:val="Hyperlink"/>
            <w:vertAlign w:val="superscript"/>
          </w:rPr>
          <w:t xml:space="preserve">61</w:t>
        </w:r>
      </w:hyperlink>
      <w:r>
        <w:t xml:space="preserve"> </w:t>
      </w:r>
      <w:r>
        <w:t xml:space="preserve">establish, standard work is the prerequisite for Kaizen (continuous improvement): without a documented baseline, there is no foundation to improve upon. Each validated query therefore establishes a floor, not a ceiling. When the next expert arrives (whether a seasoned veteran or a competent mid-career hire), they inherit a baseline and can refine it rather than reconstructing institutional knowledge from scratch.</w:t>
      </w:r>
    </w:p>
    <w:p>
      <w:pPr>
        <w:pStyle w:val="BodyText"/>
      </w:pPr>
      <w:r>
        <w:t xml:space="preserve">This mechanism functions as a</w:t>
      </w:r>
      <w:r>
        <w:t xml:space="preserve"> </w:t>
      </w:r>
      <w:r>
        <w:rPr>
          <w:i/>
          <w:iCs/>
        </w:rPr>
        <w:t xml:space="preserve">Knowledge Ratchet</w:t>
      </w:r>
      <w:hyperlink w:anchor="ref-rao2006">
        <w:r>
          <w:rPr>
            <w:rStyle w:val="Hyperlink"/>
            <w:vertAlign w:val="superscript"/>
          </w:rPr>
          <w:t xml:space="preserve">11</w:t>
        </w:r>
      </w:hyperlink>
      <w:r>
        <w:t xml:space="preserve">. Each validated triple prevents regression below the last confirmed state. Even if a subsequent validator is less experienced than their predecessor, the organization cannot slide below the previously validated standard. The analogy to version control is instructive: each commit in a software repository preserves a known-good state, and future contributors can build upon it even if they occasionally introduce errors. The ratchet does not guarantee forward progress, but it does prevent catastrophic backsliding, which is the central failure mode of institutional amnesia.</w:t>
      </w:r>
    </w:p>
    <w:p>
      <w:pPr>
        <w:pStyle w:val="BodyText"/>
      </w:pPr>
      <w:r>
        <w:t xml:space="preserve">Real-world evidence supports this mechanism. UC Davis Health moved from AMAM Stage 0 to Stage 6 by establishing standardized</w:t>
      </w:r>
      <w:r>
        <w:t xml:space="preserve"> </w:t>
      </w:r>
      <w:r>
        <w:t xml:space="preserve">“S.M.A.R.T.”</w:t>
      </w:r>
      <w:r>
        <w:t xml:space="preserve"> </w:t>
      </w:r>
      <w:r>
        <w:t xml:space="preserve">definitions for its analytics metrics</w:t>
      </w:r>
      <w:hyperlink w:anchor="ref-himss2025ucdavis">
        <w:r>
          <w:rPr>
            <w:rStyle w:val="Hyperlink"/>
            <w:vertAlign w:val="superscript"/>
          </w:rPr>
          <w:t xml:space="preserve">62</w:t>
        </w:r>
      </w:hyperlink>
      <w:r>
        <w:t xml:space="preserve">. Those codified standards survived staff turnover precisely because they existed as organizational artifacts rather than as knowledge held solely by the individuals who created them. The HITL-KG validated query library serves an analogous function: it encodes analytical decisions into durable, retrievable structures that persist independent of any single analyst’s tenure.</w:t>
      </w:r>
    </w:p>
    <w:p>
      <w:pPr>
        <w:pStyle w:val="BodyText"/>
      </w:pPr>
      <w:r>
        <w:t xml:space="preserve">However, the Validator Paradox is not fully resolved. There exists a minimum viable expertise threshold below which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hyperlink w:anchor="ref-kumar2025caos">
        <w:r>
          <w:rPr>
            <w:rStyle w:val="Hyperlink"/>
            <w:vertAlign w:val="superscript"/>
          </w:rPr>
          <w:t xml:space="preserve">63</w:t>
        </w:r>
      </w:hyperlink>
      <w:r>
        <w:rPr>
          <w:vertAlign w:val="superscript"/>
        </w:rPr>
        <w:t xml:space="preserve">,</w:t>
      </w:r>
      <w:hyperlink w:anchor="ref-labkoff2024">
        <w:r>
          <w:rPr>
            <w:rStyle w:val="Hyperlink"/>
            <w:vertAlign w:val="superscript"/>
          </w:rPr>
          <w:t xml:space="preserve">64</w:t>
        </w:r>
      </w:hyperlink>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this is the default mode.</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“provisional”</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but logs it for periodic audit.</w:t>
      </w:r>
    </w:p>
    <w:p>
      <w:pPr>
        <w:pStyle w:val="BodyText"/>
      </w:pPr>
      <w:r>
        <w:t xml:space="preserve">At the organizational level, governance requirements include defining who can validate queries (domain expertise thresholds), establishing review workflows for high-stakes queries, managing query versioning as schemas evolve, and implementing retrieval policies. Drawing on established master data governance practice</w:t>
      </w:r>
      <w:hyperlink w:anchor="ref-loshin2010">
        <w:r>
          <w:rPr>
            <w:rStyle w:val="Hyperlink"/>
            <w:vertAlign w:val="superscript"/>
          </w:rPr>
          <w:t xml:space="preserve">65</w:t>
        </w:r>
      </w:hyperlink>
      <w:r>
        <w:rPr>
          <w:vertAlign w:val="superscript"/>
        </w:rPr>
        <w:t xml:space="preserve">,</w:t>
      </w:r>
      <w:hyperlink w:anchor="ref-kalyanasundaram2025">
        <w:r>
          <w:rPr>
            <w:rStyle w:val="Hyperlink"/>
            <w:vertAlign w:val="superscript"/>
          </w:rPr>
          <w:t xml:space="preserve">66</w:t>
        </w:r>
      </w:hyperlink>
      <w:r>
        <w:t xml:space="preserve">, organizations can designate specific validated triples as</w:t>
      </w:r>
      <w:r>
        <w:t xml:space="preserve"> </w:t>
      </w:r>
      <w:r>
        <w:t xml:space="preserve">“Golden Queries,”</w:t>
      </w:r>
      <w:r>
        <w:t xml:space="preserve"> </w:t>
      </w:r>
      <w:r>
        <w:t xml:space="preserve">certified by a governance committee as the authoritative source of truth for key metrics. While many users can create and validate queries, only these certified triples serve as official standards, mitigating Shadow IT risks</w:t>
      </w:r>
      <w:hyperlink w:anchor="ref-zimmermann2017">
        <w:r>
          <w:rPr>
            <w:rStyle w:val="Hyperlink"/>
            <w:vertAlign w:val="superscript"/>
          </w:rPr>
          <w:t xml:space="preserve">67</w:t>
        </w:r>
      </w:hyperlink>
      <w:r>
        <w:t xml:space="preserve"> </w:t>
      </w:r>
      <w:r>
        <w:t xml:space="preserve">while preserving analytical agility.</w:t>
      </w:r>
    </w:p>
    <w:bookmarkEnd w:id="30"/>
    <w:bookmarkStart w:id="31" w:name="safety-as-cognitive-forcing"/>
    <w:p>
      <w:pPr>
        <w:pStyle w:val="Heading1"/>
      </w:pPr>
      <w:r>
        <w:rPr>
          <w:rStyle w:val="SectionNumber"/>
        </w:rPr>
        <w:t xml:space="preserve">7</w:t>
      </w:r>
      <w:r>
        <w:tab/>
      </w: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“laundering hallucinations”</w:t>
      </w:r>
      <w:r>
        <w:t xml:space="preserve">: a plausible-sounding but factually incorrect query result that enters the decision pipeline undetected and influences clinical or operational choices. Because large language models generate fluent, confident output regardless of correctness, the absence of a structured validation step means that errors arrive dressed in the language of expertise, making them harder to catch than obviously malformed output.</w:t>
      </w:r>
    </w:p>
    <w:p>
      <w:pPr>
        <w:pStyle w:val="BodyText"/>
      </w:pPr>
      <w:r>
        <w:t xml:space="preserve">HITL-KG mitigates this risk through</w:t>
      </w:r>
      <w:r>
        <w:t xml:space="preserve"> </w:t>
      </w:r>
      <w:r>
        <w:rPr>
          <w:i/>
          <w:iCs/>
        </w:rPr>
        <w:t xml:space="preserve">Cognitive Forcing Functions</w:t>
      </w:r>
      <w:hyperlink w:anchor="ref-ziletti2024">
        <w:r>
          <w:rPr>
            <w:rStyle w:val="Hyperlink"/>
            <w:vertAlign w:val="superscript"/>
          </w:rPr>
          <w:t xml:space="preserve">29</w:t>
        </w:r>
      </w:hyperlink>
      <w:r>
        <w:t xml:space="preserve">, a design pattern borrowed from clinical decision-making and safety engineering. By requiring the AI to explain its reasoning</w:t>
      </w:r>
      <w:r>
        <w:t xml:space="preserve"> </w:t>
      </w:r>
      <w:r>
        <w:rPr>
          <w:i/>
          <w:iCs/>
        </w:rPr>
        <w:t xml:space="preserve">before</w:t>
      </w:r>
      <w:r>
        <w:t xml:space="preserve"> </w:t>
      </w:r>
      <w:r>
        <w:t xml:space="preserve">presenting results, the architecture forces the human validator into System 2 (analytical, deliberate) thinking rather than allowing System 1 (fast, heuristic) acceptance of superficially plausible output. User studies confirm the practical benefit: structured explanation reduces error recovery time by 30 to 40 seconds compared to unstructured output review</w:t>
      </w:r>
      <w:hyperlink w:anchor="ref-ipeirotis2025">
        <w:r>
          <w:rPr>
            <w:rStyle w:val="Hyperlink"/>
            <w:vertAlign w:val="superscript"/>
          </w:rPr>
          <w:t xml:space="preserve">68</w:t>
        </w:r>
      </w:hyperlink>
      <w:r>
        <w:t xml:space="preserve">.</w:t>
      </w:r>
    </w:p>
    <w:p>
      <w:pPr>
        <w:pStyle w:val="BodyText"/>
      </w:pPr>
      <w:r>
        <w:t xml:space="preserve">The parallel to aviation safety is instructive. Checklists and mandatory call-outs transformed commercial aviation from a high-risk endeavor into one of the safest modes of transportation, not by eliminating human error but by creating procedural structures that surface errors before they propagate. HITL-KG applies the same principle to analytics: the mandatory validation step functions as an analytical</w:t>
      </w:r>
      <w:r>
        <w:t xml:space="preserve"> </w:t>
      </w:r>
      <w:r>
        <w:t xml:space="preserve">“call-out”</w:t>
      </w:r>
      <w:r>
        <w:t xml:space="preserve"> </w:t>
      </w:r>
      <w:r>
        <w:t xml:space="preserve">that interrupts the default path of uncritical acceptance. In this framing, the friction introduced by validation is not a cost; it is the mechanism of safety itself.</w:t>
      </w:r>
    </w:p>
    <w:bookmarkEnd w:id="31"/>
    <w:bookmarkStart w:id="32" w:name="Xf414813cd0afe621d2dc19456f0dc09d0fd73a3"/>
    <w:p>
      <w:pPr>
        <w:pStyle w:val="Heading1"/>
      </w:pPr>
      <w:r>
        <w:rPr>
          <w:rStyle w:val="SectionNumber"/>
        </w:rPr>
        <w:t xml:space="preserve">8</w:t>
      </w:r>
      <w:r>
        <w:tab/>
      </w:r>
      <w:r>
        <w:t xml:space="preserve">Structural Barriers: Why the Problem Persists</w:t>
      </w:r>
    </w:p>
    <w:p>
      <w:pPr>
        <w:pStyle w:val="FirstParagraph"/>
      </w:pPr>
      <w:r>
        <w:t xml:space="preserve">Failed standardization approaches (e.g., IBM Watson Health</w:t>
      </w:r>
      <w:hyperlink w:anchor="ref-ibm2022">
        <w:r>
          <w:rPr>
            <w:rStyle w:val="Hyperlink"/>
            <w:vertAlign w:val="superscript"/>
          </w:rPr>
          <w:t xml:space="preserve">69</w:t>
        </w:r>
      </w:hyperlink>
      <w:r>
        <w:rPr>
          <w:vertAlign w:val="superscript"/>
        </w:rPr>
        <w:t xml:space="preserve">,</w:t>
      </w:r>
      <w:hyperlink w:anchor="ref-strickland2019">
        <w:r>
          <w:rPr>
            <w:rStyle w:val="Hyperlink"/>
            <w:vertAlign w:val="superscript"/>
          </w:rPr>
          <w:t xml:space="preserve">70</w:t>
        </w:r>
      </w:hyperlink>
      <w:r>
        <w:t xml:space="preserve">, Haven</w:t>
      </w:r>
      <w:hyperlink w:anchor="ref-lavito2021">
        <w:r>
          <w:rPr>
            <w:rStyle w:val="Hyperlink"/>
            <w:vertAlign w:val="superscript"/>
          </w:rPr>
          <w:t xml:space="preserve">71</w:t>
        </w:r>
      </w:hyperlink>
      <w:r>
        <w:rPr>
          <w:vertAlign w:val="superscript"/>
        </w:rPr>
        <w:t xml:space="preserve">,</w:t>
      </w:r>
      <w:hyperlink w:anchor="ref-acchiardo2021">
        <w:r>
          <w:rPr>
            <w:rStyle w:val="Hyperlink"/>
            <w:vertAlign w:val="superscript"/>
          </w:rPr>
          <w:t xml:space="preserve">72</w:t>
        </w:r>
      </w:hyperlink>
      <w:r>
        <w:t xml:space="preserve">) demonstrate that centralized models fail clinical reality. Metadata uncertainties and</w:t>
      </w:r>
      <w:r>
        <w:t xml:space="preserve"> </w:t>
      </w:r>
      <w:r>
        <w:t xml:space="preserve">“messy”</w:t>
      </w:r>
      <w:r>
        <w:t xml:space="preserve"> </w:t>
      </w:r>
      <w:r>
        <w:t xml:space="preserve">institution-specific business logic require localized solutions</w:t>
      </w:r>
      <w:hyperlink w:anchor="ref-gal2019">
        <w:r>
          <w:rPr>
            <w:rStyle w:val="Hyperlink"/>
            <w:vertAlign w:val="superscript"/>
          </w:rPr>
          <w:t xml:space="preserve">2</w:t>
        </w:r>
      </w:hyperlink>
      <w:r>
        <w:rPr>
          <w:vertAlign w:val="superscript"/>
        </w:rPr>
        <w:t xml:space="preserve">,</w:t>
      </w:r>
      <w:hyperlink w:anchor="ref-yang2020">
        <w:r>
          <w:rPr>
            <w:rStyle w:val="Hyperlink"/>
            <w:vertAlign w:val="superscript"/>
          </w:rPr>
          <w:t xml:space="preserve">73</w:t>
        </w:r>
      </w:hyperlink>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32"/>
    <w:bookmarkStart w:id="33" w:name="limitations"/>
    <w:p>
      <w:pPr>
        <w:pStyle w:val="Heading1"/>
      </w:pPr>
      <w:r>
        <w:rPr>
          <w:rStyle w:val="SectionNumber"/>
        </w:rPr>
        <w:t xml:space="preserve">9</w:t>
      </w:r>
      <w:r>
        <w:tab/>
      </w: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bookmarkEnd w:id="33"/>
    <w:bookmarkStart w:id="34" w:name="implications-and-future-research"/>
    <w:p>
      <w:pPr>
        <w:pStyle w:val="Heading1"/>
      </w:pPr>
      <w:r>
        <w:rPr>
          <w:rStyle w:val="SectionNumber"/>
        </w:rPr>
        <w:t xml:space="preserve">10</w:t>
      </w:r>
      <w:r>
        <w:tab/>
      </w: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across diverse health systems will be needed to test these claims and adapt the framework to varying organizational, regulatory, and data environments.</w:t>
      </w:r>
    </w:p>
    <w:bookmarkEnd w:id="34"/>
    <w:bookmarkStart w:id="35" w:name="acknowledgments"/>
    <w:p>
      <w:pPr>
        <w:pStyle w:val="Heading1"/>
      </w:pPr>
      <w:r>
        <w:rPr>
          <w:rStyle w:val="SectionNumber"/>
        </w:rPr>
        <w:t xml:space="preserve">11</w:t>
      </w:r>
      <w:r>
        <w:tab/>
      </w:r>
      <w:r>
        <w:t xml:space="preserve">Acknowledgments</w:t>
      </w:r>
    </w:p>
    <w:p>
      <w:pPr>
        <w:pStyle w:val="FirstParagraph"/>
      </w:pPr>
      <w:r>
        <w:t xml:space="preserve">The author (S.T.H.) takes full responsibility for the final content, conducted the research, and verified all claims and citations. Gemini CLI (Gemini 3, Google) and Claude Code (Claude Opus 4, Anthropic) assisted with manuscript editing, refinement, and literature search. Figures were generated using the Mermaid graph language.</w:t>
      </w:r>
    </w:p>
    <w:bookmarkEnd w:id="35"/>
    <w:bookmarkStart w:id="36" w:name="author-contributions"/>
    <w:p>
      <w:pPr>
        <w:pStyle w:val="Heading1"/>
      </w:pPr>
      <w:r>
        <w:rPr>
          <w:rStyle w:val="SectionNumber"/>
        </w:rPr>
        <w:t xml:space="preserve">12</w:t>
      </w:r>
      <w:r>
        <w:tab/>
      </w:r>
      <w:r>
        <w:t xml:space="preserve">Author Contributions</w:t>
      </w:r>
    </w:p>
    <w:p>
      <w:pPr>
        <w:pStyle w:val="FirstParagraph"/>
      </w:pPr>
      <w:r>
        <w:t xml:space="preserve">S.T.H.: Conceptualization, Investigation, Methodology, Writing (Original Draft), Writing (Review and Editing), Visualization.</w:t>
      </w:r>
    </w:p>
    <w:bookmarkEnd w:id="36"/>
    <w:bookmarkStart w:id="37" w:name="conflicts-of-interest"/>
    <w:p>
      <w:pPr>
        <w:pStyle w:val="Heading1"/>
      </w:pPr>
      <w:r>
        <w:rPr>
          <w:rStyle w:val="SectionNumber"/>
        </w:rPr>
        <w:t xml:space="preserve">13</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37"/>
    <w:bookmarkStart w:id="38" w:name="data-availability"/>
    <w:p>
      <w:pPr>
        <w:pStyle w:val="Heading1"/>
      </w:pPr>
      <w:r>
        <w:rPr>
          <w:rStyle w:val="SectionNumber"/>
        </w:rPr>
        <w:t xml:space="preserve">14</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https://doi.org/10.5281/zenodo.18338990</w:t>
      </w:r>
    </w:p>
    <w:bookmarkEnd w:id="38"/>
    <w:bookmarkStart w:id="39" w:name="funding"/>
    <w:p>
      <w:pPr>
        <w:pStyle w:val="Heading1"/>
      </w:pPr>
      <w:r>
        <w:rPr>
          <w:rStyle w:val="SectionNumber"/>
        </w:rPr>
        <w:t xml:space="preserve">15</w:t>
      </w:r>
      <w:r>
        <w:tab/>
      </w:r>
      <w:r>
        <w:t xml:space="preserve">Funding</w:t>
      </w:r>
    </w:p>
    <w:p>
      <w:pPr>
        <w:pStyle w:val="FirstParagraph"/>
      </w:pPr>
      <w:r>
        <w:t xml:space="preserve">Yuimedi provided funding for the author’s time writing and researching this manuscript.</w:t>
      </w:r>
    </w:p>
    <w:bookmarkEnd w:id="39"/>
    <w:bookmarkStart w:id="40" w:name="abbreviations"/>
    <w:p>
      <w:pPr>
        <w:pStyle w:val="Heading1"/>
      </w:pPr>
      <w:r>
        <w:rPr>
          <w:rStyle w:val="SectionNumber"/>
        </w:rPr>
        <w:t xml:space="preserve">16</w:t>
      </w:r>
      <w:r>
        <w:tab/>
      </w:r>
      <w:r>
        <w:t xml:space="preserve">Abbreviations</w:t>
      </w:r>
    </w:p>
    <w:p>
      <w:pPr>
        <w:pStyle w:val="FirstParagraph"/>
      </w:pPr>
      <w:r>
        <w:t xml:space="preserve">AACODS: Authority, Accuracy, Coverage, Objectivity, Date, Significance</w:t>
      </w:r>
      <w:r>
        <w:t xml:space="preserve"> </w:t>
      </w:r>
      <w:r>
        <w:t xml:space="preserve">AI: Artificial Intelligence</w:t>
      </w:r>
      <w:r>
        <w:t xml:space="preserve"> </w:t>
      </w:r>
      <w:r>
        <w:t xml:space="preserve">AMAM: Analytics Maturity Assessment Model</w:t>
      </w:r>
      <w:r>
        <w:t xml:space="preserve"> </w:t>
      </w:r>
      <w:r>
        <w:t xml:space="preserve">CIO: Chief Information Officer</w:t>
      </w:r>
      <w:r>
        <w:t xml:space="preserve"> </w:t>
      </w:r>
      <w:r>
        <w:t xml:space="preserve">DIKW: Data, Information, Knowledge, Wisdom</w:t>
      </w:r>
      <w:r>
        <w:t xml:space="preserve"> </w:t>
      </w:r>
      <w:r>
        <w:t xml:space="preserve">DSR: Design Science Research</w:t>
      </w:r>
      <w:r>
        <w:t xml:space="preserve"> </w:t>
      </w:r>
      <w:r>
        <w:t xml:space="preserve">EMRAM: Electronic Medical Record Adoption Model</w:t>
      </w:r>
      <w:r>
        <w:t xml:space="preserve"> </w:t>
      </w:r>
      <w:r>
        <w:t xml:space="preserve">HITL-KG: Human-in-the-Loop Knowledge Governance</w:t>
      </w:r>
      <w:r>
        <w:t xml:space="preserve"> </w:t>
      </w:r>
      <w:r>
        <w:t xml:space="preserve">HIMSS: Healthcare Information Management Systems Society</w:t>
      </w:r>
      <w:r>
        <w:t xml:space="preserve"> </w:t>
      </w:r>
      <w:r>
        <w:t xml:space="preserve">HITL: Human-in-the-Loop</w:t>
      </w:r>
      <w:r>
        <w:t xml:space="preserve"> </w:t>
      </w:r>
      <w:r>
        <w:t xml:space="preserve">IT: Information Technology</w:t>
      </w:r>
      <w:r>
        <w:t xml:space="preserve"> </w:t>
      </w:r>
      <w:r>
        <w:t xml:space="preserve">NL2SQL: Natural Language to SQL</w:t>
      </w:r>
      <w:r>
        <w:t xml:space="preserve"> </w:t>
      </w:r>
      <w:r>
        <w:t xml:space="preserve">SECI: Socialization, Externalization, Combination, Internalization</w:t>
      </w:r>
      <w:r>
        <w:t xml:space="preserve"> </w:t>
      </w:r>
      <w:r>
        <w:t xml:space="preserve">SQL: Structured Query Language</w:t>
      </w:r>
    </w:p>
    <w:bookmarkEnd w:id="40"/>
    <w:bookmarkStart w:id="187" w:name="references"/>
    <w:p>
      <w:pPr>
        <w:pStyle w:val="Heading1"/>
      </w:pPr>
      <w:r>
        <w:rPr>
          <w:rStyle w:val="SectionNumber"/>
        </w:rPr>
        <w:t xml:space="preserve">17</w:t>
      </w:r>
      <w:r>
        <w:tab/>
      </w:r>
      <w:r>
        <w:t xml:space="preserve">References</w:t>
      </w:r>
    </w:p>
    <w:bookmarkStart w:id="186" w:name="refs"/>
    <w:bookmarkStart w:id="42" w:name="ref-himss2024"/>
    <w:p>
      <w:pPr>
        <w:pStyle w:val="Bibliography"/>
      </w:pPr>
      <w:r>
        <w:t xml:space="preserve">1.</w:t>
      </w:r>
      <w:r>
        <w:t xml:space="preserve"> </w:t>
      </w:r>
      <w:r>
        <w:t xml:space="preserve">	</w:t>
      </w:r>
      <w:r>
        <w:t xml:space="preserve">Analytics H.</w:t>
      </w:r>
      <w:r>
        <w:t xml:space="preserve"> </w:t>
      </w:r>
      <w:r>
        <w:rPr>
          <w:i/>
          <w:iCs/>
        </w:rPr>
        <w:t xml:space="preserve">Analytics maturity assessment model (AMAM) global report. Healthcare Information and Management Systems Society</w:t>
      </w:r>
      <w:r>
        <w:t xml:space="preserve">.</w:t>
      </w:r>
      <w:r>
        <w:t xml:space="preserve"> </w:t>
      </w:r>
      <w:r>
        <w:t xml:space="preserve">HIMSS</w:t>
      </w:r>
      <w:r>
        <w:t xml:space="preserve"> </w:t>
      </w:r>
      <w:r>
        <w:t xml:space="preserve">Analytics; 2024.</w:t>
      </w:r>
      <w:r>
        <w:t xml:space="preserve"> </w:t>
      </w:r>
      <w:hyperlink r:id="rId41">
        <w:r>
          <w:rPr>
            <w:rStyle w:val="Hyperlink"/>
          </w:rPr>
          <w:t xml:space="preserve">https://www.himss.org/maturity-models/amam/</w:t>
        </w:r>
      </w:hyperlink>
    </w:p>
    <w:bookmarkEnd w:id="42"/>
    <w:bookmarkStart w:id="44" w:name="ref-gal2019"/>
    <w:p>
      <w:pPr>
        <w:pStyle w:val="Bibliography"/>
      </w:pPr>
      <w:r>
        <w:t xml:space="preserve">2.</w:t>
      </w:r>
      <w:r>
        <w:t xml:space="preserve"> </w:t>
      </w:r>
      <w:r>
        <w:t xml:space="preserve">	</w:t>
      </w:r>
      <w:r>
        <w:t xml:space="preserve">Gal MS, Rubinfeld DL.</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43">
        <w:r>
          <w:rPr>
            <w:rStyle w:val="Hyperlink"/>
          </w:rPr>
          <w:t xml:space="preserve">https://www.nyulawreview.org/issues/volume-94-number-4/data-standardization/</w:t>
        </w:r>
      </w:hyperlink>
    </w:p>
    <w:bookmarkEnd w:id="44"/>
    <w:bookmarkStart w:id="45" w:name="ref-zhang2024"/>
    <w:p>
      <w:pPr>
        <w:pStyle w:val="Bibliography"/>
      </w:pPr>
      <w:r>
        <w:t xml:space="preserve">3.</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2024;7(2):ooae042.</w:t>
      </w:r>
    </w:p>
    <w:bookmarkEnd w:id="45"/>
    <w:bookmarkStart w:id="47" w:name="ref-hong2025"/>
    <w:p>
      <w:pPr>
        <w:pStyle w:val="Bibliography"/>
      </w:pPr>
      <w:r>
        <w:t xml:space="preserve">4.</w:t>
      </w:r>
      <w:r>
        <w:t xml:space="preserve"> </w:t>
      </w:r>
      <w:r>
        <w:t xml:space="preserve">	</w:t>
      </w:r>
      <w:r>
        <w:t xml:space="preserve">Hong JH. When does employee turnover matter? Organizational memory in federal IT.</w:t>
      </w:r>
      <w:r>
        <w:t xml:space="preserve"> </w:t>
      </w:r>
      <w:r>
        <w:rPr>
          <w:i/>
          <w:iCs/>
        </w:rPr>
        <w:t xml:space="preserve">Journal of Public Administration Research and Theory</w:t>
      </w:r>
      <w:r>
        <w:t xml:space="preserve">. Published online 2025.</w:t>
      </w:r>
      <w:r>
        <w:t xml:space="preserve"> </w:t>
      </w:r>
      <w:hyperlink r:id="rId46">
        <w:r>
          <w:rPr>
            <w:rStyle w:val="Hyperlink"/>
          </w:rPr>
          <w:t xml:space="preserve">https://academic.oup.com/jpart/advance-article-abstract/doi/10.1093/jopart/muaf019/8162522</w:t>
        </w:r>
      </w:hyperlink>
    </w:p>
    <w:bookmarkEnd w:id="47"/>
    <w:bookmarkStart w:id="49" w:name="ref-wittkieffer2024"/>
    <w:p>
      <w:pPr>
        <w:pStyle w:val="Bibliography"/>
      </w:pPr>
      <w:r>
        <w:t xml:space="preserve">5.</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48">
        <w:r>
          <w:rPr>
            <w:rStyle w:val="Hyperlink"/>
          </w:rPr>
          <w:t xml:space="preserve">https://api.wittkieffer.com/wp-content/uploads/2012/10/cio-insights-the-state-of-healthcare-it-leadership-wittkieffer-october-2024.pdf</w:t>
        </w:r>
      </w:hyperlink>
    </w:p>
    <w:bookmarkEnd w:id="49"/>
    <w:bookmarkStart w:id="51" w:name="ref-himssworkforce2024"/>
    <w:p>
      <w:pPr>
        <w:pStyle w:val="Bibliography"/>
      </w:pPr>
      <w:r>
        <w:t xml:space="preserve">6.</w:t>
      </w:r>
      <w:r>
        <w:t xml:space="preserve"> </w:t>
      </w:r>
      <w:r>
        <w:t xml:space="preserve">	</w:t>
      </w:r>
      <w:r>
        <w:t xml:space="preserve">HIMSS.</w:t>
      </w:r>
      <w:r>
        <w:t xml:space="preserve"> </w:t>
      </w:r>
      <w:r>
        <w:rPr>
          <w:i/>
          <w:iCs/>
        </w:rPr>
        <w:t xml:space="preserve">The Future of Workforce</w:t>
      </w:r>
      <w:r>
        <w:t xml:space="preserve">. Healthcare Information; Management Systems Society; 2024.</w:t>
      </w:r>
      <w:r>
        <w:t xml:space="preserve"> </w:t>
      </w:r>
      <w:hyperlink r:id="rId50">
        <w:r>
          <w:rPr>
            <w:rStyle w:val="Hyperlink"/>
          </w:rPr>
          <w:t xml:space="preserve">https://www.himss.org/resources/the-future-of-workforce/</w:t>
        </w:r>
      </w:hyperlink>
    </w:p>
    <w:bookmarkEnd w:id="51"/>
    <w:bookmarkStart w:id="53" w:name="ref-rajamani2025"/>
    <w:p>
      <w:pPr>
        <w:pStyle w:val="Bibliography"/>
      </w:pPr>
      <w:r>
        <w:t xml:space="preserve">7.</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Public Health Management and Practice</w:t>
      </w:r>
      <w:r>
        <w:t xml:space="preserve">. Published online 2025. doi:</w:t>
      </w:r>
      <w:hyperlink r:id="rId52">
        <w:r>
          <w:rPr>
            <w:rStyle w:val="Hyperlink"/>
          </w:rPr>
          <w:t xml:space="preserve">10.1097/PHH.0000000000001234</w:t>
        </w:r>
      </w:hyperlink>
    </w:p>
    <w:bookmarkEnd w:id="53"/>
    <w:bookmarkStart w:id="55" w:name="ref-american2023"/>
    <w:p>
      <w:pPr>
        <w:pStyle w:val="Bibliography"/>
      </w:pPr>
      <w:r>
        <w:t xml:space="preserve">8.</w:t>
      </w:r>
      <w:r>
        <w:t xml:space="preserve"> </w:t>
      </w:r>
      <w:r>
        <w:t xml:space="preserve">	</w:t>
      </w:r>
      <w:r>
        <w:t xml:space="preserve">NORC at the University of Chicago AHIMA &amp;.</w:t>
      </w:r>
      <w:r>
        <w:t xml:space="preserve"> </w:t>
      </w:r>
      <w:r>
        <w:rPr>
          <w:i/>
          <w:iCs/>
        </w:rPr>
        <w:t xml:space="preserve">Health information workforce survey report</w:t>
      </w:r>
      <w:r>
        <w:t xml:space="preserve">. American Health Information Management Association &amp;</w:t>
      </w:r>
      <w:r>
        <w:t xml:space="preserve"> </w:t>
      </w:r>
      <w:r>
        <w:t xml:space="preserve">NORC</w:t>
      </w:r>
      <w:r>
        <w:t xml:space="preserve"> </w:t>
      </w:r>
      <w:r>
        <w:t xml:space="preserve">at the University of Chicago; 2023.</w:t>
      </w:r>
      <w:r>
        <w:t xml:space="preserve"> </w:t>
      </w:r>
      <w:hyperlink r:id="rId54">
        <w:r>
          <w:rPr>
            <w:rStyle w:val="Hyperlink"/>
          </w:rPr>
          <w:t xml:space="preserve">https://www.ahima.org/news-publications/press-room-press-releases/2023-press-releases/health-information-workforce-shortages-persist-as-ai-shows-promise-ahima-survey-reveals/</w:t>
        </w:r>
      </w:hyperlink>
    </w:p>
    <w:bookmarkEnd w:id="55"/>
    <w:bookmarkStart w:id="57" w:name="ref-wang2018"/>
    <w:p>
      <w:pPr>
        <w:pStyle w:val="Bibliography"/>
      </w:pPr>
      <w:r>
        <w:t xml:space="preserve">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w:t>
      </w:r>
      <w:r>
        <w:t xml:space="preserve"> </w:t>
      </w:r>
      <w:r>
        <w:rPr>
          <w:i/>
          <w:iCs/>
        </w:rPr>
        <w:t xml:space="preserve">Technological Forecasting and Social Change</w:t>
      </w:r>
      <w:r>
        <w:t xml:space="preserve">. 2018;126:3-13. doi:</w:t>
      </w:r>
      <w:hyperlink r:id="rId56">
        <w:r>
          <w:rPr>
            <w:rStyle w:val="Hyperlink"/>
          </w:rPr>
          <w:t xml:space="preserve">10.1016/j.techfore.2015.12.019</w:t>
        </w:r>
      </w:hyperlink>
    </w:p>
    <w:bookmarkEnd w:id="57"/>
    <w:bookmarkStart w:id="59" w:name="ref-wang2020"/>
    <w:p>
      <w:pPr>
        <w:pStyle w:val="Bibliography"/>
      </w:pPr>
      <w:r>
        <w:t xml:space="preserve">10.</w:t>
      </w:r>
      <w:r>
        <w:t xml:space="preserve"> </w:t>
      </w:r>
      <w:r>
        <w:t xml:space="preserve">	</w:t>
      </w:r>
      <w:r>
        <w:t xml:space="preserve">Wang S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58">
        <w:r>
          <w:rPr>
            <w:rStyle w:val="Hyperlink"/>
          </w:rPr>
          <w:t xml:space="preserve">10.1145/3366423.3380120</w:t>
        </w:r>
      </w:hyperlink>
    </w:p>
    <w:bookmarkEnd w:id="59"/>
    <w:bookmarkStart w:id="61" w:name="ref-rao2006"/>
    <w:p>
      <w:pPr>
        <w:pStyle w:val="Bibliography"/>
      </w:pPr>
      <w:r>
        <w:t xml:space="preserve">11.</w:t>
      </w:r>
      <w:r>
        <w:t xml:space="preserve"> </w:t>
      </w:r>
      <w:r>
        <w:t xml:space="preserve">	</w:t>
      </w:r>
      <w:r>
        <w:t xml:space="preserve">Rao RD, Argote L. Organizational learning and forgetting: The effects of turnover and structure.</w:t>
      </w:r>
      <w:r>
        <w:t xml:space="preserve"> </w:t>
      </w:r>
      <w:r>
        <w:rPr>
          <w:i/>
          <w:iCs/>
        </w:rPr>
        <w:t xml:space="preserve">European Management Review</w:t>
      </w:r>
      <w:r>
        <w:t xml:space="preserve">. 2006;3(2):77-85.</w:t>
      </w:r>
      <w:r>
        <w:t xml:space="preserve"> </w:t>
      </w:r>
      <w:hyperlink r:id="rId60">
        <w:r>
          <w:rPr>
            <w:rStyle w:val="Hyperlink"/>
          </w:rPr>
          <w:t xml:space="preserve">https://onlinelibrary.wiley.com/doi/abs/10.1057/palgrave.emr.1500057</w:t>
        </w:r>
      </w:hyperlink>
    </w:p>
    <w:bookmarkEnd w:id="61"/>
    <w:bookmarkStart w:id="63" w:name="ref-mayo2016"/>
    <w:p>
      <w:pPr>
        <w:pStyle w:val="Bibliography"/>
      </w:pPr>
      <w:r>
        <w:t xml:space="preserve">12.</w:t>
      </w:r>
      <w:r>
        <w:t xml:space="preserve"> </w:t>
      </w:r>
      <w:r>
        <w:t xml:space="preserve">	</w:t>
      </w:r>
      <w:r>
        <w:t xml:space="preserve">Mayo D C. S.</w:t>
      </w:r>
      <w:r>
        <w:t xml:space="preserve"> </w:t>
      </w:r>
      <w:r>
        <w:t xml:space="preserve">How can we effect culture change toward data-driven medicine?</w:t>
      </w:r>
      <w:r>
        <w:t xml:space="preserve"> </w:t>
      </w:r>
      <w:r>
        <w:rPr>
          <w:i/>
          <w:iCs/>
        </w:rPr>
        <w:t xml:space="preserve">International Journal of Radiation Oncology, Biology, Physics</w:t>
      </w:r>
      <w:r>
        <w:t xml:space="preserve">. Published online 2016. doi:</w:t>
      </w:r>
      <w:hyperlink r:id="rId62">
        <w:r>
          <w:rPr>
            <w:rStyle w:val="Hyperlink"/>
          </w:rPr>
          <w:t xml:space="preserve">10.1016/j.ijrobp.2016.03.003</w:t>
        </w:r>
      </w:hyperlink>
    </w:p>
    <w:bookmarkEnd w:id="63"/>
    <w:bookmarkStart w:id="65" w:name="ref-ledikwe2013"/>
    <w:p>
      <w:pPr>
        <w:pStyle w:val="Bibliography"/>
      </w:pPr>
      <w:r>
        <w:t xml:space="preserve">13.</w:t>
      </w:r>
      <w:r>
        <w:t xml:space="preserve"> </w:t>
      </w:r>
      <w:r>
        <w:t xml:space="preserve">	</w:t>
      </w:r>
      <w:r>
        <w:t xml:space="preserve">Ledikwe R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Published online 2013. doi:</w:t>
      </w:r>
      <w:hyperlink r:id="rId64">
        <w:r>
          <w:rPr>
            <w:rStyle w:val="Hyperlink"/>
          </w:rPr>
          <w:t xml:space="preserve">10.1186/1478-4491-11-35</w:t>
        </w:r>
      </w:hyperlink>
    </w:p>
    <w:bookmarkEnd w:id="65"/>
    <w:bookmarkStart w:id="67" w:name="ref-mantas2010"/>
    <w:p>
      <w:pPr>
        <w:pStyle w:val="Bibliography"/>
      </w:pPr>
      <w:r>
        <w:t xml:space="preserve">14.</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Published online 2010. doi:</w:t>
      </w:r>
      <w:hyperlink r:id="rId66">
        <w:r>
          <w:rPr>
            <w:rStyle w:val="Hyperlink"/>
          </w:rPr>
          <w:t xml:space="preserve">10.3414/ME5119</w:t>
        </w:r>
      </w:hyperlink>
    </w:p>
    <w:bookmarkEnd w:id="67"/>
    <w:bookmarkStart w:id="69" w:name="ref-ang2004"/>
    <w:p>
      <w:pPr>
        <w:pStyle w:val="Bibliography"/>
      </w:pPr>
      <w:r>
        <w:t xml:space="preserve">15.</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Published online 2004. doi:</w:t>
      </w:r>
      <w:hyperlink r:id="rId68">
        <w:r>
          <w:rPr>
            <w:rStyle w:val="Hyperlink"/>
          </w:rPr>
          <w:t xml:space="preserve">10.1145/1017114.1017118</w:t>
        </w:r>
      </w:hyperlink>
    </w:p>
    <w:bookmarkEnd w:id="69"/>
    <w:bookmarkStart w:id="71" w:name="ref-farnese2019"/>
    <w:p>
      <w:pPr>
        <w:pStyle w:val="Bibliography"/>
      </w:pPr>
      <w:r>
        <w:t xml:space="preserve">16.</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Published online 2019. doi:</w:t>
      </w:r>
      <w:hyperlink r:id="rId70">
        <w:r>
          <w:rPr>
            <w:rStyle w:val="Hyperlink"/>
          </w:rPr>
          <w:t xml:space="preserve">10.3389/fpsyg.2019.02730</w:t>
        </w:r>
      </w:hyperlink>
    </w:p>
    <w:bookmarkEnd w:id="71"/>
    <w:bookmarkStart w:id="73" w:name="ref-tyndall2010"/>
    <w:p>
      <w:pPr>
        <w:pStyle w:val="Bibliography"/>
      </w:pPr>
      <w:r>
        <w:t xml:space="preserve">17.</w:t>
      </w:r>
      <w:r>
        <w:t xml:space="preserve"> </w:t>
      </w:r>
      <w:r>
        <w:t xml:space="preserve">	</w:t>
      </w:r>
      <w:r>
        <w:t xml:space="preserve">Tyndall J.</w:t>
      </w:r>
      <w:r>
        <w:t xml:space="preserve"> </w:t>
      </w:r>
      <w:r>
        <w:t xml:space="preserve">AACODS</w:t>
      </w:r>
      <w:r>
        <w:t xml:space="preserve"> </w:t>
      </w:r>
      <w:r>
        <w:t xml:space="preserve">Checklist. Flinders University</w:t>
      </w:r>
      <w:r>
        <w:t xml:space="preserve">. Published online 2010.</w:t>
      </w:r>
      <w:r>
        <w:t xml:space="preserve"> </w:t>
      </w:r>
      <w:hyperlink r:id="rId72">
        <w:r>
          <w:rPr>
            <w:rStyle w:val="Hyperlink"/>
          </w:rPr>
          <w:t xml:space="preserve">https://dspace.flinders.edu.au/jspui/bitstream/2328/3326/4/AACODS_Checklist.pdf</w:t>
        </w:r>
      </w:hyperlink>
    </w:p>
    <w:bookmarkEnd w:id="73"/>
    <w:bookmarkStart w:id="75" w:name="ref-foos2006"/>
    <w:p>
      <w:pPr>
        <w:pStyle w:val="Bibliography"/>
      </w:pPr>
      <w:r>
        <w:t xml:space="preserve">18.</w:t>
      </w:r>
      <w:r>
        <w:t xml:space="preserve"> </w:t>
      </w:r>
      <w:r>
        <w:t xml:space="preserve">	</w:t>
      </w:r>
      <w:r>
        <w:t xml:space="preserve">Foos S T.</w:t>
      </w:r>
      <w:r>
        <w:t xml:space="preserve"> </w:t>
      </w:r>
      <w:r>
        <w:t xml:space="preserve">Tacit knowledge transfer and the knowledge disconnect</w:t>
      </w:r>
      <w:r>
        <w:t xml:space="preserve">.</w:t>
      </w:r>
      <w:r>
        <w:t xml:space="preserve"> </w:t>
      </w:r>
      <w:r>
        <w:rPr>
          <w:i/>
          <w:iCs/>
        </w:rPr>
        <w:t xml:space="preserve">Journal of Knowledge Management</w:t>
      </w:r>
      <w:r>
        <w:t xml:space="preserve">. Published online 2006. doi:</w:t>
      </w:r>
      <w:hyperlink r:id="rId74">
        <w:r>
          <w:rPr>
            <w:rStyle w:val="Hyperlink"/>
          </w:rPr>
          <w:t xml:space="preserve">10.1108/13673270610650067</w:t>
        </w:r>
      </w:hyperlink>
    </w:p>
    <w:bookmarkEnd w:id="75"/>
    <w:bookmarkStart w:id="77" w:name="ref-nsi2025"/>
    <w:p>
      <w:pPr>
        <w:pStyle w:val="Bibliography"/>
      </w:pPr>
      <w:r>
        <w:t xml:space="preserve">19.</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76">
        <w:r>
          <w:rPr>
            <w:rStyle w:val="Hyperlink"/>
          </w:rPr>
          <w:t xml:space="preserve">https://www.nsinursingsolutions.com/documents/library/nsi_national_health_care_retention_report.pdf</w:t>
        </w:r>
      </w:hyperlink>
    </w:p>
    <w:bookmarkEnd w:id="77"/>
    <w:bookmarkStart w:id="79" w:name="ref-konrad2022"/>
    <w:p>
      <w:pPr>
        <w:pStyle w:val="Bibliography"/>
      </w:pPr>
      <w:r>
        <w:t xml:space="preserve">20.</w:t>
      </w:r>
      <w:r>
        <w:t xml:space="preserve"> </w:t>
      </w:r>
      <w:r>
        <w:t xml:space="preserve">	</w:t>
      </w:r>
      <w:r>
        <w:t xml:space="preserve">Konrad &amp;S I.</w:t>
      </w:r>
      <w:r>
        <w:t xml:space="preserve"> </w:t>
      </w:r>
      <w:r>
        <w:rPr>
          <w:i/>
          <w:iCs/>
        </w:rPr>
        <w:t xml:space="preserve">Exploring the potential of an</w:t>
      </w:r>
      <w:r>
        <w:rPr>
          <w:i/>
          <w:iCs/>
        </w:rPr>
        <w:t xml:space="preserve"> </w:t>
      </w:r>
      <w:r>
        <w:rPr>
          <w:i/>
          <w:iCs/>
        </w:rPr>
        <w:t xml:space="preserve">IT</w:t>
      </w:r>
      <w:r>
        <w:rPr>
          <w:i/>
          <w:iCs/>
        </w:rPr>
        <w:t xml:space="preserve"> </w:t>
      </w:r>
      <w:r>
        <w:rPr>
          <w:i/>
          <w:iCs/>
        </w:rPr>
        <w:t xml:space="preserve">capability in its bootstrap phase from a task driven onboarding perspective: Insights toward information infrastructure in healthcare</w:t>
      </w:r>
      <w:r>
        <w:t xml:space="preserve">. Master’s thesis. 2022.</w:t>
      </w:r>
      <w:r>
        <w:t xml:space="preserve"> </w:t>
      </w:r>
      <w:hyperlink r:id="rId78">
        <w:r>
          <w:rPr>
            <w:rStyle w:val="Hyperlink"/>
          </w:rPr>
          <w:t xml:space="preserve">https://www.diva-portal.org/smash/record.jsf?pid=diva2:1684142</w:t>
        </w:r>
      </w:hyperlink>
    </w:p>
    <w:bookmarkEnd w:id="79"/>
    <w:bookmarkStart w:id="81" w:name="ref-wu2024"/>
    <w:p>
      <w:pPr>
        <w:pStyle w:val="Bibliography"/>
      </w:pPr>
      <w:r>
        <w:t xml:space="preserve">21.</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80">
        <w:r>
          <w:rPr>
            <w:rStyle w:val="Hyperlink"/>
          </w:rPr>
          <w:t xml:space="preserve">10.1002/nop2.2097</w:t>
        </w:r>
      </w:hyperlink>
    </w:p>
    <w:bookmarkEnd w:id="81"/>
    <w:bookmarkStart w:id="83" w:name="ref-ren2024"/>
    <w:p>
      <w:pPr>
        <w:pStyle w:val="Bibliography"/>
      </w:pPr>
      <w:r>
        <w:t xml:space="preserve">22.</w:t>
      </w:r>
      <w:r>
        <w:t xml:space="preserve"> </w:t>
      </w:r>
      <w:r>
        <w:t xml:space="preserve">	</w:t>
      </w:r>
      <w:r>
        <w:t xml:space="preserve">Ren W L.</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Published online 2024. doi:</w:t>
      </w:r>
      <w:hyperlink r:id="rId82">
        <w:r>
          <w:rPr>
            <w:rStyle w:val="Hyperlink"/>
          </w:rPr>
          <w:t xml:space="preserve">10.1155/2024/5063998</w:t>
        </w:r>
      </w:hyperlink>
    </w:p>
    <w:bookmarkEnd w:id="83"/>
    <w:bookmarkStart w:id="85" w:name="ref-massingham2018"/>
    <w:p>
      <w:pPr>
        <w:pStyle w:val="Bibliography"/>
      </w:pPr>
      <w:r>
        <w:t xml:space="preserve">23.</w:t>
      </w:r>
      <w:r>
        <w:t xml:space="preserve"> </w:t>
      </w:r>
      <w:r>
        <w:t xml:space="preserve">	</w:t>
      </w:r>
      <w:r>
        <w:t xml:space="preserve">Massingham PR.</w:t>
      </w:r>
      <w:r>
        <w:t xml:space="preserve"> </w:t>
      </w:r>
      <w:r>
        <w:t xml:space="preserve">Measuring the impact of knowledge loss: A longitudinal study</w:t>
      </w:r>
      <w:r>
        <w:t xml:space="preserve">.</w:t>
      </w:r>
      <w:r>
        <w:t xml:space="preserve"> </w:t>
      </w:r>
      <w:r>
        <w:rPr>
          <w:i/>
          <w:iCs/>
        </w:rPr>
        <w:t xml:space="preserve">Journal of Knowledge Management</w:t>
      </w:r>
      <w:r>
        <w:t xml:space="preserve">. Published online 2018. doi:</w:t>
      </w:r>
      <w:hyperlink r:id="rId84">
        <w:r>
          <w:rPr>
            <w:rStyle w:val="Hyperlink"/>
          </w:rPr>
          <w:t xml:space="preserve">10.1108/JKM-08-2016-0338</w:t>
        </w:r>
      </w:hyperlink>
    </w:p>
    <w:bookmarkEnd w:id="85"/>
    <w:bookmarkStart w:id="87" w:name="ref-zhang2025"/>
    <w:p>
      <w:pPr>
        <w:pStyle w:val="Bibliography"/>
      </w:pPr>
      <w:r>
        <w:t xml:space="preserve">24.</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Published online 2025. doi:</w:t>
      </w:r>
      <w:hyperlink r:id="rId86">
        <w:r>
          <w:rPr>
            <w:rStyle w:val="Hyperlink"/>
          </w:rPr>
          <w:t xml:space="preserve">10.1108/JKM-03-2024-0262</w:t>
        </w:r>
      </w:hyperlink>
    </w:p>
    <w:bookmarkEnd w:id="87"/>
    <w:bookmarkStart w:id="89" w:name="ref-goffin2011"/>
    <w:p>
      <w:pPr>
        <w:pStyle w:val="Bibliography"/>
      </w:pPr>
      <w:r>
        <w:t xml:space="preserve">25.</w:t>
      </w:r>
      <w:r>
        <w:t xml:space="preserve"> </w:t>
      </w:r>
      <w:r>
        <w:t xml:space="preserve">	</w:t>
      </w:r>
      <w:r>
        <w:t xml:space="preserve">Goffin &amp;K K.</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Published online 2011. doi:</w:t>
      </w:r>
      <w:hyperlink r:id="rId88">
        <w:r>
          <w:rPr>
            <w:rStyle w:val="Hyperlink"/>
          </w:rPr>
          <w:t xml:space="preserve">10.1111/j.1540-5885.2010.00798.x</w:t>
        </w:r>
      </w:hyperlink>
    </w:p>
    <w:bookmarkEnd w:id="89"/>
    <w:bookmarkStart w:id="91" w:name="ref-moore2018"/>
    <w:p>
      <w:pPr>
        <w:pStyle w:val="Bibliography"/>
      </w:pPr>
      <w:r>
        <w:t xml:space="preserve">26.</w:t>
      </w:r>
      <w:r>
        <w:t xml:space="preserve"> </w:t>
      </w:r>
      <w:r>
        <w:t xml:space="preserve">	</w:t>
      </w:r>
      <w:r>
        <w:t xml:space="preserve">Moore D et al.</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90">
        <w:r>
          <w:rPr>
            <w:rStyle w:val="Hyperlink"/>
          </w:rPr>
          <w:t xml:space="preserve">https://wendyju.com/publications/18_ijee3593.pdf</w:t>
        </w:r>
      </w:hyperlink>
    </w:p>
    <w:bookmarkEnd w:id="91"/>
    <w:bookmarkStart w:id="93" w:name="ref-foss2007"/>
    <w:p>
      <w:pPr>
        <w:pStyle w:val="Bibliography"/>
      </w:pPr>
      <w:r>
        <w:t xml:space="preserve">27.</w:t>
      </w:r>
      <w:r>
        <w:t xml:space="preserve"> </w:t>
      </w:r>
      <w:r>
        <w:t xml:space="preserve">	</w:t>
      </w:r>
      <w:r>
        <w:t xml:space="preserve">Foss NJ.</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92">
        <w:r>
          <w:rPr>
            <w:rStyle w:val="Hyperlink"/>
          </w:rPr>
          <w:t xml:space="preserve">10.1177/1350508407071859</w:t>
        </w:r>
      </w:hyperlink>
    </w:p>
    <w:bookmarkEnd w:id="93"/>
    <w:bookmarkStart w:id="95" w:name="ref-lee2023"/>
    <w:p>
      <w:pPr>
        <w:pStyle w:val="Bibliography"/>
      </w:pPr>
      <w:r>
        <w:t xml:space="preserve">28.</w:t>
      </w:r>
      <w:r>
        <w:t xml:space="preserve"> </w:t>
      </w:r>
      <w:r>
        <w:t xml:space="preserve">	</w:t>
      </w:r>
      <w:r>
        <w:t xml:space="preserve">Lee et al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94">
        <w:r>
          <w:rPr>
            <w:rStyle w:val="Hyperlink"/>
          </w:rPr>
          <w:t xml:space="preserve">https://arxiv.org/abs/2301.07695</w:t>
        </w:r>
      </w:hyperlink>
    </w:p>
    <w:bookmarkEnd w:id="95"/>
    <w:bookmarkStart w:id="97" w:name="ref-ziletti2024"/>
    <w:p>
      <w:pPr>
        <w:pStyle w:val="Bibliography"/>
      </w:pPr>
      <w:r>
        <w:t xml:space="preserve">29.</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96">
        <w:r>
          <w:rPr>
            <w:rStyle w:val="Hyperlink"/>
          </w:rPr>
          <w:t xml:space="preserve">https://arxiv.org/abs/2403.09226</w:t>
        </w:r>
      </w:hyperlink>
    </w:p>
    <w:bookmarkEnd w:id="97"/>
    <w:bookmarkStart w:id="99" w:name="ref-bravorocca2023"/>
    <w:p>
      <w:pPr>
        <w:pStyle w:val="Bibliography"/>
      </w:pPr>
      <w:r>
        <w:t xml:space="preserve">30.</w:t>
      </w:r>
      <w:r>
        <w:t xml:space="preserve"> </w:t>
      </w:r>
      <w:r>
        <w:t xml:space="preserve">	</w:t>
      </w:r>
      <w:r>
        <w:t xml:space="preserve">Bravo Rocca GJ.</w:t>
      </w:r>
      <w:r>
        <w:t xml:space="preserve"> </w:t>
      </w:r>
      <w:r>
        <w:rPr>
          <w:i/>
          <w:iCs/>
        </w:rPr>
        <w:t xml:space="preserve">Human-on-the-Loop Continual Learning</w:t>
      </w:r>
      <w:r>
        <w:t xml:space="preserve">. PhD thesis. Universitat Polit</w:t>
      </w:r>
      <w:r>
        <w:t xml:space="preserve">è</w:t>
      </w:r>
      <w:r>
        <w:t xml:space="preserve">cnica de Catalunya; 2023.</w:t>
      </w:r>
      <w:r>
        <w:t xml:space="preserve"> </w:t>
      </w:r>
      <w:hyperlink r:id="rId98">
        <w:r>
          <w:rPr>
            <w:rStyle w:val="Hyperlink"/>
          </w:rPr>
          <w:t xml:space="preserve">https://www.tdx.cat/bitstream/handle/10803/695722/TGJBR1de1.pdf?sequence=1</w:t>
        </w:r>
      </w:hyperlink>
    </w:p>
    <w:bookmarkEnd w:id="99"/>
    <w:bookmarkStart w:id="101" w:name="ref-mosqueirarey2023"/>
    <w:p>
      <w:pPr>
        <w:pStyle w:val="Bibliography"/>
      </w:pPr>
      <w:r>
        <w:t xml:space="preserve">31.</w:t>
      </w:r>
      <w:r>
        <w:t xml:space="preserve"> </w:t>
      </w:r>
      <w:r>
        <w:t xml:space="preserve">	</w:t>
      </w:r>
      <w:r>
        <w:t xml:space="preserve">Mosqueira-Rey E et al.</w:t>
      </w:r>
      <w:r>
        <w:t xml:space="preserve"> Human-in-the-loop machine learning: A state of the art.</w:t>
      </w:r>
      <w:r>
        <w:t xml:space="preserve"> </w:t>
      </w:r>
      <w:r>
        <w:rPr>
          <w:i/>
          <w:iCs/>
        </w:rPr>
        <w:t xml:space="preserve">Artificial Intelligence Review</w:t>
      </w:r>
      <w:r>
        <w:t xml:space="preserve">. 2023;56:3005-3054.</w:t>
      </w:r>
      <w:r>
        <w:t xml:space="preserve"> </w:t>
      </w:r>
      <w:hyperlink r:id="rId100">
        <w:r>
          <w:rPr>
            <w:rStyle w:val="Hyperlink"/>
          </w:rPr>
          <w:t xml:space="preserve">https://link.springer.com/content/pdf/10.1007/s10462-022-10246-w.pdf</w:t>
        </w:r>
      </w:hyperlink>
    </w:p>
    <w:bookmarkEnd w:id="101"/>
    <w:bookmarkStart w:id="103" w:name="ref-benbya2004"/>
    <w:p>
      <w:pPr>
        <w:pStyle w:val="Bibliography"/>
      </w:pPr>
      <w:r>
        <w:t xml:space="preserve">32.</w:t>
      </w:r>
      <w:r>
        <w:t xml:space="preserve"> </w:t>
      </w:r>
      <w:r>
        <w:t xml:space="preserve">	</w:t>
      </w:r>
      <w:r>
        <w:t xml:space="preserve">Benbya P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Published online 2004. doi:</w:t>
      </w:r>
      <w:hyperlink r:id="rId102">
        <w:r>
          <w:rPr>
            <w:rStyle w:val="Hyperlink"/>
          </w:rPr>
          <w:t xml:space="preserve">10.1016/j.ijinfomgt.2003.12.012</w:t>
        </w:r>
      </w:hyperlink>
    </w:p>
    <w:bookmarkEnd w:id="103"/>
    <w:bookmarkStart w:id="105" w:name="ref-whittaker2008"/>
    <w:p>
      <w:pPr>
        <w:pStyle w:val="Bibliography"/>
      </w:pPr>
      <w:r>
        <w:t xml:space="preserve">33.</w:t>
      </w:r>
      <w:r>
        <w:t xml:space="preserve"> </w:t>
      </w:r>
      <w:r>
        <w:t xml:space="preserve">	</w:t>
      </w:r>
      <w:r>
        <w:t xml:space="preserve">Whittaker S, Hyland P, Wiley M. Design and evaluation of systems to support interaction capture and retrieval.</w:t>
      </w:r>
      <w:r>
        <w:t xml:space="preserve"> </w:t>
      </w:r>
      <w:r>
        <w:rPr>
          <w:i/>
          <w:iCs/>
        </w:rPr>
        <w:t xml:space="preserve">Personal and Ubiquitous Computing</w:t>
      </w:r>
      <w:r>
        <w:t xml:space="preserve">. 2008;12(3):197-209.</w:t>
      </w:r>
      <w:r>
        <w:t xml:space="preserve"> </w:t>
      </w:r>
      <w:hyperlink r:id="rId104">
        <w:r>
          <w:rPr>
            <w:rStyle w:val="Hyperlink"/>
          </w:rPr>
          <w:t xml:space="preserve">https://www.academia.edu/download/41283190/Design_and_evaluation_of_systems_to_supp20160117-25708-98zc50.pdf</w:t>
        </w:r>
      </w:hyperlink>
    </w:p>
    <w:bookmarkEnd w:id="105"/>
    <w:bookmarkStart w:id="107" w:name="ref-mannapur2025"/>
    <w:p>
      <w:pPr>
        <w:pStyle w:val="Bibliography"/>
      </w:pPr>
      <w:r>
        <w:t xml:space="preserve">34.</w:t>
      </w:r>
      <w:r>
        <w:t xml:space="preserve"> </w:t>
      </w:r>
      <w:r>
        <w:t xml:space="preserve">	</w:t>
      </w:r>
      <w:r>
        <w:t xml:space="preserve">Mannapur S. Understanding data drift and concept drift in machine learning systems.</w:t>
      </w:r>
      <w:r>
        <w:t xml:space="preserve"> </w:t>
      </w:r>
      <w:r>
        <w:rPr>
          <w:i/>
          <w:iCs/>
        </w:rPr>
        <w:t xml:space="preserve">International Journal of Scientific Research</w:t>
      </w:r>
      <w:r>
        <w:t xml:space="preserve">. Published online 2025.</w:t>
      </w:r>
      <w:r>
        <w:t xml:space="preserve"> </w:t>
      </w:r>
      <w:hyperlink r:id="rId106">
        <w:r>
          <w:rPr>
            <w:rStyle w:val="Hyperlink"/>
          </w:rPr>
          <w:t xml:space="preserve">https://www.quantbeckman.com/api/v1/file/5b240742-bf0d-4f8c-a0f9-cb29fab42611.pdf</w:t>
        </w:r>
      </w:hyperlink>
    </w:p>
    <w:bookmarkEnd w:id="107"/>
    <w:bookmarkStart w:id="109" w:name="ref-battula2025"/>
    <w:p>
      <w:pPr>
        <w:pStyle w:val="Bibliography"/>
      </w:pPr>
      <w:r>
        <w:t xml:space="preserve">35.</w:t>
      </w:r>
      <w:r>
        <w:t xml:space="preserve"> </w:t>
      </w:r>
      <w:r>
        <w:t xml:space="preserve">	</w:t>
      </w:r>
      <w:r>
        <w:t xml:space="preserve">Battula SKY.</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08">
        <w:r>
          <w:rPr>
            <w:rStyle w:val="Hyperlink"/>
          </w:rPr>
          <w:t xml:space="preserve">10.63282/3050-9262.IJAIDSML-V6I4P130</w:t>
        </w:r>
      </w:hyperlink>
    </w:p>
    <w:bookmarkEnd w:id="109"/>
    <w:bookmarkStart w:id="111" w:name="ref-himss2024news"/>
    <w:p>
      <w:pPr>
        <w:pStyle w:val="Bibliography"/>
      </w:pPr>
      <w:r>
        <w:t xml:space="preserve">36.</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110">
        <w:r>
          <w:rPr>
            <w:rStyle w:val="Hyperlink"/>
          </w:rPr>
          <w:t xml:space="preserve">https://www.healthcareitnews.com/news/asia/himss24-apac-adoption-model-analytics-maturity-gets-facelift</w:t>
        </w:r>
      </w:hyperlink>
    </w:p>
    <w:bookmarkEnd w:id="111"/>
    <w:bookmarkStart w:id="113" w:name="ref-health2020"/>
    <w:p>
      <w:pPr>
        <w:pStyle w:val="Bibliography"/>
      </w:pPr>
      <w:r>
        <w:t xml:space="preserve">37.</w:t>
      </w:r>
      <w:r>
        <w:t xml:space="preserve"> </w:t>
      </w:r>
      <w:r>
        <w:t xml:space="preserve">	</w:t>
      </w:r>
      <w:r>
        <w:t xml:space="preserve">Catalyst H.</w:t>
      </w:r>
      <w:r>
        <w:t xml:space="preserve"> </w:t>
      </w:r>
      <w:r>
        <w:t xml:space="preserve">The healthcare analytics adoption model: A roadmap to analytic maturity</w:t>
      </w:r>
      <w:r>
        <w:t xml:space="preserve">. Published online 2020.</w:t>
      </w:r>
      <w:r>
        <w:t xml:space="preserve"> </w:t>
      </w:r>
      <w:hyperlink r:id="rId112">
        <w:r>
          <w:rPr>
            <w:rStyle w:val="Hyperlink"/>
          </w:rPr>
          <w:t xml:space="preserve">https://www.healthcatalyst.com/learn/insights/healthcare-analytics-adoption-model-roadmap-analytic-maturity</w:t>
        </w:r>
      </w:hyperlink>
    </w:p>
    <w:bookmarkEnd w:id="113"/>
    <w:bookmarkStart w:id="115" w:name="ref-snowdon2024"/>
    <w:p>
      <w:pPr>
        <w:pStyle w:val="Bibliography"/>
      </w:pPr>
      <w:r>
        <w:t xml:space="preserve">38.</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14">
        <w:r>
          <w:rPr>
            <w:rStyle w:val="Hyperlink"/>
          </w:rPr>
          <w:t xml:space="preserve">10.2196/56316</w:t>
        </w:r>
      </w:hyperlink>
    </w:p>
    <w:bookmarkEnd w:id="115"/>
    <w:bookmarkStart w:id="117" w:name="ref-yang2021"/>
    <w:p>
      <w:pPr>
        <w:pStyle w:val="Bibliography"/>
      </w:pPr>
      <w:r>
        <w:t xml:space="preserve">39.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w:t>
      </w:r>
      <w:r>
        <w:t xml:space="preserve"> </w:t>
      </w:r>
      <w:hyperlink r:id="rId116">
        <w:r>
          <w:rPr>
            <w:rStyle w:val="Hyperlink"/>
          </w:rPr>
          <w:t xml:space="preserve">https://jamanetwork.com/journals/jamanetworkopen/fullarticle/2777777</w:t>
        </w:r>
      </w:hyperlink>
    </w:p>
    <w:bookmarkEnd w:id="117"/>
    <w:bookmarkStart w:id="119" w:name="ref-latrella2024"/>
    <w:p>
      <w:pPr>
        <w:pStyle w:val="Bibliography"/>
      </w:pPr>
      <w:r>
        <w:t xml:space="preserve">40.</w:t>
      </w:r>
      <w:r>
        <w:t xml:space="preserve"> </w:t>
      </w:r>
      <w:r>
        <w:t xml:space="preserve">	</w:t>
      </w:r>
      <w:r>
        <w:t xml:space="preserve">Latrella &amp;B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Published online 2024. doi:</w:t>
      </w:r>
      <w:hyperlink r:id="rId118">
        <w:r>
          <w:rPr>
            <w:rStyle w:val="Hyperlink"/>
          </w:rPr>
          <w:t xml:space="preserve">10.69554/QHSO5671</w:t>
        </w:r>
      </w:hyperlink>
    </w:p>
    <w:bookmarkEnd w:id="119"/>
    <w:bookmarkStart w:id="121" w:name="ref-nashid2023"/>
    <w:p>
      <w:pPr>
        <w:pStyle w:val="Bibliography"/>
      </w:pPr>
      <w:r>
        <w:t xml:space="preserve">41.</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w:t>
      </w:r>
      <w:r>
        <w:t xml:space="preserve"> </w:t>
      </w:r>
      <w:r>
        <w:rPr>
          <w:i/>
          <w:iCs/>
        </w:rPr>
        <w:t xml:space="preserve">Business and Social Sciences</w:t>
      </w:r>
      <w:r>
        <w:t xml:space="preserve">. 2023;1(1):1-8. doi:</w:t>
      </w:r>
      <w:hyperlink r:id="rId120">
        <w:r>
          <w:rPr>
            <w:rStyle w:val="Hyperlink"/>
          </w:rPr>
          <w:t xml:space="preserve">10.25163/business.1110345</w:t>
        </w:r>
      </w:hyperlink>
    </w:p>
    <w:bookmarkEnd w:id="121"/>
    <w:bookmarkStart w:id="123" w:name="ref-shahbaz2019"/>
    <w:p>
      <w:pPr>
        <w:pStyle w:val="Bibliography"/>
      </w:pPr>
      <w:r>
        <w:t xml:space="preserve">42.</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Published online 2019. doi:</w:t>
      </w:r>
      <w:hyperlink r:id="rId122">
        <w:r>
          <w:rPr>
            <w:rStyle w:val="Hyperlink"/>
          </w:rPr>
          <w:t xml:space="preserve">10.1186/s40537-019-0170-y</w:t>
        </w:r>
      </w:hyperlink>
    </w:p>
    <w:bookmarkEnd w:id="123"/>
    <w:bookmarkStart w:id="125" w:name="ref-kamble2019"/>
    <w:p>
      <w:pPr>
        <w:pStyle w:val="Bibliography"/>
      </w:pPr>
      <w:r>
        <w:t xml:space="preserve">43.</w:t>
      </w:r>
      <w:r>
        <w:t xml:space="preserve"> </w:t>
      </w:r>
      <w:r>
        <w:t xml:space="preserve">	</w:t>
      </w:r>
      <w:r>
        <w:t xml:space="preserve">Kamble G S. S.</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Published online 2019. doi:</w:t>
      </w:r>
      <w:hyperlink r:id="rId124">
        <w:r>
          <w:rPr>
            <w:rStyle w:val="Hyperlink"/>
          </w:rPr>
          <w:t xml:space="preserve">10.1080/20479700.2018.1531606</w:t>
        </w:r>
      </w:hyperlink>
    </w:p>
    <w:bookmarkEnd w:id="125"/>
    <w:bookmarkStart w:id="127" w:name="ref-wynendaele2025"/>
    <w:p>
      <w:pPr>
        <w:pStyle w:val="Bibliography"/>
      </w:pPr>
      <w:r>
        <w:t xml:space="preserve">44.</w:t>
      </w:r>
      <w:r>
        <w:t xml:space="preserve"> </w:t>
      </w:r>
      <w:r>
        <w:t xml:space="preserve">	</w:t>
      </w:r>
      <w:r>
        <w:t xml:space="preserve">Wynendaele H, Clays E, Peeters E, et al.</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Published online 2025. doi:</w:t>
      </w:r>
      <w:hyperlink r:id="rId126">
        <w:r>
          <w:rPr>
            <w:rStyle w:val="Hyperlink"/>
          </w:rPr>
          <w:t xml:space="preserve">10.1186/s12913-025-12966-5</w:t>
        </w:r>
      </w:hyperlink>
    </w:p>
    <w:bookmarkEnd w:id="127"/>
    <w:bookmarkStart w:id="129" w:name="ref-hackney2024"/>
    <w:p>
      <w:pPr>
        <w:pStyle w:val="Bibliography"/>
      </w:pPr>
      <w:r>
        <w:t xml:space="preserve">45.</w:t>
      </w:r>
      <w:r>
        <w:t xml:space="preserve"> </w:t>
      </w:r>
      <w:r>
        <w:t xml:space="preserve">	</w:t>
      </w:r>
      <w:r>
        <w:t xml:space="preserve">Hackney A.</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28">
        <w:r>
          <w:rPr>
            <w:rStyle w:val="Hyperlink"/>
          </w:rPr>
          <w:t xml:space="preserve">https://search.proquest.com/openview/9a3a9ef301c01ff0129d07f685b8643f/1</w:t>
        </w:r>
      </w:hyperlink>
    </w:p>
    <w:bookmarkEnd w:id="129"/>
    <w:bookmarkStart w:id="131" w:name="ref-blaskovic2025"/>
    <w:p>
      <w:pPr>
        <w:pStyle w:val="Bibliography"/>
      </w:pPr>
      <w:r>
        <w:t xml:space="preserve">46.</w:t>
      </w:r>
      <w:r>
        <w:t xml:space="preserve"> </w:t>
      </w:r>
      <w:r>
        <w:t xml:space="preserve">	</w:t>
      </w:r>
      <w:r>
        <w:t xml:space="preserve">Blaskovic L, Tankovic N, Lorencin I, et al.</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30">
        <w:r>
          <w:rPr>
            <w:rStyle w:val="Hyperlink"/>
          </w:rPr>
          <w:t xml:space="preserve">10.3390/bdcc9100256</w:t>
        </w:r>
      </w:hyperlink>
    </w:p>
    <w:bookmarkEnd w:id="131"/>
    <w:bookmarkStart w:id="133" w:name="ref-marshan2024"/>
    <w:p>
      <w:pPr>
        <w:pStyle w:val="Bibliography"/>
      </w:pPr>
      <w:r>
        <w:t xml:space="preserve">47.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Published online 2024. doi:</w:t>
      </w:r>
      <w:hyperlink r:id="rId132">
        <w:r>
          <w:rPr>
            <w:rStyle w:val="Hyperlink"/>
          </w:rPr>
          <w:t xml:space="preserve">10.3389/fdata.2024.1371680</w:t>
        </w:r>
      </w:hyperlink>
    </w:p>
    <w:bookmarkEnd w:id="133"/>
    <w:bookmarkStart w:id="135" w:name="ref-chen2026graph"/>
    <w:p>
      <w:pPr>
        <w:pStyle w:val="Bibliography"/>
      </w:pPr>
      <w:r>
        <w:t xml:space="preserve">48.</w:t>
      </w:r>
      <w:r>
        <w:t xml:space="preserve"> </w:t>
      </w:r>
      <w:r>
        <w:t xml:space="preserve">	</w:t>
      </w:r>
      <w:r>
        <w:t xml:space="preserve">Chen Q, Peng J, Song B, Zhou Y, Ji R.</w:t>
      </w:r>
      <w:r>
        <w:t xml:space="preserve"> </w:t>
      </w:r>
      <w:r>
        <w:t xml:space="preserve">Graph-empowered Text-to-SQL generation on Electronic Medical Records</w:t>
      </w:r>
      <w:r>
        <w:t xml:space="preserve">.</w:t>
      </w:r>
      <w:r>
        <w:t xml:space="preserve"> </w:t>
      </w:r>
      <w:r>
        <w:rPr>
          <w:i/>
          <w:iCs/>
        </w:rPr>
        <w:t xml:space="preserve">Pattern Recognition</w:t>
      </w:r>
      <w:r>
        <w:t xml:space="preserve">. Published online 2026. doi:</w:t>
      </w:r>
      <w:hyperlink r:id="rId134">
        <w:r>
          <w:rPr>
            <w:rStyle w:val="Hyperlink"/>
          </w:rPr>
          <w:t xml:space="preserve">10.1016/j.patcog.2025.111601</w:t>
        </w:r>
      </w:hyperlink>
    </w:p>
    <w:bookmarkEnd w:id="135"/>
    <w:bookmarkStart w:id="137" w:name="ref-tarbell2024"/>
    <w:p>
      <w:pPr>
        <w:pStyle w:val="Bibliography"/>
      </w:pPr>
      <w:r>
        <w:t xml:space="preserve">49.</w:t>
      </w:r>
      <w:r>
        <w:t xml:space="preserve"> </w:t>
      </w:r>
      <w:r>
        <w:t xml:space="preserve">	</w:t>
      </w:r>
      <w:r>
        <w:t xml:space="preserve">Tarbell R, Choo KKR, Dietrich G, et al.</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36">
        <w:r>
          <w:rPr>
            <w:rStyle w:val="Hyperlink"/>
          </w:rPr>
          <w:t xml:space="preserve">https://pmc.ncbi.nlm.nih.gov/articles/PMC10785918/</w:t>
        </w:r>
      </w:hyperlink>
    </w:p>
    <w:bookmarkEnd w:id="137"/>
    <w:bookmarkStart w:id="139" w:name="ref-yuan2019"/>
    <w:p>
      <w:pPr>
        <w:pStyle w:val="Bibliography"/>
      </w:pPr>
      <w:r>
        <w:t xml:space="preserve">50.</w:t>
      </w:r>
      <w:r>
        <w:t xml:space="preserve"> </w:t>
      </w:r>
      <w:r>
        <w:t xml:space="preserve">	</w:t>
      </w:r>
      <w:r>
        <w:t xml:space="preserve">Yuan C, Ryan PB, Ta C, Guo Y, Li Z, et al.</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38">
        <w:r>
          <w:rPr>
            <w:rStyle w:val="Hyperlink"/>
          </w:rPr>
          <w:t xml:space="preserve">10.1093/jamia/ocy178</w:t>
        </w:r>
      </w:hyperlink>
    </w:p>
    <w:bookmarkEnd w:id="139"/>
    <w:bookmarkStart w:id="141" w:name="ref-nittala2024"/>
    <w:p>
      <w:pPr>
        <w:pStyle w:val="Bibliography"/>
      </w:pPr>
      <w:r>
        <w:t xml:space="preserve">51.</w:t>
      </w:r>
      <w:r>
        <w:t xml:space="preserve"> </w:t>
      </w:r>
      <w:r>
        <w:t xml:space="preserve">	</w:t>
      </w:r>
      <w:r>
        <w:t xml:space="preserve">Nittala EP.</w:t>
      </w:r>
      <w:r>
        <w:t xml:space="preserve"> </w:t>
      </w:r>
      <w:r>
        <w:t xml:space="preserve">Leveraging Large Language Models for Natural Language Interface in ERP Systems: A Case Study in User Productivity and Cognitive Load</w:t>
      </w:r>
      <w:r>
        <w:t xml:space="preserve">.</w:t>
      </w:r>
      <w:r>
        <w:t xml:space="preserve"> </w:t>
      </w:r>
      <w:r>
        <w:rPr>
          <w:i/>
          <w:iCs/>
        </w:rPr>
        <w:t xml:space="preserve">International Journal of Emerging Trends in Computer Science and Information Technology</w:t>
      </w:r>
      <w:r>
        <w:t xml:space="preserve">. Published online 2024.</w:t>
      </w:r>
      <w:r>
        <w:t xml:space="preserve"> </w:t>
      </w:r>
      <w:hyperlink r:id="rId140">
        <w:r>
          <w:rPr>
            <w:rStyle w:val="Hyperlink"/>
          </w:rPr>
          <w:t xml:space="preserve">https://www.ijetcsit.org/index.php/ijetcsit/article/view/458</w:t>
        </w:r>
      </w:hyperlink>
    </w:p>
    <w:bookmarkEnd w:id="141"/>
    <w:bookmarkStart w:id="143" w:name="ref-anthropic2025"/>
    <w:p>
      <w:pPr>
        <w:pStyle w:val="Bibliography"/>
      </w:pPr>
      <w:r>
        <w:t xml:space="preserve">52.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42">
        <w:r>
          <w:rPr>
            <w:rStyle w:val="Hyperlink"/>
          </w:rPr>
          <w:t xml:space="preserve">https://resources.anthropic.com/code-modernization-playbook</w:t>
        </w:r>
      </w:hyperlink>
    </w:p>
    <w:bookmarkEnd w:id="143"/>
    <w:bookmarkStart w:id="145" w:name="ref-hendrix1978"/>
    <w:p>
      <w:pPr>
        <w:pStyle w:val="Bibliography"/>
      </w:pPr>
      <w:r>
        <w:t xml:space="preserve">53.</w:t>
      </w:r>
      <w:r>
        <w:t xml:space="preserve"> </w:t>
      </w:r>
      <w:r>
        <w:t xml:space="preserve">	</w:t>
      </w:r>
      <w:r>
        <w:t xml:space="preserve">Hendrix S G. G.</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Published online 1978. doi:</w:t>
      </w:r>
      <w:hyperlink r:id="rId144">
        <w:r>
          <w:rPr>
            <w:rStyle w:val="Hyperlink"/>
          </w:rPr>
          <w:t xml:space="preserve">10.1145/320251.320253</w:t>
        </w:r>
      </w:hyperlink>
    </w:p>
    <w:bookmarkEnd w:id="145"/>
    <w:bookmarkStart w:id="147" w:name="ref-ogunwole2023"/>
    <w:p>
      <w:pPr>
        <w:pStyle w:val="Bibliography"/>
      </w:pPr>
      <w:r>
        <w:t xml:space="preserve">54.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46">
        <w:r>
          <w:rPr>
            <w:rStyle w:val="Hyperlink"/>
          </w:rPr>
          <w:t xml:space="preserve">https://www.allmultidisciplinaryjournal.com/uploads/archives/20250306182550_MGE-2025-2-018.1.pdf</w:t>
        </w:r>
      </w:hyperlink>
    </w:p>
    <w:bookmarkEnd w:id="147"/>
    <w:bookmarkStart w:id="149" w:name="ref-arora2025"/>
    <w:p>
      <w:pPr>
        <w:pStyle w:val="Bibliography"/>
      </w:pPr>
      <w:r>
        <w:t xml:space="preserve">55.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w:t>
      </w:r>
      <w:r>
        <w:t xml:space="preserve"> </w:t>
      </w:r>
      <w:hyperlink r:id="rId148">
        <w:r>
          <w:rPr>
            <w:rStyle w:val="Hyperlink"/>
          </w:rPr>
          <w:t xml:space="preserve">https://papers.ssrn.com/sol3/papers.cfm?abstract_id=5268176</w:t>
        </w:r>
      </w:hyperlink>
    </w:p>
    <w:bookmarkEnd w:id="149"/>
    <w:bookmarkStart w:id="151" w:name="ref-ignatowicz2023"/>
    <w:p>
      <w:pPr>
        <w:pStyle w:val="Bibliography"/>
      </w:pPr>
      <w:r>
        <w:t xml:space="preserve">56.</w:t>
      </w:r>
      <w:r>
        <w:t xml:space="preserve"> </w:t>
      </w:r>
      <w:r>
        <w:t xml:space="preserve">	</w:t>
      </w:r>
      <w:r>
        <w:t xml:space="preserve">Ignatowicz A, Tarrant C, Mannion R, El-Sawy D, et al.</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2023;23:242. doi:</w:t>
      </w:r>
      <w:hyperlink r:id="rId150">
        <w:r>
          <w:rPr>
            <w:rStyle w:val="Hyperlink"/>
          </w:rPr>
          <w:t xml:space="preserve">10.1186/s12913-023-09242-9</w:t>
        </w:r>
      </w:hyperlink>
    </w:p>
    <w:bookmarkEnd w:id="151"/>
    <w:bookmarkStart w:id="153" w:name="ref-ratliff2025"/>
    <w:p>
      <w:pPr>
        <w:pStyle w:val="Bibliography"/>
      </w:pPr>
      <w:r>
        <w:t xml:space="preserve">57.</w:t>
      </w:r>
      <w:r>
        <w:t xml:space="preserve"> </w:t>
      </w:r>
      <w:r>
        <w:t xml:space="preserve">	</w:t>
      </w:r>
      <w:r>
        <w:t xml:space="preserve">Ratliff HC, Lee KA, Buchbinder M, Kelly LA, et al.</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w:t>
      </w:r>
      <w:r>
        <w:t xml:space="preserve"> </w:t>
      </w:r>
      <w:hyperlink r:id="rId152">
        <w:r>
          <w:rPr>
            <w:rStyle w:val="Hyperlink"/>
          </w:rPr>
          <w:t xml:space="preserve">https://journals.lww.com/jhmonline/fulltext/2025/05000/organizational_resilience_in_healthcare__a_scoping.4.aspx</w:t>
        </w:r>
      </w:hyperlink>
    </w:p>
    <w:bookmarkEnd w:id="153"/>
    <w:bookmarkStart w:id="155" w:name="ref-valiaiev2025"/>
    <w:p>
      <w:pPr>
        <w:pStyle w:val="Bibliography"/>
      </w:pPr>
      <w:r>
        <w:t xml:space="preserve">58.</w:t>
      </w:r>
      <w:r>
        <w:t xml:space="preserve"> </w:t>
      </w:r>
      <w:r>
        <w:t xml:space="preserve">	</w:t>
      </w:r>
      <w:r>
        <w:t xml:space="preserve">Valiaiev D.</w:t>
      </w:r>
      <w:r>
        <w:t xml:space="preserve"> </w:t>
      </w:r>
      <w:r>
        <w:rPr>
          <w:i/>
          <w:iCs/>
        </w:rPr>
        <w:t xml:space="preserve">Implementing DataOps: A Scalable Framework for Modern Data Warehousing</w:t>
      </w:r>
      <w:r>
        <w:t xml:space="preserve">. PhD thesis. ProQuest Dissertations; 2025.</w:t>
      </w:r>
      <w:r>
        <w:t xml:space="preserve"> </w:t>
      </w:r>
      <w:hyperlink r:id="rId154">
        <w:r>
          <w:rPr>
            <w:rStyle w:val="Hyperlink"/>
          </w:rPr>
          <w:t xml:space="preserve">https://search.proquest.com/openview/aa9acce88c488cbb8c6b3c8339062319/1</w:t>
        </w:r>
      </w:hyperlink>
    </w:p>
    <w:bookmarkEnd w:id="155"/>
    <w:bookmarkStart w:id="157" w:name="ref-betha2023"/>
    <w:p>
      <w:pPr>
        <w:pStyle w:val="Bibliography"/>
      </w:pPr>
      <w:r>
        <w:t xml:space="preserve">59.</w:t>
      </w:r>
      <w:r>
        <w:t xml:space="preserve"> </w:t>
      </w:r>
      <w:r>
        <w:t xml:space="preserve">	</w:t>
      </w:r>
      <w:r>
        <w:t xml:space="preserve">Betha R.</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56">
        <w:r>
          <w:rPr>
            <w:rStyle w:val="Hyperlink"/>
          </w:rPr>
          <w:t xml:space="preserve">https://www.ijaidr.com/papers/2023/1/1299.pdf</w:t>
        </w:r>
      </w:hyperlink>
    </w:p>
    <w:bookmarkEnd w:id="157"/>
    <w:bookmarkStart w:id="159" w:name="ref-kottam2025"/>
    <w:p>
      <w:pPr>
        <w:pStyle w:val="Bibliography"/>
      </w:pPr>
      <w:r>
        <w:t xml:space="preserve">60.</w:t>
      </w:r>
      <w:r>
        <w:t xml:space="preserve"> </w:t>
      </w:r>
      <w:r>
        <w:t xml:space="preserve">	</w:t>
      </w:r>
      <w:r>
        <w:t xml:space="preserve">Kottam S, Annem S, Sun Y.</w:t>
      </w:r>
      <w:r>
        <w:t xml:space="preserve"> </w:t>
      </w:r>
      <w:r>
        <w:t xml:space="preserve">Error-Aware Text-to-SQL Generation for Clinical Trial Eligibility Criteria Querying in EHR Databases</w:t>
      </w:r>
      <w:r>
        <w:t xml:space="preserve">. In:</w:t>
      </w:r>
      <w:r>
        <w:t xml:space="preserve"> </w:t>
      </w:r>
      <w:r>
        <w:rPr>
          <w:i/>
          <w:iCs/>
        </w:rPr>
        <w:t xml:space="preserve">2025 IEEE/ACM 47th International Conference on Software Engineering: Software Engineering in Practice (ICSE-SEIP)</w:t>
      </w:r>
      <w:r>
        <w:t xml:space="preserve">. 2025. doi:</w:t>
      </w:r>
      <w:hyperlink r:id="rId158">
        <w:r>
          <w:rPr>
            <w:rStyle w:val="Hyperlink"/>
          </w:rPr>
          <w:t xml:space="preserve">10.1109/ICSE-SEIP62840.2025.00045</w:t>
        </w:r>
      </w:hyperlink>
    </w:p>
    <w:bookmarkEnd w:id="159"/>
    <w:bookmarkStart w:id="161" w:name="ref-alukal2006"/>
    <w:p>
      <w:pPr>
        <w:pStyle w:val="Bibliography"/>
      </w:pPr>
      <w:r>
        <w:t xml:space="preserve">61.</w:t>
      </w:r>
      <w:r>
        <w:t xml:space="preserve"> </w:t>
      </w:r>
      <w:r>
        <w:t xml:space="preserve">	</w:t>
      </w:r>
      <w:r>
        <w:t xml:space="preserve">Alukal VG, Manos A.</w:t>
      </w:r>
      <w:r>
        <w:t xml:space="preserve"> </w:t>
      </w:r>
      <w:r>
        <w:rPr>
          <w:i/>
          <w:iCs/>
        </w:rPr>
        <w:t xml:space="preserve">Lean Kaizen: A Simplified Approach to Process Improvement</w:t>
      </w:r>
      <w:r>
        <w:t xml:space="preserve">. ASQ Quality Press; 2006.</w:t>
      </w:r>
      <w:r>
        <w:t xml:space="preserve"> </w:t>
      </w:r>
      <w:hyperlink r:id="rId160">
        <w:r>
          <w:rPr>
            <w:rStyle w:val="Hyperlink"/>
          </w:rPr>
          <w:t xml:space="preserve">https://books.google.com/books?id=9uqiEAAAQBAJ</w:t>
        </w:r>
      </w:hyperlink>
    </w:p>
    <w:bookmarkEnd w:id="161"/>
    <w:bookmarkStart w:id="163" w:name="ref-himss2025ucdavis"/>
    <w:p>
      <w:pPr>
        <w:pStyle w:val="Bibliography"/>
      </w:pPr>
      <w:r>
        <w:t xml:space="preserve">62.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62">
        <w:r>
          <w:rPr>
            <w:rStyle w:val="Hyperlink"/>
          </w:rPr>
          <w:t xml:space="preserve">https://pages.himss.org/LP-HA-Case-Study-UC-Davis.html</w:t>
        </w:r>
      </w:hyperlink>
    </w:p>
    <w:bookmarkEnd w:id="163"/>
    <w:bookmarkStart w:id="165" w:name="ref-kumar2025caos"/>
    <w:p>
      <w:pPr>
        <w:pStyle w:val="Bibliography"/>
      </w:pPr>
      <w:r>
        <w:t xml:space="preserve">63.</w:t>
      </w:r>
      <w:r>
        <w:t xml:space="preserve"> </w:t>
      </w:r>
      <w:r>
        <w:t xml:space="preserve">	</w:t>
      </w:r>
      <w:r>
        <w:t xml:space="preserve">Kumar R, Sporn K, Waisberg E, Ong J, Paladugu P, et al.</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64">
        <w:r>
          <w:rPr>
            <w:rStyle w:val="Hyperlink"/>
          </w:rPr>
          <w:t xml:space="preserve">10.1007/s10728-025-00537-y</w:t>
        </w:r>
      </w:hyperlink>
    </w:p>
    <w:bookmarkEnd w:id="165"/>
    <w:bookmarkStart w:id="167" w:name="ref-labkoff2024"/>
    <w:p>
      <w:pPr>
        <w:pStyle w:val="Bibliography"/>
      </w:pPr>
      <w:r>
        <w:t xml:space="preserve">64.</w:t>
      </w:r>
      <w:r>
        <w:t xml:space="preserve"> </w:t>
      </w:r>
      <w:r>
        <w:t xml:space="preserve">	</w:t>
      </w:r>
      <w:r>
        <w:t xml:space="preserve">Labkoff S, Oladimeji B, Kannry J, et al.</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 doi:</w:t>
      </w:r>
      <w:hyperlink r:id="rId166">
        <w:r>
          <w:rPr>
            <w:rStyle w:val="Hyperlink"/>
          </w:rPr>
          <w:t xml:space="preserve">10.1093/jamia/ocae209</w:t>
        </w:r>
      </w:hyperlink>
    </w:p>
    <w:bookmarkEnd w:id="167"/>
    <w:bookmarkStart w:id="169" w:name="ref-loshin2010"/>
    <w:p>
      <w:pPr>
        <w:pStyle w:val="Bibliography"/>
      </w:pPr>
      <w:r>
        <w:t xml:space="preserve">65.</w:t>
      </w:r>
      <w:r>
        <w:t xml:space="preserve"> </w:t>
      </w:r>
      <w:r>
        <w:t xml:space="preserve">	</w:t>
      </w:r>
      <w:r>
        <w:t xml:space="preserve">Loshin D.</w:t>
      </w:r>
      <w:r>
        <w:t xml:space="preserve"> </w:t>
      </w:r>
      <w:r>
        <w:rPr>
          <w:i/>
          <w:iCs/>
        </w:rPr>
        <w:t xml:space="preserve">Master Data Management</w:t>
      </w:r>
      <w:r>
        <w:t xml:space="preserve">. Morgan Kaufmann; 2010.</w:t>
      </w:r>
      <w:r>
        <w:t xml:space="preserve"> </w:t>
      </w:r>
      <w:hyperlink r:id="rId168">
        <w:r>
          <w:rPr>
            <w:rStyle w:val="Hyperlink"/>
          </w:rPr>
          <w:t xml:space="preserve">https://books.google.com/books?id=dJtmVz3nrOUC</w:t>
        </w:r>
      </w:hyperlink>
    </w:p>
    <w:bookmarkEnd w:id="169"/>
    <w:bookmarkStart w:id="171" w:name="ref-kalyanasundaram2025"/>
    <w:p>
      <w:pPr>
        <w:pStyle w:val="Bibliography"/>
      </w:pPr>
      <w:r>
        <w:t xml:space="preserve">66.</w:t>
      </w:r>
      <w:r>
        <w:t xml:space="preserve"> </w:t>
      </w:r>
      <w:r>
        <w:t xml:space="preserve">	</w:t>
      </w:r>
      <w:r>
        <w:t xml:space="preserve">Kalyanasundaram S.</w:t>
      </w:r>
      <w:r>
        <w:t xml:space="preserve"> </w:t>
      </w:r>
      <w:r>
        <w:t xml:space="preserve">Data Lake Governance – Establishing a Single Source of Truth in Healthcare Enterprises</w:t>
      </w:r>
      <w:r>
        <w:t xml:space="preserve">.</w:t>
      </w:r>
      <w:r>
        <w:t xml:space="preserve"> </w:t>
      </w:r>
      <w:r>
        <w:rPr>
          <w:i/>
          <w:iCs/>
        </w:rPr>
        <w:t xml:space="preserve">International Journal of Emerging Trends in Computer Science and Information Technology</w:t>
      </w:r>
      <w:r>
        <w:t xml:space="preserve">. Published online 2025.</w:t>
      </w:r>
      <w:r>
        <w:t xml:space="preserve"> </w:t>
      </w:r>
      <w:hyperlink r:id="rId170">
        <w:r>
          <w:rPr>
            <w:rStyle w:val="Hyperlink"/>
          </w:rPr>
          <w:t xml:space="preserve">https://www.ijetcsit.org/index.php/ijetcsit/article/view/522</w:t>
        </w:r>
      </w:hyperlink>
    </w:p>
    <w:bookmarkEnd w:id="171"/>
    <w:bookmarkStart w:id="173" w:name="ref-zimmermann2017"/>
    <w:p>
      <w:pPr>
        <w:pStyle w:val="Bibliography"/>
      </w:pPr>
      <w:r>
        <w:t xml:space="preserve">67.</w:t>
      </w:r>
      <w:r>
        <w:t xml:space="preserve"> </w:t>
      </w:r>
      <w:r>
        <w:t xml:space="preserve">	</w:t>
      </w:r>
      <w:r>
        <w:t xml:space="preserve">Zimmermann S, Rentrop C.</w:t>
      </w:r>
      <w:r>
        <w:t xml:space="preserve"> </w:t>
      </w:r>
      <w:r>
        <w:t xml:space="preserve">On the emergence of shadow IT: A transaction cost-based approach</w:t>
      </w:r>
      <w:r>
        <w:t xml:space="preserve">.</w:t>
      </w:r>
      <w:r>
        <w:t xml:space="preserve"> </w:t>
      </w:r>
      <w:r>
        <w:rPr>
          <w:i/>
          <w:iCs/>
        </w:rPr>
        <w:t xml:space="preserve">Journal of Information Systems</w:t>
      </w:r>
      <w:r>
        <w:t xml:space="preserve">. 2017;31(1):79-96. doi:</w:t>
      </w:r>
      <w:hyperlink r:id="rId172">
        <w:r>
          <w:rPr>
            <w:rStyle w:val="Hyperlink"/>
          </w:rPr>
          <w:t xml:space="preserve">10.2308/isys-51386</w:t>
        </w:r>
      </w:hyperlink>
    </w:p>
    <w:bookmarkEnd w:id="173"/>
    <w:bookmarkStart w:id="175" w:name="ref-ipeirotis2025"/>
    <w:p>
      <w:pPr>
        <w:pStyle w:val="Bibliography"/>
      </w:pPr>
      <w:r>
        <w:t xml:space="preserve">68.</w:t>
      </w:r>
      <w:r>
        <w:t xml:space="preserve"> </w:t>
      </w:r>
      <w:r>
        <w:t xml:space="preserve">	</w:t>
      </w:r>
      <w:r>
        <w:t xml:space="preserve">Ipeirotis &amp;Z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174">
        <w:r>
          <w:rPr>
            <w:rStyle w:val="Hyperlink"/>
          </w:rPr>
          <w:t xml:space="preserve">https://arxiv.org/abs/2511.14718</w:t>
        </w:r>
      </w:hyperlink>
    </w:p>
    <w:bookmarkEnd w:id="175"/>
    <w:bookmarkStart w:id="177" w:name="ref-ibm2022"/>
    <w:p>
      <w:pPr>
        <w:pStyle w:val="Bibliography"/>
      </w:pPr>
      <w:r>
        <w:t xml:space="preserve">69.</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176">
        <w:r>
          <w:rPr>
            <w:rStyle w:val="Hyperlink"/>
          </w:rPr>
          <w:t xml:space="preserve">https://newsroom.ibm.com/2022-01-21-Francisco-Partners-to-Acquire-IBMs-Healthcare-Data-and-Analytics-Assets</w:t>
        </w:r>
      </w:hyperlink>
    </w:p>
    <w:bookmarkEnd w:id="177"/>
    <w:bookmarkStart w:id="179" w:name="ref-strickland2019"/>
    <w:p>
      <w:pPr>
        <w:pStyle w:val="Bibliography"/>
      </w:pPr>
      <w:r>
        <w:t xml:space="preserve">70.</w:t>
      </w:r>
      <w:r>
        <w:t xml:space="preserve"> </w:t>
      </w:r>
      <w:r>
        <w:t xml:space="preserve">	</w:t>
      </w:r>
      <w:r>
        <w:t xml:space="preserve">Strickland E.</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178">
        <w:r>
          <w:rPr>
            <w:rStyle w:val="Hyperlink"/>
          </w:rPr>
          <w:t xml:space="preserve">10.1109/MSPEC.2019.8678513</w:t>
        </w:r>
      </w:hyperlink>
    </w:p>
    <w:bookmarkEnd w:id="179"/>
    <w:bookmarkStart w:id="181" w:name="ref-lavito2021"/>
    <w:p>
      <w:pPr>
        <w:pStyle w:val="Bibliography"/>
      </w:pPr>
      <w:r>
        <w:t xml:space="preserve">71.</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rPr>
          <w:i/>
          <w:iCs/>
        </w:rPr>
        <w:t xml:space="preserve">CNBC</w:t>
      </w:r>
      <w:r>
        <w:t xml:space="preserve">. Published online 2021.</w:t>
      </w:r>
      <w:r>
        <w:t xml:space="preserve"> </w:t>
      </w:r>
      <w:hyperlink r:id="rId180">
        <w:r>
          <w:rPr>
            <w:rStyle w:val="Hyperlink"/>
          </w:rPr>
          <w:t xml:space="preserve">https://www.cnbc.com/2021/01/04/haven-the-amazon-berkshire-jpmorgan-venture-to-disrupt-healthcare-is-disbanding-after-3-years.html</w:t>
        </w:r>
      </w:hyperlink>
    </w:p>
    <w:bookmarkEnd w:id="181"/>
    <w:bookmarkStart w:id="183" w:name="ref-acchiardo2021"/>
    <w:p>
      <w:pPr>
        <w:pStyle w:val="Bibliography"/>
      </w:pPr>
      <w:r>
        <w:t xml:space="preserve">72.</w:t>
      </w:r>
      <w:r>
        <w:t xml:space="preserve"> </w:t>
      </w:r>
      <w:r>
        <w:t xml:space="preserve">	</w:t>
      </w:r>
      <w:r>
        <w:t xml:space="preserve">Acchiardo JM, Gunderman RB.</w:t>
      </w:r>
      <w:r>
        <w:t xml:space="preserve"> </w:t>
      </w:r>
      <w:r>
        <w:t xml:space="preserve">The Failure of Haven Healthcare: Lessons for Radiology Learners</w:t>
      </w:r>
      <w:r>
        <w:t xml:space="preserve">.</w:t>
      </w:r>
      <w:r>
        <w:t xml:space="preserve"> </w:t>
      </w:r>
      <w:r>
        <w:rPr>
          <w:i/>
          <w:iCs/>
        </w:rPr>
        <w:t xml:space="preserve">Academic Radiology</w:t>
      </w:r>
      <w:r>
        <w:t xml:space="preserve">. 2021;28(7):1036-1037. doi:</w:t>
      </w:r>
      <w:hyperlink r:id="rId182">
        <w:r>
          <w:rPr>
            <w:rStyle w:val="Hyperlink"/>
          </w:rPr>
          <w:t xml:space="preserve">10.1016/j.acra.2021.03.023</w:t>
        </w:r>
      </w:hyperlink>
    </w:p>
    <w:bookmarkEnd w:id="183"/>
    <w:bookmarkStart w:id="185" w:name="ref-yang2020"/>
    <w:p>
      <w:pPr>
        <w:pStyle w:val="Bibliography"/>
      </w:pPr>
      <w:r>
        <w:t xml:space="preserve">73.</w:t>
      </w:r>
      <w:r>
        <w:t xml:space="preserve"> </w:t>
      </w:r>
      <w:r>
        <w:t xml:space="preserve">	</w:t>
      </w:r>
      <w:r>
        <w:t xml:space="preserve">Yang J, Chesbrough H, Hurmelinna-Laukkanen P.</w:t>
      </w:r>
      <w:r>
        <w:t xml:space="preserve"> </w:t>
      </w:r>
      <w:r>
        <w:rPr>
          <w:i/>
          <w:iCs/>
        </w:rPr>
        <w:t xml:space="preserve">The rise, fall, and resurrection of IBM Watson Health</w:t>
      </w:r>
      <w:r>
        <w:t xml:space="preserve">. University of Oulu; 2020.</w:t>
      </w:r>
      <w:r>
        <w:t xml:space="preserve"> </w:t>
      </w:r>
      <w:hyperlink r:id="rId184">
        <w:r>
          <w:rPr>
            <w:rStyle w:val="Hyperlink"/>
          </w:rPr>
          <w:t xml:space="preserve">https://oulurepo.oulu.fi/bitstream/handle/10024/27921/nbnfi-fe2020050424858.pdf</w:t>
        </w:r>
      </w:hyperlink>
    </w:p>
    <w:bookmarkEnd w:id="185"/>
    <w:bookmarkEnd w:id="186"/>
    <w:bookmarkEnd w:id="1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46" Target="https://academic.oup.com/jpart/advance-article-abstract/doi/10.1093/jopart/muaf019/8162522" TargetMode="External" /><Relationship Type="http://schemas.openxmlformats.org/officeDocument/2006/relationships/hyperlink" Id="rId48" Target="https://api.wittkieffer.com/wp-content/uploads/2012/10/cio-insights-the-state-of-healthcare-it-leadership-wittkieffer-october-2024.pdf" TargetMode="External" /><Relationship Type="http://schemas.openxmlformats.org/officeDocument/2006/relationships/hyperlink" Id="rId94" Target="https://arxiv.org/abs/2301.07695" TargetMode="External" /><Relationship Type="http://schemas.openxmlformats.org/officeDocument/2006/relationships/hyperlink" Id="rId96" Target="https://arxiv.org/abs/2403.09226" TargetMode="External" /><Relationship Type="http://schemas.openxmlformats.org/officeDocument/2006/relationships/hyperlink" Id="rId174" Target="https://arxiv.org/abs/2511.14718" TargetMode="External" /><Relationship Type="http://schemas.openxmlformats.org/officeDocument/2006/relationships/hyperlink" Id="rId160" Target="https://books.google.com/books?id=9uqiEAAAQBAJ" TargetMode="External" /><Relationship Type="http://schemas.openxmlformats.org/officeDocument/2006/relationships/hyperlink" Id="rId168" Target="https://books.google.com/books?id=dJtmVz3nrOUC" TargetMode="External" /><Relationship Type="http://schemas.openxmlformats.org/officeDocument/2006/relationships/hyperlink" Id="rId80" Target="https://doi.org/10.1002/nop2.2097" TargetMode="External" /><Relationship Type="http://schemas.openxmlformats.org/officeDocument/2006/relationships/hyperlink" Id="rId164" Target="https://doi.org/10.1007/s10728-025-00537-y" TargetMode="External" /><Relationship Type="http://schemas.openxmlformats.org/officeDocument/2006/relationships/hyperlink" Id="rId182" Target="https://doi.org/10.1016/j.acra.2021.03.023" TargetMode="External" /><Relationship Type="http://schemas.openxmlformats.org/officeDocument/2006/relationships/hyperlink" Id="rId102" Target="https://doi.org/10.1016/j.ijinfomgt.2003.12.012" TargetMode="External" /><Relationship Type="http://schemas.openxmlformats.org/officeDocument/2006/relationships/hyperlink" Id="rId62" Target="https://doi.org/10.1016/j.ijrobp.2016.03.003" TargetMode="External" /><Relationship Type="http://schemas.openxmlformats.org/officeDocument/2006/relationships/hyperlink" Id="rId134" Target="https://doi.org/10.1016/j.patcog.2025.111601" TargetMode="External" /><Relationship Type="http://schemas.openxmlformats.org/officeDocument/2006/relationships/hyperlink" Id="rId56" Target="https://doi.org/10.1016/j.techfore.2015.12.019" TargetMode="External" /><Relationship Type="http://schemas.openxmlformats.org/officeDocument/2006/relationships/hyperlink" Id="rId124" Target="https://doi.org/10.1080/20479700.2018.1531606" TargetMode="External" /><Relationship Type="http://schemas.openxmlformats.org/officeDocument/2006/relationships/hyperlink" Id="rId166" Target="https://doi.org/10.1093/jamia/ocae209" TargetMode="External" /><Relationship Type="http://schemas.openxmlformats.org/officeDocument/2006/relationships/hyperlink" Id="rId138" Target="https://doi.org/10.1093/jamia/ocy178" TargetMode="External" /><Relationship Type="http://schemas.openxmlformats.org/officeDocument/2006/relationships/hyperlink" Id="rId52" Target="https://doi.org/10.1097/PHH.0000000000001234" TargetMode="External" /><Relationship Type="http://schemas.openxmlformats.org/officeDocument/2006/relationships/hyperlink" Id="rId74" Target="https://doi.org/10.1108/13673270610650067" TargetMode="External" /><Relationship Type="http://schemas.openxmlformats.org/officeDocument/2006/relationships/hyperlink" Id="rId86" Target="https://doi.org/10.1108/JKM-03-2024-0262" TargetMode="External" /><Relationship Type="http://schemas.openxmlformats.org/officeDocument/2006/relationships/hyperlink" Id="rId84" Target="https://doi.org/10.1108/JKM-08-2016-0338" TargetMode="External" /><Relationship Type="http://schemas.openxmlformats.org/officeDocument/2006/relationships/hyperlink" Id="rId158" Target="https://doi.org/10.1109/ICSE-SEIP62840.2025.00045" TargetMode="External" /><Relationship Type="http://schemas.openxmlformats.org/officeDocument/2006/relationships/hyperlink" Id="rId178" Target="https://doi.org/10.1109/MSPEC.2019.8678513" TargetMode="External" /><Relationship Type="http://schemas.openxmlformats.org/officeDocument/2006/relationships/hyperlink" Id="rId88" Target="https://doi.org/10.1111/j.1540-5885.2010.00798.x" TargetMode="External" /><Relationship Type="http://schemas.openxmlformats.org/officeDocument/2006/relationships/hyperlink" Id="rId68" Target="https://doi.org/10.1145/1017114.1017118" TargetMode="External" /><Relationship Type="http://schemas.openxmlformats.org/officeDocument/2006/relationships/hyperlink" Id="rId144" Target="https://doi.org/10.1145/320251.320253" TargetMode="External" /><Relationship Type="http://schemas.openxmlformats.org/officeDocument/2006/relationships/hyperlink" Id="rId58" Target="https://doi.org/10.1145/3366423.3380120" TargetMode="External" /><Relationship Type="http://schemas.openxmlformats.org/officeDocument/2006/relationships/hyperlink" Id="rId82" Target="https://doi.org/10.1155/2024/5063998" TargetMode="External" /><Relationship Type="http://schemas.openxmlformats.org/officeDocument/2006/relationships/hyperlink" Id="rId92" Target="https://doi.org/10.1177/1350508407071859" TargetMode="External" /><Relationship Type="http://schemas.openxmlformats.org/officeDocument/2006/relationships/hyperlink" Id="rId64" Target="https://doi.org/10.1186/1478-4491-11-35" TargetMode="External" /><Relationship Type="http://schemas.openxmlformats.org/officeDocument/2006/relationships/hyperlink" Id="rId150" Target="https://doi.org/10.1186/s12913-023-09242-9" TargetMode="External" /><Relationship Type="http://schemas.openxmlformats.org/officeDocument/2006/relationships/hyperlink" Id="rId126" Target="https://doi.org/10.1186/s12913-025-12966-5" TargetMode="External" /><Relationship Type="http://schemas.openxmlformats.org/officeDocument/2006/relationships/hyperlink" Id="rId122" Target="https://doi.org/10.1186/s40537-019-0170-y" TargetMode="External" /><Relationship Type="http://schemas.openxmlformats.org/officeDocument/2006/relationships/hyperlink" Id="rId114" Target="https://doi.org/10.2196/56316" TargetMode="External" /><Relationship Type="http://schemas.openxmlformats.org/officeDocument/2006/relationships/hyperlink" Id="rId172" Target="https://doi.org/10.2308/isys-51386" TargetMode="External" /><Relationship Type="http://schemas.openxmlformats.org/officeDocument/2006/relationships/hyperlink" Id="rId120" Target="https://doi.org/10.25163/business.1110345" TargetMode="External" /><Relationship Type="http://schemas.openxmlformats.org/officeDocument/2006/relationships/hyperlink" Id="rId132" Target="https://doi.org/10.3389/fdata.2024.1371680" TargetMode="External" /><Relationship Type="http://schemas.openxmlformats.org/officeDocument/2006/relationships/hyperlink" Id="rId70" Target="https://doi.org/10.3389/fpsyg.2019.02730" TargetMode="External" /><Relationship Type="http://schemas.openxmlformats.org/officeDocument/2006/relationships/hyperlink" Id="rId130" Target="https://doi.org/10.3390/bdcc9100256" TargetMode="External" /><Relationship Type="http://schemas.openxmlformats.org/officeDocument/2006/relationships/hyperlink" Id="rId66" Target="https://doi.org/10.3414/ME5119" TargetMode="External" /><Relationship Type="http://schemas.openxmlformats.org/officeDocument/2006/relationships/hyperlink" Id="rId108" Target="https://doi.org/10.63282/3050-9262.IJAIDSML-V6I4P130" TargetMode="External" /><Relationship Type="http://schemas.openxmlformats.org/officeDocument/2006/relationships/hyperlink" Id="rId118" Target="https://doi.org/10.69554/QHSO5671" TargetMode="External" /><Relationship Type="http://schemas.openxmlformats.org/officeDocument/2006/relationships/hyperlink" Id="rId72" Target="https://dspace.flinders.edu.au/jspui/bitstream/2328/3326/4/AACODS_Checklist.pdf" TargetMode="External" /><Relationship Type="http://schemas.openxmlformats.org/officeDocument/2006/relationships/hyperlink" Id="rId116" Target="https://jamanetwork.com/journals/jamanetworkopen/fullarticle/2777777" TargetMode="External" /><Relationship Type="http://schemas.openxmlformats.org/officeDocument/2006/relationships/hyperlink" Id="rId152" Target="https://journals.lww.com/jhmonline/fulltext/2025/05000/organizational_resilience_in_healthcare__a_scoping.4.aspx" TargetMode="External" /><Relationship Type="http://schemas.openxmlformats.org/officeDocument/2006/relationships/hyperlink" Id="rId100" Target="https://link.springer.com/content/pdf/10.1007/s10462-022-10246-w.pdf" TargetMode="External" /><Relationship Type="http://schemas.openxmlformats.org/officeDocument/2006/relationships/hyperlink" Id="rId176" Target="https://newsroom.ibm.com/2022-01-21-Francisco-Partners-to-Acquire-IBMs-Healthcare-Data-and-Analytics-Assets" TargetMode="External" /><Relationship Type="http://schemas.openxmlformats.org/officeDocument/2006/relationships/hyperlink" Id="rId60" Target="https://onlinelibrary.wiley.com/doi/abs/10.1057/palgrave.emr.1500057" TargetMode="External" /><Relationship Type="http://schemas.openxmlformats.org/officeDocument/2006/relationships/hyperlink" Id="rId184" Target="https://oulurepo.oulu.fi/bitstream/handle/10024/27921/nbnfi-fe2020050424858.pdf" TargetMode="External" /><Relationship Type="http://schemas.openxmlformats.org/officeDocument/2006/relationships/hyperlink" Id="rId162" Target="https://pages.himss.org/LP-HA-Case-Study-UC-Davis.html" TargetMode="External" /><Relationship Type="http://schemas.openxmlformats.org/officeDocument/2006/relationships/hyperlink" Id="rId148" Target="https://papers.ssrn.com/sol3/papers.cfm?abstract_id=5268176" TargetMode="External" /><Relationship Type="http://schemas.openxmlformats.org/officeDocument/2006/relationships/hyperlink" Id="rId136" Target="https://pmc.ncbi.nlm.nih.gov/articles/PMC10785918/" TargetMode="External" /><Relationship Type="http://schemas.openxmlformats.org/officeDocument/2006/relationships/hyperlink" Id="rId142" Target="https://resources.anthropic.com/code-modernization-playbook" TargetMode="External" /><Relationship Type="http://schemas.openxmlformats.org/officeDocument/2006/relationships/hyperlink" Id="rId128" Target="https://search.proquest.com/openview/9a3a9ef301c01ff0129d07f685b8643f/1" TargetMode="External" /><Relationship Type="http://schemas.openxmlformats.org/officeDocument/2006/relationships/hyperlink" Id="rId154" Target="https://search.proquest.com/openview/aa9acce88c488cbb8c6b3c8339062319/1" TargetMode="External" /><Relationship Type="http://schemas.openxmlformats.org/officeDocument/2006/relationships/hyperlink" Id="rId90" Target="https://wendyju.com/publications/18_ijee3593.pdf" TargetMode="External" /><Relationship Type="http://schemas.openxmlformats.org/officeDocument/2006/relationships/hyperlink" Id="rId104" Target="https://www.academia.edu/download/41283190/Design_and_evaluation_of_systems_to_supp20160117-25708-98zc50.pdf" TargetMode="External" /><Relationship Type="http://schemas.openxmlformats.org/officeDocument/2006/relationships/hyperlink" Id="rId54" Target="https://www.ahima.org/news-publications/press-room-press-releases/2023-press-releases/health-information-workforce-shortages-persist-as-ai-shows-promise-ahima-survey-reveals/" TargetMode="External" /><Relationship Type="http://schemas.openxmlformats.org/officeDocument/2006/relationships/hyperlink" Id="rId146" Target="https://www.allmultidisciplinaryjournal.com/uploads/archives/20250306182550_MGE-2025-2-018.1.pdf" TargetMode="External" /><Relationship Type="http://schemas.openxmlformats.org/officeDocument/2006/relationships/hyperlink" Id="rId180" Target="https://www.cnbc.com/2021/01/04/haven-the-amazon-berkshire-jpmorgan-venture-to-disrupt-healthcare-is-disbanding-after-3-years.html" TargetMode="External" /><Relationship Type="http://schemas.openxmlformats.org/officeDocument/2006/relationships/hyperlink" Id="rId78" Target="https://www.diva-portal.org/smash/record.jsf?pid=diva2:1684142" TargetMode="External" /><Relationship Type="http://schemas.openxmlformats.org/officeDocument/2006/relationships/hyperlink" Id="rId110" Target="https://www.healthcareitnews.com/news/asia/himss24-apac-adoption-model-analytics-maturity-gets-facelift" TargetMode="External" /><Relationship Type="http://schemas.openxmlformats.org/officeDocument/2006/relationships/hyperlink" Id="rId112"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50" Target="https://www.himss.org/resources/the-future-of-workforce/" TargetMode="External" /><Relationship Type="http://schemas.openxmlformats.org/officeDocument/2006/relationships/hyperlink" Id="rId156" Target="https://www.ijaidr.com/papers/2023/1/1299.pdf" TargetMode="External" /><Relationship Type="http://schemas.openxmlformats.org/officeDocument/2006/relationships/hyperlink" Id="rId140" Target="https://www.ijetcsit.org/index.php/ijetcsit/article/view/458" TargetMode="External" /><Relationship Type="http://schemas.openxmlformats.org/officeDocument/2006/relationships/hyperlink" Id="rId170" Target="https://www.ijetcsit.org/index.php/ijetcsit/article/view/522" TargetMode="External" /><Relationship Type="http://schemas.openxmlformats.org/officeDocument/2006/relationships/hyperlink" Id="rId76" Target="https://www.nsinursingsolutions.com/documents/library/nsi_national_health_care_retention_report.pdf" TargetMode="External" /><Relationship Type="http://schemas.openxmlformats.org/officeDocument/2006/relationships/hyperlink" Id="rId43" Target="https://www.nyulawreview.org/issues/volume-94-number-4/data-standardization/" TargetMode="External" /><Relationship Type="http://schemas.openxmlformats.org/officeDocument/2006/relationships/hyperlink" Id="rId106" Target="https://www.quantbeckman.com/api/v1/file/5b240742-bf0d-4f8c-a0f9-cb29fab42611.pdf" TargetMode="External" /><Relationship Type="http://schemas.openxmlformats.org/officeDocument/2006/relationships/hyperlink" Id="rId98"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46" Target="https://academic.oup.com/jpart/advance-article-abstract/doi/10.1093/jopart/muaf019/8162522" TargetMode="External" /><Relationship Type="http://schemas.openxmlformats.org/officeDocument/2006/relationships/hyperlink" Id="rId48" Target="https://api.wittkieffer.com/wp-content/uploads/2012/10/cio-insights-the-state-of-healthcare-it-leadership-wittkieffer-october-2024.pdf" TargetMode="External" /><Relationship Type="http://schemas.openxmlformats.org/officeDocument/2006/relationships/hyperlink" Id="rId94" Target="https://arxiv.org/abs/2301.07695" TargetMode="External" /><Relationship Type="http://schemas.openxmlformats.org/officeDocument/2006/relationships/hyperlink" Id="rId96" Target="https://arxiv.org/abs/2403.09226" TargetMode="External" /><Relationship Type="http://schemas.openxmlformats.org/officeDocument/2006/relationships/hyperlink" Id="rId174" Target="https://arxiv.org/abs/2511.14718" TargetMode="External" /><Relationship Type="http://schemas.openxmlformats.org/officeDocument/2006/relationships/hyperlink" Id="rId160" Target="https://books.google.com/books?id=9uqiEAAAQBAJ" TargetMode="External" /><Relationship Type="http://schemas.openxmlformats.org/officeDocument/2006/relationships/hyperlink" Id="rId168" Target="https://books.google.com/books?id=dJtmVz3nrOUC" TargetMode="External" /><Relationship Type="http://schemas.openxmlformats.org/officeDocument/2006/relationships/hyperlink" Id="rId80" Target="https://doi.org/10.1002/nop2.2097" TargetMode="External" /><Relationship Type="http://schemas.openxmlformats.org/officeDocument/2006/relationships/hyperlink" Id="rId164" Target="https://doi.org/10.1007/s10728-025-00537-y" TargetMode="External" /><Relationship Type="http://schemas.openxmlformats.org/officeDocument/2006/relationships/hyperlink" Id="rId182" Target="https://doi.org/10.1016/j.acra.2021.03.023" TargetMode="External" /><Relationship Type="http://schemas.openxmlformats.org/officeDocument/2006/relationships/hyperlink" Id="rId102" Target="https://doi.org/10.1016/j.ijinfomgt.2003.12.012" TargetMode="External" /><Relationship Type="http://schemas.openxmlformats.org/officeDocument/2006/relationships/hyperlink" Id="rId62" Target="https://doi.org/10.1016/j.ijrobp.2016.03.003" TargetMode="External" /><Relationship Type="http://schemas.openxmlformats.org/officeDocument/2006/relationships/hyperlink" Id="rId134" Target="https://doi.org/10.1016/j.patcog.2025.111601" TargetMode="External" /><Relationship Type="http://schemas.openxmlformats.org/officeDocument/2006/relationships/hyperlink" Id="rId56" Target="https://doi.org/10.1016/j.techfore.2015.12.019" TargetMode="External" /><Relationship Type="http://schemas.openxmlformats.org/officeDocument/2006/relationships/hyperlink" Id="rId124" Target="https://doi.org/10.1080/20479700.2018.1531606" TargetMode="External" /><Relationship Type="http://schemas.openxmlformats.org/officeDocument/2006/relationships/hyperlink" Id="rId166" Target="https://doi.org/10.1093/jamia/ocae209" TargetMode="External" /><Relationship Type="http://schemas.openxmlformats.org/officeDocument/2006/relationships/hyperlink" Id="rId138" Target="https://doi.org/10.1093/jamia/ocy178" TargetMode="External" /><Relationship Type="http://schemas.openxmlformats.org/officeDocument/2006/relationships/hyperlink" Id="rId52" Target="https://doi.org/10.1097/PHH.0000000000001234" TargetMode="External" /><Relationship Type="http://schemas.openxmlformats.org/officeDocument/2006/relationships/hyperlink" Id="rId74" Target="https://doi.org/10.1108/13673270610650067" TargetMode="External" /><Relationship Type="http://schemas.openxmlformats.org/officeDocument/2006/relationships/hyperlink" Id="rId86" Target="https://doi.org/10.1108/JKM-03-2024-0262" TargetMode="External" /><Relationship Type="http://schemas.openxmlformats.org/officeDocument/2006/relationships/hyperlink" Id="rId84" Target="https://doi.org/10.1108/JKM-08-2016-0338" TargetMode="External" /><Relationship Type="http://schemas.openxmlformats.org/officeDocument/2006/relationships/hyperlink" Id="rId158" Target="https://doi.org/10.1109/ICSE-SEIP62840.2025.00045" TargetMode="External" /><Relationship Type="http://schemas.openxmlformats.org/officeDocument/2006/relationships/hyperlink" Id="rId178" Target="https://doi.org/10.1109/MSPEC.2019.8678513" TargetMode="External" /><Relationship Type="http://schemas.openxmlformats.org/officeDocument/2006/relationships/hyperlink" Id="rId88" Target="https://doi.org/10.1111/j.1540-5885.2010.00798.x" TargetMode="External" /><Relationship Type="http://schemas.openxmlformats.org/officeDocument/2006/relationships/hyperlink" Id="rId68" Target="https://doi.org/10.1145/1017114.1017118" TargetMode="External" /><Relationship Type="http://schemas.openxmlformats.org/officeDocument/2006/relationships/hyperlink" Id="rId144" Target="https://doi.org/10.1145/320251.320253" TargetMode="External" /><Relationship Type="http://schemas.openxmlformats.org/officeDocument/2006/relationships/hyperlink" Id="rId58" Target="https://doi.org/10.1145/3366423.3380120" TargetMode="External" /><Relationship Type="http://schemas.openxmlformats.org/officeDocument/2006/relationships/hyperlink" Id="rId82" Target="https://doi.org/10.1155/2024/5063998" TargetMode="External" /><Relationship Type="http://schemas.openxmlformats.org/officeDocument/2006/relationships/hyperlink" Id="rId92" Target="https://doi.org/10.1177/1350508407071859" TargetMode="External" /><Relationship Type="http://schemas.openxmlformats.org/officeDocument/2006/relationships/hyperlink" Id="rId64" Target="https://doi.org/10.1186/1478-4491-11-35" TargetMode="External" /><Relationship Type="http://schemas.openxmlformats.org/officeDocument/2006/relationships/hyperlink" Id="rId150" Target="https://doi.org/10.1186/s12913-023-09242-9" TargetMode="External" /><Relationship Type="http://schemas.openxmlformats.org/officeDocument/2006/relationships/hyperlink" Id="rId126" Target="https://doi.org/10.1186/s12913-025-12966-5" TargetMode="External" /><Relationship Type="http://schemas.openxmlformats.org/officeDocument/2006/relationships/hyperlink" Id="rId122" Target="https://doi.org/10.1186/s40537-019-0170-y" TargetMode="External" /><Relationship Type="http://schemas.openxmlformats.org/officeDocument/2006/relationships/hyperlink" Id="rId114" Target="https://doi.org/10.2196/56316" TargetMode="External" /><Relationship Type="http://schemas.openxmlformats.org/officeDocument/2006/relationships/hyperlink" Id="rId172" Target="https://doi.org/10.2308/isys-51386" TargetMode="External" /><Relationship Type="http://schemas.openxmlformats.org/officeDocument/2006/relationships/hyperlink" Id="rId120" Target="https://doi.org/10.25163/business.1110345" TargetMode="External" /><Relationship Type="http://schemas.openxmlformats.org/officeDocument/2006/relationships/hyperlink" Id="rId132" Target="https://doi.org/10.3389/fdata.2024.1371680" TargetMode="External" /><Relationship Type="http://schemas.openxmlformats.org/officeDocument/2006/relationships/hyperlink" Id="rId70" Target="https://doi.org/10.3389/fpsyg.2019.02730" TargetMode="External" /><Relationship Type="http://schemas.openxmlformats.org/officeDocument/2006/relationships/hyperlink" Id="rId130" Target="https://doi.org/10.3390/bdcc9100256" TargetMode="External" /><Relationship Type="http://schemas.openxmlformats.org/officeDocument/2006/relationships/hyperlink" Id="rId66" Target="https://doi.org/10.3414/ME5119" TargetMode="External" /><Relationship Type="http://schemas.openxmlformats.org/officeDocument/2006/relationships/hyperlink" Id="rId108" Target="https://doi.org/10.63282/3050-9262.IJAIDSML-V6I4P130" TargetMode="External" /><Relationship Type="http://schemas.openxmlformats.org/officeDocument/2006/relationships/hyperlink" Id="rId118" Target="https://doi.org/10.69554/QHSO5671" TargetMode="External" /><Relationship Type="http://schemas.openxmlformats.org/officeDocument/2006/relationships/hyperlink" Id="rId72" Target="https://dspace.flinders.edu.au/jspui/bitstream/2328/3326/4/AACODS_Checklist.pdf" TargetMode="External" /><Relationship Type="http://schemas.openxmlformats.org/officeDocument/2006/relationships/hyperlink" Id="rId116" Target="https://jamanetwork.com/journals/jamanetworkopen/fullarticle/2777777" TargetMode="External" /><Relationship Type="http://schemas.openxmlformats.org/officeDocument/2006/relationships/hyperlink" Id="rId152" Target="https://journals.lww.com/jhmonline/fulltext/2025/05000/organizational_resilience_in_healthcare__a_scoping.4.aspx" TargetMode="External" /><Relationship Type="http://schemas.openxmlformats.org/officeDocument/2006/relationships/hyperlink" Id="rId100" Target="https://link.springer.com/content/pdf/10.1007/s10462-022-10246-w.pdf" TargetMode="External" /><Relationship Type="http://schemas.openxmlformats.org/officeDocument/2006/relationships/hyperlink" Id="rId176" Target="https://newsroom.ibm.com/2022-01-21-Francisco-Partners-to-Acquire-IBMs-Healthcare-Data-and-Analytics-Assets" TargetMode="External" /><Relationship Type="http://schemas.openxmlformats.org/officeDocument/2006/relationships/hyperlink" Id="rId60" Target="https://onlinelibrary.wiley.com/doi/abs/10.1057/palgrave.emr.1500057" TargetMode="External" /><Relationship Type="http://schemas.openxmlformats.org/officeDocument/2006/relationships/hyperlink" Id="rId184" Target="https://oulurepo.oulu.fi/bitstream/handle/10024/27921/nbnfi-fe2020050424858.pdf" TargetMode="External" /><Relationship Type="http://schemas.openxmlformats.org/officeDocument/2006/relationships/hyperlink" Id="rId162" Target="https://pages.himss.org/LP-HA-Case-Study-UC-Davis.html" TargetMode="External" /><Relationship Type="http://schemas.openxmlformats.org/officeDocument/2006/relationships/hyperlink" Id="rId148" Target="https://papers.ssrn.com/sol3/papers.cfm?abstract_id=5268176" TargetMode="External" /><Relationship Type="http://schemas.openxmlformats.org/officeDocument/2006/relationships/hyperlink" Id="rId136" Target="https://pmc.ncbi.nlm.nih.gov/articles/PMC10785918/" TargetMode="External" /><Relationship Type="http://schemas.openxmlformats.org/officeDocument/2006/relationships/hyperlink" Id="rId142" Target="https://resources.anthropic.com/code-modernization-playbook" TargetMode="External" /><Relationship Type="http://schemas.openxmlformats.org/officeDocument/2006/relationships/hyperlink" Id="rId128" Target="https://search.proquest.com/openview/9a3a9ef301c01ff0129d07f685b8643f/1" TargetMode="External" /><Relationship Type="http://schemas.openxmlformats.org/officeDocument/2006/relationships/hyperlink" Id="rId154" Target="https://search.proquest.com/openview/aa9acce88c488cbb8c6b3c8339062319/1" TargetMode="External" /><Relationship Type="http://schemas.openxmlformats.org/officeDocument/2006/relationships/hyperlink" Id="rId90" Target="https://wendyju.com/publications/18_ijee3593.pdf" TargetMode="External" /><Relationship Type="http://schemas.openxmlformats.org/officeDocument/2006/relationships/hyperlink" Id="rId104" Target="https://www.academia.edu/download/41283190/Design_and_evaluation_of_systems_to_supp20160117-25708-98zc50.pdf" TargetMode="External" /><Relationship Type="http://schemas.openxmlformats.org/officeDocument/2006/relationships/hyperlink" Id="rId54" Target="https://www.ahima.org/news-publications/press-room-press-releases/2023-press-releases/health-information-workforce-shortages-persist-as-ai-shows-promise-ahima-survey-reveals/" TargetMode="External" /><Relationship Type="http://schemas.openxmlformats.org/officeDocument/2006/relationships/hyperlink" Id="rId146" Target="https://www.allmultidisciplinaryjournal.com/uploads/archives/20250306182550_MGE-2025-2-018.1.pdf" TargetMode="External" /><Relationship Type="http://schemas.openxmlformats.org/officeDocument/2006/relationships/hyperlink" Id="rId180" Target="https://www.cnbc.com/2021/01/04/haven-the-amazon-berkshire-jpmorgan-venture-to-disrupt-healthcare-is-disbanding-after-3-years.html" TargetMode="External" /><Relationship Type="http://schemas.openxmlformats.org/officeDocument/2006/relationships/hyperlink" Id="rId78" Target="https://www.diva-portal.org/smash/record.jsf?pid=diva2:1684142" TargetMode="External" /><Relationship Type="http://schemas.openxmlformats.org/officeDocument/2006/relationships/hyperlink" Id="rId110" Target="https://www.healthcareitnews.com/news/asia/himss24-apac-adoption-model-analytics-maturity-gets-facelift" TargetMode="External" /><Relationship Type="http://schemas.openxmlformats.org/officeDocument/2006/relationships/hyperlink" Id="rId112"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50" Target="https://www.himss.org/resources/the-future-of-workforce/" TargetMode="External" /><Relationship Type="http://schemas.openxmlformats.org/officeDocument/2006/relationships/hyperlink" Id="rId156" Target="https://www.ijaidr.com/papers/2023/1/1299.pdf" TargetMode="External" /><Relationship Type="http://schemas.openxmlformats.org/officeDocument/2006/relationships/hyperlink" Id="rId140" Target="https://www.ijetcsit.org/index.php/ijetcsit/article/view/458" TargetMode="External" /><Relationship Type="http://schemas.openxmlformats.org/officeDocument/2006/relationships/hyperlink" Id="rId170" Target="https://www.ijetcsit.org/index.php/ijetcsit/article/view/522" TargetMode="External" /><Relationship Type="http://schemas.openxmlformats.org/officeDocument/2006/relationships/hyperlink" Id="rId76" Target="https://www.nsinursingsolutions.com/documents/library/nsi_national_health_care_retention_report.pdf" TargetMode="External" /><Relationship Type="http://schemas.openxmlformats.org/officeDocument/2006/relationships/hyperlink" Id="rId43" Target="https://www.nyulawreview.org/issues/volume-94-number-4/data-standardization/" TargetMode="External" /><Relationship Type="http://schemas.openxmlformats.org/officeDocument/2006/relationships/hyperlink" Id="rId106" Target="https://www.quantbeckman.com/api/v1/file/5b240742-bf0d-4f8c-a0f9-cb29fab42611.pdf" TargetMode="External" /><Relationship Type="http://schemas.openxmlformats.org/officeDocument/2006/relationships/hyperlink" Id="rId98"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2026-03-30T02:17:22Z</dcterms:created>
  <dcterms:modified xsi:type="dcterms:W3CDTF">2026-03-30T02:17:22Z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capture.Viewed through Nonaka’s SECI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enablement.A critical objection, the “Validator Paradox” (who validates the AI when experts leave?), is resolved by reframing validation through Lean “Standard Work”: each validated query establishes the current known standard rather than eternal truth, functioning as a “knowledge ratchet” 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/Users/stharrold/Documents/GitHub/yuimedi-paper-20250901/citation-style-ama.csl</vt:lpwstr>
  </property>
  <property fmtid="{D5CDD505-2E9C-101B-9397-08002B2CF9AE}" pid="11" name="date">
    <vt:lpwstr>March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March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True</vt:lpwstr>
  </property>
  <property fmtid="{D5CDD505-2E9C-101B-9397-08002B2CF9AE}" pid="39" name="toc-depth">
    <vt:lpwstr>3</vt:lpwstr>
  </property>
  <property fmtid="{D5CDD505-2E9C-101B-9397-08002B2CF9AE}" pid="40" name="urlcolor">
    <vt:lpwstr>blue</vt:lpwstr>
  </property>
</Properties>
</file>