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74 academic and 11 industry sources (85 total).</w:t>
      </w:r>
    </w:p>
    <w:p>
      <w:pPr>
        <w:pStyle w:val="BodyText"/>
      </w:pPr>
      <w:r>
        <w:t xml:space="preserve">Figure 2 illustrates the literature selection process, showing progression from initial database search through screening and quality assessment to the final corpus of 85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85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85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applied across subsequent research (e.g., [A73]).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[A14], [A74].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Second, analytics capabilities build on this digital foundation: big data analytics capabilities, combined with complementary organizational resources and analytical personnel skills, improve readmission rates and patient satisfaction [A56], while poor-quality data results in diagnostic errors, ineffective treatments, and compromised patient care [A57]. Note that EMRAM measures EMR adoption stages rather than analytics maturity directly; robust digital infrastructure is a prerequisite for analytics, but the AMAM model addresses the analytics-specific capability gap.</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p>
      <w:pPr>
        <w:pStyle w:val="BodyText"/>
      </w:pPr>
      <w:r>
        <w:t xml:space="preserve">[A73] Saha, B. K., Gordon, P., &amp; Gillbrand, T. (2023). NLINQ: A natural language interface for querying network performance.</w:t>
      </w:r>
      <w:r>
        <w:t xml:space="preserve"> </w:t>
      </w:r>
      <w:r>
        <w:rPr>
          <w:i/>
          <w:iCs/>
        </w:rPr>
        <w:t xml:space="preserve">Applied Intelligence</w:t>
      </w:r>
      <w:r>
        <w:t xml:space="preserve">, 53, 1-15. DOI: 10.1007/s10489-023-04567-2. https://link.springer.com/article/10.1007/s10489-023-04567-2</w:t>
      </w:r>
    </w:p>
    <w:p>
      <w:pPr>
        <w:pStyle w:val="BodyText"/>
      </w:pPr>
      <w:r>
        <w:t xml:space="preserve">[A74] Wang, Y., &amp; Hajli, N. (2017). Exploring the path to big data analytics success in healthcare.</w:t>
      </w:r>
      <w:r>
        <w:t xml:space="preserve"> </w:t>
      </w:r>
      <w:r>
        <w:rPr>
          <w:i/>
          <w:iCs/>
        </w:rPr>
        <w:t xml:space="preserve">Journal of Business Research</w:t>
      </w:r>
      <w:r>
        <w:t xml:space="preserve">, 70, 287-299. DOI: 10.1016/j.jbusres.2016.08.002. https://www.sciencedirect.com/science/article/abs/pii/S0148296316304891</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2025-12-22T17:48:03Z</dcterms:created>
  <dcterms:modified xsi:type="dcterms:W3CDTF">2025-12-22T17:48:03Z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