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4670"/>
        <w:gridCol w:w="812"/>
        <w:gridCol w:w="812"/>
        <w:gridCol w:w="812"/>
        <w:gridCol w:w="812"/>
      </w:tblGrid>
      <w:tr>
        <w:trPr>
          <w:tblHeader w:val="on"/>
        </w:trPr>
        <w:tc>
          <w:tcPr/>
          <w:p>
            <w:pPr>
              <w:pStyle w:val="Compact"/>
              <w:jc w:val="left"/>
            </w:pPr>
            <w:r>
              <w:t xml:space="preserve">Source (Citation)</w:t>
            </w:r>
          </w:p>
        </w:tc>
        <w:tc>
          <w:tcPr/>
          <w:p>
            <w:pPr>
              <w:pStyle w:val="Compact"/>
              <w:jc w:val="left"/>
            </w:pPr>
            <w:r>
              <w:t xml:space="preserve">Authority /</w:t>
            </w:r>
            <w:r>
              <w:t xml:space="preserve">Accuracy</w:t>
            </w:r>
          </w:p>
        </w:tc>
        <w:tc>
          <w:tcPr/>
          <w:p>
            <w:pPr>
              <w:pStyle w:val="Compact"/>
              <w:jc w:val="left"/>
            </w:pPr>
            <w:r>
              <w:t xml:space="preserve">Coverage /</w:t>
            </w:r>
            <w:r>
              <w:t xml:space="preserve">Objectivity</w:t>
            </w:r>
          </w:p>
        </w:tc>
        <w:tc>
          <w:tcPr/>
          <w:p>
            <w:pPr>
              <w:pStyle w:val="Compact"/>
              <w:jc w:val="left"/>
            </w:pPr>
            <w:r>
              <w:t xml:space="preserve">Date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Verifiable</w:t>
            </w:r>
          </w:p>
        </w:tc>
        <w:tc>
          <w:tcPr/>
          <w:p>
            <w:pPr>
              <w:pStyle w:val="Compact"/>
              <w:jc w:val="left"/>
            </w:pPr>
            <w:r>
              <w:t xml:space="preserve">Global /</w:t>
            </w:r>
            <w:r>
              <w:t xml:space="preserve">High</w:t>
            </w:r>
          </w:p>
        </w:tc>
        <w:tc>
          <w:tcPr/>
          <w:p>
            <w:pPr>
              <w:pStyle w:val="Compact"/>
              <w:jc w:val="left"/>
            </w:pPr>
            <w:r>
              <w:t xml:space="preserve">2024 /</w:t>
            </w:r>
            <w:r>
              <w:t xml:space="preserve">High</w:t>
            </w:r>
          </w:p>
        </w:tc>
        <w:tc>
          <w:tcPr/>
          <w:p>
            <w:pPr>
              <w:pStyle w:val="Compact"/>
              <w:jc w:val="left"/>
            </w:pPr>
            <w:r>
              <w:t xml:space="preserve">Yes</w:t>
            </w:r>
          </w:p>
        </w:tc>
      </w:tr>
      <w:tr>
        <w:tc>
          <w:tcPr/>
          <w:p>
            <w:pPr>
              <w:pStyle w:val="Compact"/>
              <w:jc w:val="left"/>
            </w:pPr>
            <w:r>
              <w:t xml:space="preserve">Snowdon/HIMSS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Verifiable</w:t>
            </w:r>
          </w:p>
        </w:tc>
        <w:tc>
          <w:tcPr/>
          <w:p>
            <w:pPr>
              <w:pStyle w:val="Compact"/>
              <w:jc w:val="left"/>
            </w:pPr>
            <w:r>
              <w:t xml:space="preserve">N/A /</w:t>
            </w:r>
            <w:r>
              <w:t xml:space="preserve">High</w:t>
            </w:r>
          </w:p>
        </w:tc>
        <w:tc>
          <w:tcPr/>
          <w:p>
            <w:pPr>
              <w:pStyle w:val="Compact"/>
              <w:jc w:val="left"/>
            </w:pPr>
            <w:r>
              <w:t xml:space="preserve">2024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Unverifiable</w:t>
            </w:r>
          </w:p>
        </w:tc>
        <w:tc>
          <w:tcPr/>
          <w:p>
            <w:pPr>
              <w:pStyle w:val="Compact"/>
              <w:jc w:val="left"/>
            </w:pPr>
            <w:r>
              <w:t xml:space="preserve">US /</w:t>
            </w:r>
            <w:r>
              <w:t xml:space="preserve">Low</w:t>
            </w:r>
          </w:p>
        </w:tc>
        <w:tc>
          <w:tcPr/>
          <w:p>
            <w:pPr>
              <w:pStyle w:val="Compact"/>
              <w:jc w:val="left"/>
            </w:pPr>
            <w:r>
              <w:t xml:space="preserve">2020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Verifiable</w:t>
            </w:r>
          </w:p>
        </w:tc>
        <w:tc>
          <w:tcPr/>
          <w:p>
            <w:pPr>
              <w:pStyle w:val="Compact"/>
              <w:jc w:val="left"/>
            </w:pPr>
            <w:r>
              <w:t xml:space="preserve">Single site /</w:t>
            </w:r>
            <w:r>
              <w:t xml:space="preserve">High</w:t>
            </w:r>
          </w:p>
        </w:tc>
        <w:tc>
          <w:tcPr/>
          <w:p>
            <w:pPr>
              <w:pStyle w:val="Compact"/>
              <w:jc w:val="left"/>
            </w:pPr>
            <w:r>
              <w:t xml:space="preserve">2024 /</w:t>
            </w:r>
            <w:r>
              <w:t xml:space="preserve">High</w:t>
            </w:r>
          </w:p>
        </w:tc>
        <w:tc>
          <w:tcPr/>
          <w:p>
            <w:pPr>
              <w:pStyle w:val="Compact"/>
              <w:jc w:val="left"/>
            </w:pPr>
            <w:r>
              <w:t xml:space="preserve">Yes</w:t>
            </w:r>
          </w:p>
        </w:tc>
      </w:tr>
      <w:tr>
        <w:tc>
          <w:tcPr/>
          <w:p>
            <w:pPr>
              <w:pStyle w:val="Compact"/>
              <w:jc w:val="left"/>
            </w:pPr>
            <w:r>
              <w:t xml:space="preserve">Forrester/Microsoft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Unverifiable</w:t>
            </w:r>
          </w:p>
        </w:tc>
        <w:tc>
          <w:tcPr/>
          <w:p>
            <w:pPr>
              <w:pStyle w:val="Compact"/>
              <w:jc w:val="left"/>
            </w:pPr>
            <w:r>
              <w:t xml:space="preserve">Enterprise /</w:t>
            </w:r>
            <w:r>
              <w:t xml:space="preserve">Low♢</w:t>
            </w:r>
          </w:p>
        </w:tc>
        <w:tc>
          <w:tcPr/>
          <w:p>
            <w:pPr>
              <w:pStyle w:val="Compact"/>
              <w:jc w:val="left"/>
            </w:pPr>
            <w:r>
              <w:t xml:space="preserve">2024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Unverifiable</w:t>
            </w:r>
          </w:p>
        </w:tc>
        <w:tc>
          <w:tcPr/>
          <w:p>
            <w:pPr>
              <w:pStyle w:val="Compact"/>
              <w:jc w:val="left"/>
            </w:pPr>
            <w:r>
              <w:t xml:space="preserve">N/A /</w:t>
            </w:r>
            <w:r>
              <w:t xml:space="preserve">Low</w:t>
            </w:r>
          </w:p>
        </w:tc>
        <w:tc>
          <w:tcPr/>
          <w:p>
            <w:pPr>
              <w:pStyle w:val="Compact"/>
              <w:jc w:val="left"/>
            </w:pPr>
            <w:r>
              <w:t xml:space="preserve">2024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Unverifiable</w:t>
            </w:r>
          </w:p>
        </w:tc>
        <w:tc>
          <w:tcPr/>
          <w:p>
            <w:pPr>
              <w:pStyle w:val="Compact"/>
              <w:jc w:val="left"/>
            </w:pPr>
            <w:r>
              <w:t xml:space="preserve">Global /</w:t>
            </w:r>
            <w:r>
              <w:t xml:space="preserve">Medium</w:t>
            </w:r>
          </w:p>
        </w:tc>
        <w:tc>
          <w:tcPr/>
          <w:p>
            <w:pPr>
              <w:pStyle w:val="Compact"/>
              <w:jc w:val="left"/>
            </w:pPr>
            <w:r>
              <w:t xml:space="preserve">2024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Verifiable</w:t>
            </w:r>
          </w:p>
        </w:tc>
        <w:tc>
          <w:tcPr/>
          <w:p>
            <w:pPr>
              <w:pStyle w:val="Compact"/>
              <w:jc w:val="left"/>
            </w:pPr>
            <w:r>
              <w:t xml:space="preserve">N/A /</w:t>
            </w:r>
            <w:r>
              <w:t xml:space="preserve">Medium</w:t>
            </w:r>
          </w:p>
        </w:tc>
        <w:tc>
          <w:tcPr/>
          <w:p>
            <w:pPr>
              <w:pStyle w:val="Compact"/>
              <w:jc w:val="left"/>
            </w:pPr>
            <w:r>
              <w:t xml:space="preserve">2025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Verifiable</w:t>
            </w:r>
          </w:p>
        </w:tc>
        <w:tc>
          <w:tcPr/>
          <w:p>
            <w:pPr>
              <w:pStyle w:val="Compact"/>
              <w:jc w:val="left"/>
            </w:pPr>
            <w:r>
              <w:t xml:space="preserve">N/A /</w:t>
            </w:r>
            <w:r>
              <w:t xml:space="preserve">High</w:t>
            </w:r>
          </w:p>
        </w:tc>
        <w:tc>
          <w:tcPr/>
          <w:p>
            <w:pPr>
              <w:pStyle w:val="Compact"/>
              <w:jc w:val="left"/>
            </w:pPr>
            <w:r>
              <w:t xml:space="preserve">2022 /</w:t>
            </w:r>
            <w:r>
              <w:t xml:space="preserve">High</w:t>
            </w:r>
          </w:p>
        </w:tc>
        <w:tc>
          <w:tcPr/>
          <w:p>
            <w:pPr>
              <w:pStyle w:val="Compact"/>
              <w:jc w:val="left"/>
            </w:pPr>
            <w:r>
              <w:t xml:space="preserve">Yes</w:t>
            </w:r>
          </w:p>
        </w:tc>
      </w:tr>
      <w:tr>
        <w:tc>
          <w:tcPr/>
          <w:p>
            <w:pPr>
              <w:pStyle w:val="Compact"/>
              <w:jc w:val="left"/>
            </w:pPr>
            <w:r>
              <w:t xml:space="preserve">CNBC/Haven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Verifiable</w:t>
            </w:r>
          </w:p>
        </w:tc>
        <w:tc>
          <w:tcPr/>
          <w:p>
            <w:pPr>
              <w:pStyle w:val="Compact"/>
              <w:jc w:val="left"/>
            </w:pPr>
            <w:r>
              <w:t xml:space="preserve">N/A /</w:t>
            </w:r>
            <w:r>
              <w:t xml:space="preserve">High</w:t>
            </w:r>
          </w:p>
        </w:tc>
        <w:tc>
          <w:tcPr/>
          <w:p>
            <w:pPr>
              <w:pStyle w:val="Compact"/>
              <w:jc w:val="left"/>
            </w:pPr>
            <w:r>
              <w:t xml:space="preserve">2021 /</w:t>
            </w:r>
            <w:r>
              <w:t xml:space="preserve">High</w:t>
            </w:r>
          </w:p>
        </w:tc>
        <w:tc>
          <w:tcPr/>
          <w:p>
            <w:pPr>
              <w:pStyle w:val="Compact"/>
              <w:jc w:val="left"/>
            </w:pPr>
            <w:r>
              <w:t xml:space="preserve">Yes</w:t>
            </w:r>
          </w:p>
        </w:tc>
      </w:tr>
      <w:tr>
        <w:tc>
          <w:tcPr/>
          <w:p>
            <w:pPr>
              <w:pStyle w:val="Compact"/>
              <w:jc w:val="left"/>
            </w:pPr>
            <w:r>
              <w:t xml:space="preserve">AHIMA/NORC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Verifiable</w:t>
            </w:r>
          </w:p>
        </w:tc>
        <w:tc>
          <w:tcPr/>
          <w:p>
            <w:pPr>
              <w:pStyle w:val="Compact"/>
              <w:jc w:val="left"/>
            </w:pPr>
            <w:r>
              <w:t xml:space="preserve">US /</w:t>
            </w:r>
            <w:r>
              <w:t xml:space="preserve">High</w:t>
            </w:r>
          </w:p>
        </w:tc>
        <w:tc>
          <w:tcPr/>
          <w:p>
            <w:pPr>
              <w:pStyle w:val="Compact"/>
              <w:jc w:val="left"/>
            </w:pPr>
            <w:r>
              <w:t xml:space="preserve">2023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w:t>
            </w:r>
            <w:r>
              <w:t xml:space="preserve">Alignment</w:t>
            </w:r>
          </w:p>
        </w:tc>
        <w:tc>
          <w:tcPr/>
          <w:p>
            <w:pPr>
              <w:pStyle w:val="Compact"/>
              <w:jc w:val="left"/>
            </w:pPr>
            <w:r>
              <w:t xml:space="preserve">DIKW Hierarchy</w:t>
            </w:r>
          </w:p>
        </w:tc>
        <w:tc>
          <w:tcPr/>
          <w:p>
            <w:pPr>
              <w:pStyle w:val="Compact"/>
              <w:jc w:val="left"/>
            </w:pPr>
            <w:r>
              <w:t xml:space="preserve">Knowledge</w:t>
            </w:r>
            <w:r>
              <w:t xml:space="preserve">Management</w:t>
            </w:r>
          </w:p>
        </w:tc>
      </w:tr>
      <w:tr>
        <w:tc>
          <w:tcPr/>
          <w:p>
            <w:pPr>
              <w:pStyle w:val="Compact"/>
              <w:jc w:val="left"/>
            </w:pPr>
            <w:r>
              <w:t xml:space="preserve">Analytics Maturity</w:t>
            </w:r>
          </w:p>
        </w:tc>
        <w:tc>
          <w:tcPr/>
          <w:p>
            <w:pPr>
              <w:pStyle w:val="Compact"/>
              <w:jc w:val="left"/>
            </w:pPr>
            <w:r>
              <w:t xml:space="preserve">Stages 0-7</w:t>
            </w:r>
            <w:r>
              <w:t xml:space="preserve">Progression</w:t>
            </w:r>
          </w:p>
        </w:tc>
        <w:tc>
          <w:tcPr/>
          <w:p>
            <w:pPr>
              <w:pStyle w:val="Compact"/>
              <w:jc w:val="left"/>
            </w:pPr>
            <w:r>
              <w:t xml:space="preserve">Data</w:t>
            </w:r>
            <m:oMath>
              <m:r>
                <m:rPr>
                  <m:sty m:val="p"/>
                </m:rPr>
                <m:t>→</m:t>
              </m:r>
            </m:oMath>
            <w:r>
              <w:t xml:space="preserve"> </w:t>
            </w:r>
            <w:r>
              <w:t xml:space="preserve">Information</w:t>
            </w:r>
          </w:p>
        </w:tc>
        <w:tc>
          <w:tcPr/>
          <w:p>
            <w:pPr>
              <w:pStyle w:val="Compact"/>
              <w:jc w:val="left"/>
            </w:pPr>
            <w:r>
              <w:t xml:space="preserve">Organizational</w:t>
            </w:r>
            <w:r>
              <w:t xml:space="preserve">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w:t>
            </w:r>
            <w:r>
              <w:t xml:space="preserve">Requirements</w:t>
            </w:r>
          </w:p>
        </w:tc>
        <w:tc>
          <w:tcPr/>
          <w:p>
            <w:pPr>
              <w:pStyle w:val="Compact"/>
              <w:jc w:val="left"/>
            </w:pPr>
            <w:r>
              <w:t xml:space="preserve">Information</w:t>
            </w:r>
            <m:oMath>
              <m:r>
                <m:rPr>
                  <m:sty m:val="p"/>
                </m:rPr>
                <m:t>→</m:t>
              </m:r>
            </m:oMath>
            <w:r>
              <w:t xml:space="preserve"> </w:t>
            </w:r>
            <w:r>
              <w:t xml:space="preserve">Knowledge</w:t>
            </w:r>
          </w:p>
        </w:tc>
        <w:tc>
          <w:tcPr/>
          <w:p>
            <w:pPr>
              <w:pStyle w:val="Compact"/>
              <w:jc w:val="left"/>
            </w:pPr>
            <w:r>
              <w:t xml:space="preserve">Knowledge</w:t>
            </w:r>
            <w:r>
              <w:t xml:space="preserve">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and Healthcare NL2SQL Query Examples (see</w:t>
      </w:r>
      <w:r>
        <w:t xml:space="preserve"> </w:t>
      </w:r>
      <w:r>
        <w:rPr>
          <w:rStyle w:val="VerbatimChar"/>
        </w:rPr>
        <w:t xml:space="preserve">multimedia_appendix.pdf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2026-01-15T18:18:36Z</dcterms:created>
  <dcterms:modified xsi:type="dcterms:W3CDTF">2026-01-15T18:18:36Z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