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(Socialization,</w:t>
      </w:r>
      <w:r>
        <w:t xml:space="preserve"> </w:t>
      </w:r>
      <w:r>
        <w:t xml:space="preserve">Externalization,</w:t>
      </w:r>
      <w:r>
        <w:t xml:space="preserve"> </w:t>
      </w:r>
      <w:r>
        <w:t xml:space="preserve">Combination,</w:t>
      </w:r>
      <w:r>
        <w:t xml:space="preserve"> </w:t>
      </w:r>
      <w:r>
        <w:t xml:space="preserve">Internalization)</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https://www.tdx.cat/bitstream/handle/10803/695722/TGJBR1de1.pdf?sequence=1</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2026-07-10T13:28:42Z</dcterms:created>
  <dcterms:modified xsi:type="dcterms:W3CDTF">2026-07-10T13:28:42Z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