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multimedia-appendix-2"/>
    <w:p>
      <w:pPr>
        <w:pStyle w:val="Heading1"/>
      </w:pPr>
      <w:r>
        <w:t xml:space="preserve">Multimedia Appendix 2</w:t>
      </w:r>
    </w:p>
    <w:bookmarkStart w:id="12" w:name="healthcare-nl2sql-query-examples"/>
    <w:p>
      <w:pPr>
        <w:pStyle w:val="Heading2"/>
      </w:pPr>
      <w:r>
        <w:t xml:space="preserve">Healthcare NL2SQL Query Examples</w:t>
      </w:r>
    </w:p>
    <w:bookmarkStart w:id="9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t xml:space="preserve">Rationale: Aligned with NCQA HEDIS measures for Comprehensive Diabetes Care (CDC), monitoring HbA1c testing compliance in older adult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9"/>
    <w:bookmarkStart w:id="10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t xml:space="preserve">Rationale: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0"/>
    <w:bookmarkStart w:id="11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t xml:space="preserve">Rationale: Aligned with CMS Hospital Readmissions Reduction Program (HRRP) requirements, demonstrating aggregation capabilities for organizational quality reporting by specifically tracking 30-day readmission rates for heart failure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2026-01-22T13:37:08Z</dcterms:created>
  <dcterms:modified xsi:type="dcterms:W3CDTF">2026-01-22T13:37:08Z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