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3-Pillar Framework Connecting Analytics Maturity, Workforce Agility, and Technical Enablement</w:t>
      </w:r>
    </w:p>
    <w:p>
      <w:pPr>
        <w:pStyle w:val="Author"/>
      </w:pPr>
      <w:r>
        <w:t xml:space="preserve">Samuel Thomas Harrold, Yuimedi, Inc.</w:t>
      </w:r>
    </w:p>
    <w:p>
      <w:pPr>
        <w:pStyle w:val="Date"/>
      </w:pPr>
      <w:r>
        <w:t xml:space="preserve">August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the socialization, externalization, combination, and internalization model of knowledge creation by Nonaka,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used a design science research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3-pillar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worldwide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 documented, the workforce dimension has shifted from a management concern to an existential threat. Modern longitudinal data on analytics staff is fragmented, but the available signals are alarming. As of 2024, a total of 53% of health care chief information officers have held their roles for less than 3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2-decade-old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4f01cdaed2058c0b1d711c4537db71b5514fe9e"/>
    <w:p>
      <w:pPr>
        <w:pStyle w:val="Heading1"/>
      </w:pPr>
      <w:r>
        <w:t xml:space="preserve">Theoretical Grounding: Socialization, Externalization, Combination, and Internalization and the Unstable Workforce</w:t>
      </w:r>
    </w:p>
    <w:p>
      <w:pPr>
        <w:pStyle w:val="FirstParagraph"/>
      </w:pPr>
      <w:r>
        <w:t xml:space="preserve">We ground our analysis in the socialization, externalization, combination, and internalization model of knowledge creation by Nonaka</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gray literature assessed using the authority, accuracy, coverage, objectivity, date, and significance checklist</w:t>
      </w:r>
      <w:r>
        <w:t xml:space="preserve"> </w:t>
      </w:r>
      <w:r>
        <w:t xml:space="preserve">[</w:t>
      </w:r>
      <w:hyperlink w:anchor="ref-tyndall2010">
        <w:r>
          <w:rPr>
            <w:rStyle w:val="Hyperlink"/>
          </w:rPr>
          <w:t xml:space="preserve">21</w:t>
        </w:r>
      </w:hyperlink>
      <w:r>
        <w:t xml:space="preserve">]</w:t>
      </w:r>
      <w:r>
        <w:t xml:space="preserve">. Gray literature was retained only when no peer-reviewed equivalent existed or when it provided unique industry data. The model describes organizational knowledge as emerging through a continuous cycle of 4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4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3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w:t>
            </w:r>
            <w:r>
              <w:rPr>
                <w:vertAlign w:val="superscript"/>
              </w:rPr>
              <w:t xml:space="preserve">a</w:t>
            </w:r>
            <w:r>
              <w:t xml:space="preserve"> </w:t>
            </w:r>
            <w:r>
              <w:t xml:space="preserve">AMAM</w:t>
            </w:r>
            <w:r>
              <w:rPr>
                <w:vertAlign w:val="superscript"/>
              </w:rPr>
              <w:t xml:space="preserve">b</w:t>
            </w:r>
            <w:r>
              <w:t xml:space="preserve"> </w:t>
            </w:r>
            <w:r>
              <w:t xml:space="preserve">alignment</w:t>
            </w:r>
          </w:p>
        </w:tc>
        <w:tc>
          <w:tcPr/>
          <w:p>
            <w:pPr>
              <w:pStyle w:val="Compact"/>
              <w:jc w:val="left"/>
            </w:pPr>
            <w:r>
              <w:t xml:space="preserve">DIKW</w:t>
            </w:r>
            <w:r>
              <w:rPr>
                <w:vertAlign w:val="superscript"/>
              </w:rPr>
              <w:t xml:space="preserve">c</w:t>
            </w:r>
            <w:r>
              <w:t xml:space="preserve"> </w:t>
            </w:r>
            <w:r>
              <w:t xml:space="preserve">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Progression from stages 0-7</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rPr>
          <w:vertAlign w:val="superscript"/>
        </w:rPr>
        <w:t xml:space="preserve">a</w:t>
      </w:r>
      <w:r>
        <w:t xml:space="preserve">HIMSS: Healthcare Information and Management Systems Society.</w:t>
      </w:r>
      <w:r>
        <w:t xml:space="preserve"> </w:t>
      </w:r>
      <w:r>
        <w:rPr>
          <w:vertAlign w:val="superscript"/>
        </w:rPr>
        <w:t xml:space="preserve">b</w:t>
      </w:r>
      <w:r>
        <w:t xml:space="preserve">AMAM: Analytics Maturity Assessment Model.</w:t>
      </w:r>
      <w:r>
        <w:t xml:space="preserve"> </w:t>
      </w:r>
      <w:r>
        <w:rPr>
          <w:vertAlign w:val="superscript"/>
        </w:rPr>
        <w:t xml:space="preserve">c</w:t>
      </w:r>
      <w:r>
        <w:t xml:space="preserve">DIKW: data, information, knowledge, and wisdom.</w:t>
      </w:r>
    </w:p>
    <w:p>
      <w:pPr>
        <w:pStyle w:val="BodyText"/>
      </w:pPr>
      <w:r>
        <w:t xml:space="preserve">The HIMSS AMAM provides organizational benchmarks but does not address workforce knowledge retention. The data, information, knowledge, and wisdom hierarchy explains progression from raw data to actionable insights but does not account for institutional memory loss. The 3-pillar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the model by Nonaka, socialization 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2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10395f3bd0425a5b8c449d0fddb634dd12beba6"/>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2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3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itl-kg"/>
    <w:p>
      <w:pPr>
        <w:pStyle w:val="Heading1"/>
      </w:pPr>
      <w:r>
        <w:t xml:space="preserve">HITL-KG</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000500" cy="4559984"/>
            <wp:effectExtent b="0" l="0" r="0" t="0"/>
            <wp:docPr descr="Figure 1. Human-in-the-loop knowledge governance architecture. NLP: natural language processing."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000500" cy="4559984"/>
                    </a:xfrm>
                    <a:prstGeom prst="rect">
                      <a:avLst/>
                    </a:prstGeom>
                    <a:noFill/>
                    <a:ln w="9525">
                      <a:noFill/>
                      <a:headEnd/>
                      <a:tailEnd/>
                    </a:ln>
                  </pic:spPr>
                </pic:pic>
              </a:graphicData>
            </a:graphic>
          </wp:inline>
        </w:drawing>
      </w:r>
    </w:p>
    <w:p>
      <w:pPr>
        <w:pStyle w:val="ImageCaption"/>
      </w:pPr>
      <w:r>
        <w:t xml:space="preserve">Figure 1. Human-in-the-loop knowledge governance architecture. NLP: natural language processing.</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6-step validated query cycle, tracing queries from clinical intent through expert validation into durable organizational memory.</w:t>
      </w:r>
    </w:p>
    <w:p>
      <w:pPr>
        <w:pStyle w:val="CaptionedFigure"/>
      </w:pPr>
      <w:r>
        <w:drawing>
          <wp:inline>
            <wp:extent cx="3381271" cy="6099048"/>
            <wp:effectExtent b="0" l="0" r="0" t="0"/>
            <wp:docPr descr="Figure 2. The 6-step validated query cycle and its mapping to the 3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6-step validated query cycle and its mapping to the 3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 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3-pillars"/>
    <w:p>
      <w:pPr>
        <w:pStyle w:val="Heading1"/>
      </w:pPr>
      <w:r>
        <w:t xml:space="preserve">The Evidence Base: 3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3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that only 26 organizations worldwide achieved AMAM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the EMR adoption model, which measures the EMR adoption underlying analytics capability, levels 6 and 7 correlate with 3.25 times higher odds of better Leapfrog Hospital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 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 to 3 lack the automated monitoring and data governance infrastructure needed to detect their own deficiencies, so poor data quality goes unrecognized. The clinical consequences are measurable: one Medicare accountable care organization that implemented analytics to overcome electronic health record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However,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3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Socialization, Externalization, Combination, and Internalization and the Unstable Workforce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3-pillar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2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4 instruments have been developed specifically for health care, and only 2 have been validated</w:t>
      </w:r>
      <w:r>
        <w:t xml:space="preserve"> </w:t>
      </w:r>
      <w:r>
        <w:t xml:space="preserve">[</w:t>
      </w:r>
      <w:hyperlink w:anchor="ref-ratliff2025">
        <w:r>
          <w:rPr>
            <w:rStyle w:val="Hyperlink"/>
          </w:rPr>
          <w:t xml:space="preserve">66</w:t>
        </w:r>
      </w:hyperlink>
      <w:r>
        <w:t xml:space="preserve">]</w:t>
      </w:r>
      <w:r>
        <w:t xml:space="preserve">. The 3-pillar assessment rubric addresses this gap by organizing evidence-based indicators around the domains where institutional amnesia operates, measuring not just where an organization stands but how vulnerable it is.</w:t>
      </w:r>
    </w:p>
    <w:bookmarkEnd w:id="27"/>
    <w:bookmarkStart w:id="28" w:name="the-3-pillar-rubric"/>
    <w:p>
      <w:pPr>
        <w:pStyle w:val="Heading2"/>
      </w:pPr>
      <w:r>
        <w:t xml:space="preserve">The 3-Pillar Rubric</w:t>
      </w:r>
    </w:p>
    <w:p>
      <w:pPr>
        <w:pStyle w:val="FirstParagraph"/>
      </w:pPr>
      <w:r>
        <w:t xml:space="preserve">Each indicator is scored as being of low, medium, or high strength using evidence-based anchors from the literature reviewed in the The Evidence Base: 3 Pillars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9 indicators; the full rubric with scoring anchors and evidence appears in Multimedia Appendix 2.</w:t>
      </w:r>
    </w:p>
    <w:p>
      <w:pPr>
        <w:pStyle w:val="TableCaption"/>
      </w:pPr>
      <w:r>
        <w:t xml:space="preserve">Table 2. Three-pillar assessment rubric indicators (the full rubric with anchors can be found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the full rubric with anchors can be found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w:t>
            </w:r>
            <w:r>
              <w:rPr>
                <w:vertAlign w:val="superscript"/>
              </w:rPr>
              <w:t xml:space="preserve">a</w:t>
            </w:r>
            <w:r>
              <w:t xml:space="preserve"> </w:t>
            </w:r>
            <w:r>
              <w:t xml:space="preserve">AMAM</w:t>
            </w:r>
            <w:r>
              <w:rPr>
                <w:vertAlign w:val="superscript"/>
              </w:rPr>
              <w:t xml:space="preserve">b</w:t>
            </w:r>
            <w:r>
              <w:t xml:space="preserve"> </w:t>
            </w:r>
            <w:r>
              <w:t xml:space="preserve">stage, self-service analytics, and AI and NL</w:t>
            </w:r>
            <w:r>
              <w:rPr>
                <w:vertAlign w:val="superscript"/>
              </w:rPr>
              <w:t xml:space="preserve">c</w:t>
            </w:r>
            <w:r>
              <w:t xml:space="preserve"> </w:t>
            </w:r>
            <w:r>
              <w:t xml:space="preserve">interface</w:t>
            </w:r>
          </w:p>
        </w:tc>
      </w:tr>
      <w:tr>
        <w:tc>
          <w:tcPr/>
          <w:p>
            <w:pPr>
              <w:pStyle w:val="Compact"/>
              <w:jc w:val="left"/>
            </w:pPr>
            <w:r>
              <w:t xml:space="preserve">Workforce agility</w:t>
            </w:r>
          </w:p>
        </w:tc>
        <w:tc>
          <w:tcPr/>
          <w:p>
            <w:pPr>
              <w:pStyle w:val="Compact"/>
              <w:jc w:val="left"/>
            </w:pPr>
            <w:r>
              <w:t xml:space="preserve">First-year analytics staff turnover, leadership tenure, and knowledge concentration</w:t>
            </w:r>
          </w:p>
        </w:tc>
      </w:tr>
      <w:tr>
        <w:tc>
          <w:tcPr/>
          <w:p>
            <w:pPr>
              <w:pStyle w:val="Compact"/>
              <w:jc w:val="left"/>
            </w:pPr>
            <w:r>
              <w:t xml:space="preserve">Technical enablement</w:t>
            </w:r>
          </w:p>
        </w:tc>
        <w:tc>
          <w:tcPr/>
          <w:p>
            <w:pPr>
              <w:pStyle w:val="Compact"/>
              <w:jc w:val="left"/>
            </w:pPr>
            <w:r>
              <w:t xml:space="preserve">Data access, interoperability, and schema coupling</w:t>
            </w:r>
          </w:p>
        </w:tc>
      </w:tr>
    </w:tbl>
    <w:p>
      <w:pPr>
        <w:pStyle w:val="BodyText"/>
      </w:pPr>
      <w:r>
        <w:rPr>
          <w:vertAlign w:val="superscript"/>
        </w:rPr>
        <w:t xml:space="preserve">a</w:t>
      </w:r>
      <w:r>
        <w:t xml:space="preserve">HIMSS: Healthcare Information and Management Systems Society.</w:t>
      </w:r>
      <w:r>
        <w:t xml:space="preserve"> </w:t>
      </w:r>
      <w:r>
        <w:rPr>
          <w:vertAlign w:val="superscript"/>
        </w:rPr>
        <w:t xml:space="preserve">b</w:t>
      </w:r>
      <w:r>
        <w:t xml:space="preserve">AMAM: Analytics Maturity Assessment Model.</w:t>
      </w:r>
      <w:r>
        <w:t xml:space="preserve"> </w:t>
      </w:r>
      <w:r>
        <w:rPr>
          <w:vertAlign w:val="superscript"/>
        </w:rPr>
        <w:t xml:space="preserve">c</w:t>
      </w:r>
      <w:r>
        <w:t xml:space="preserve">NL: natural language.</w:t>
      </w:r>
    </w:p>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continuous integration and continuous delivery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3-pillar assessment rubric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6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3-pillar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3-pillar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STH is the sole author and takes full responsibility for the manuscript’s content.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funding"/>
    <w:p>
      <w:pPr>
        <w:pStyle w:val="Heading1"/>
      </w:pPr>
      <w:r>
        <w:t xml:space="preserve">Funding</w:t>
      </w:r>
    </w:p>
    <w:p>
      <w:pPr>
        <w:pStyle w:val="FirstParagraph"/>
      </w:pPr>
      <w:r>
        <w:t xml:space="preserve">Yuimedi, Inc., provided financial support for the author’s time researching and writing this manuscript. The views expressed are the author’s own and do not represent the official positions of Indiana University Health or Yuimedi, Inc.</w:t>
      </w:r>
    </w:p>
    <w:bookmarkEnd w:id="36"/>
    <w:bookmarkStart w:id="37"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w:t>
      </w:r>
      <w:r>
        <w:t xml:space="preserve"> </w:t>
      </w:r>
      <w:r>
        <w:t xml:space="preserve">[</w:t>
      </w:r>
      <w:hyperlink w:anchor="ref-harrold2026zenodo">
        <w:r>
          <w:rPr>
            <w:rStyle w:val="Hyperlink"/>
          </w:rPr>
          <w:t xml:space="preserve">85</w:t>
        </w:r>
      </w:hyperlink>
      <w:r>
        <w:t xml:space="preserve">]</w:t>
      </w:r>
      <w:r>
        <w:t xml:space="preserve">.</w:t>
      </w:r>
    </w:p>
    <w:bookmarkEnd w:id="37"/>
    <w:bookmarkStart w:id="38" w:name="authors-contributions"/>
    <w:p>
      <w:pPr>
        <w:pStyle w:val="Heading1"/>
      </w:pPr>
      <w:r>
        <w:t xml:space="preserve">Authors’ Contributions</w:t>
      </w:r>
    </w:p>
    <w:p>
      <w:pPr>
        <w:pStyle w:val="FirstParagraph"/>
      </w:pPr>
      <w:r>
        <w:t xml:space="preserve">Conceptualization: STH</w:t>
      </w:r>
    </w:p>
    <w:p>
      <w:pPr>
        <w:pStyle w:val="BodyText"/>
      </w:pPr>
      <w:r>
        <w:t xml:space="preserve">Investigation: STH</w:t>
      </w:r>
    </w:p>
    <w:p>
      <w:pPr>
        <w:pStyle w:val="BodyText"/>
      </w:pPr>
      <w:r>
        <w:t xml:space="preserve">Methodology: STH</w:t>
      </w:r>
    </w:p>
    <w:p>
      <w:pPr>
        <w:pStyle w:val="BodyText"/>
      </w:pPr>
      <w:r>
        <w:t xml:space="preserve">Visualization: STH</w:t>
      </w:r>
    </w:p>
    <w:p>
      <w:pPr>
        <w:pStyle w:val="BodyText"/>
      </w:pPr>
      <w:r>
        <w:t xml:space="preserve">Writing (original draft): STH</w:t>
      </w:r>
    </w:p>
    <w:p>
      <w:pPr>
        <w:pStyle w:val="BodyText"/>
      </w:pPr>
      <w:r>
        <w:t xml:space="preserve">Writing (review and editing): STH</w:t>
      </w:r>
    </w:p>
    <w:bookmarkEnd w:id="38"/>
    <w:bookmarkStart w:id="39" w:name="conflicts-of-interest"/>
    <w:p>
      <w:pPr>
        <w:pStyle w:val="Heading1"/>
      </w:pPr>
      <w:r>
        <w:t xml:space="preserve">Conflicts of Interest</w:t>
      </w:r>
    </w:p>
    <w:p>
      <w:pPr>
        <w:pStyle w:val="FirstParagraph"/>
      </w:pPr>
      <w:r>
        <w:t xml:space="preserve">STH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w:t>
      </w:r>
    </w:p>
    <w:bookmarkEnd w:id="39"/>
    <w:bookmarkStart w:id="40" w:name="abbreviations"/>
    <w:p>
      <w:pPr>
        <w:pStyle w:val="Heading1"/>
      </w:pPr>
      <w:r>
        <w:t xml:space="preserve">Abbreviations</w:t>
      </w:r>
    </w:p>
    <w:p>
      <w:pPr>
        <w:pStyle w:val="FirstParagraph"/>
      </w:pPr>
      <w:r>
        <w:t xml:space="preserve">AMAM: Analytics Maturity Assessment Model</w:t>
      </w:r>
      <w:r>
        <w:t xml:space="preserve"> </w:t>
      </w:r>
      <w:r>
        <w:t xml:space="preserve">EMR: electronic medical record</w:t>
      </w:r>
      <w:r>
        <w:t xml:space="preserve"> </w:t>
      </w:r>
      <w:r>
        <w:t xml:space="preserve">HIMSS: Healthcare Information and Management Systems Society</w:t>
      </w:r>
      <w:r>
        <w:t xml:space="preserve"> </w:t>
      </w:r>
      <w:r>
        <w:t xml:space="preserve">HITL-KG: human-in-the-loop knowledge governance</w:t>
      </w:r>
      <w:r>
        <w:t xml:space="preserve"> </w:t>
      </w:r>
      <w:r>
        <w:t xml:space="preserve">LLM: large language model</w:t>
      </w:r>
      <w:r>
        <w:t xml:space="preserve"> </w:t>
      </w:r>
      <w:r>
        <w:t xml:space="preserve">NL2SQL: natural language to SQL</w:t>
      </w:r>
    </w:p>
    <w:bookmarkEnd w:id="40"/>
    <w:bookmarkStart w:id="211" w:name="references"/>
    <w:p>
      <w:pPr>
        <w:pStyle w:val="Heading1"/>
      </w:pPr>
      <w:r>
        <w:t xml:space="preserve">References</w:t>
      </w:r>
    </w:p>
    <w:bookmarkStart w:id="210"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Start w:id="209" w:name="ref-harrold2026zenodo"/>
    <w:p>
      <w:pPr>
        <w:pStyle w:val="Bibliography"/>
      </w:pPr>
      <w:r>
        <w:t xml:space="preserve">85.</w:t>
      </w:r>
      <w:r>
        <w:t xml:space="preserve"> </w:t>
      </w:r>
      <w:r>
        <w:t xml:space="preserve">	</w:t>
      </w:r>
      <w:r>
        <w:t xml:space="preserve">Harrold ST.</w:t>
      </w:r>
      <w:r>
        <w:t xml:space="preserve"> </w:t>
      </w:r>
      <w:r>
        <w:t xml:space="preserve">Health care analytics challenges: a 3-pillar framework connecting analytics maturity, workforce agility, and technical enablement</w:t>
      </w:r>
      <w:r>
        <w:t xml:space="preserve">. Published online 2026. doi:</w:t>
      </w:r>
      <w:hyperlink r:id="rId208">
        <w:r>
          <w:rPr>
            <w:rStyle w:val="Hyperlink"/>
          </w:rPr>
          <w:t xml:space="preserve">10.5281/zenodo.18264359</w:t>
        </w:r>
      </w:hyperlink>
    </w:p>
    <w:bookmarkEnd w:id="209"/>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208" Target="https://doi.org/10.5281/zenodo.1826435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208" Target="https://doi.org/10.5281/zenodo.1826435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3-Pillar Framework Connecting Analytics Maturity, Workforce Agility, and Technical Enablement</dc:title>
  <dc:creator>Samuel Thomas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2026-09-15T13:02:33Z</dcterms:created>
  <dcterms:modified xsi:type="dcterms:W3CDTF">2026-09-15T13:02:33Z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the socialization, externalization, combination, and internalization model of knowledge creation by Nonaka, the root cause is a “socialization failure”: high turnover fractures the social networks required for mentorship, rendering the traditional apprenticeship model of informatics unsustainable. To address this failure, we used a design science research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3-pillar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August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August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