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p>
    <w:p>
      <w:pPr>
        <w:pStyle w:val="Compact"/>
        <w:numPr>
          <w:ilvl w:val="0"/>
          <w:numId w:val="1025"/>
        </w:numPr>
      </w:pPr>
      <w:r>
        <w:rPr>
          <w:b/>
          <w:bCs/>
        </w:rPr>
        <w:t xml:space="preserve">Change Management</w:t>
      </w:r>
      <w:r>
        <w:t xml:space="preserve">: Training and support programs to ensure user adoption</w:t>
      </w:r>
    </w:p>
    <w:p>
      <w:pPr>
        <w:pStyle w:val="Compact"/>
        <w:numPr>
          <w:ilvl w:val="0"/>
          <w:numId w:val="1025"/>
        </w:numPr>
      </w:pPr>
      <w:r>
        <w:rPr>
          <w:b/>
          <w:bCs/>
        </w:rPr>
        <w:t xml:space="preserve">Phased Deployment</w:t>
      </w:r>
      <w:r>
        <w:t xml:space="preserve">: Gradual rollout beginning with analytics-savvy early adopters</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lenz2007"/>
    <w:p>
      <w:pPr>
        <w:pStyle w:val="Bibliography"/>
      </w:pPr>
      <w:r>
        <w:t xml:space="preserve">126.</w:t>
      </w:r>
      <w:r>
        <w:t xml:space="preserve"> </w:t>
      </w:r>
      <w:r>
        <w:t xml:space="preserve">	</w:t>
      </w:r>
      <w:r>
        <w:t xml:space="preserve">Lenz R, Beyer M, Kuhn KA.</w:t>
      </w:r>
      <w:r>
        <w:t xml:space="preserve"> </w:t>
      </w:r>
      <w:hyperlink r:id="rId342">
        <w:r>
          <w:rPr>
            <w:rStyle w:val="Hyperlink"/>
          </w:rPr>
          <w:t xml:space="preserve">Semantic integration in healthcare networks</w:t>
        </w:r>
      </w:hyperlink>
      <w:r>
        <w:t xml:space="preserve">. International Journal of Medical Informatics. 2007;76(2-3):201–7.</w:t>
      </w:r>
      <w:r>
        <w:t xml:space="preserve"> </w:t>
      </w:r>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7"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6">
        <w:r>
          <w:rPr>
            <w:rStyle w:val="Hyperlink"/>
          </w:rPr>
          <w:t xml:space="preserve">https://books.google.com/books?id=9uqiEAAAQBAJ</w:t>
        </w:r>
      </w:hyperlink>
    </w:p>
    <w:bookmarkEnd w:id="347"/>
    <w:bookmarkStart w:id="349"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8">
        <w:r>
          <w:rPr>
            <w:rStyle w:val="Hyperlink"/>
          </w:rPr>
          <w:t xml:space="preserve">https://www.quantbeckman.com/api/v1/file/5b240742-bf0d-4f8c-a0f9-cb29fab42611.pdf</w:t>
        </w:r>
      </w:hyperlink>
    </w:p>
    <w:bookmarkEnd w:id="349"/>
    <w:bookmarkStart w:id="351"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50">
        <w:r>
          <w:rPr>
            <w:rStyle w:val="Hyperlink"/>
          </w:rPr>
          <w:t xml:space="preserve">https://mail.vldb.org/archives/website/2005/program/paper/fri/p1006-yu.pdf</w:t>
        </w:r>
      </w:hyperlink>
    </w:p>
    <w:bookmarkEnd w:id="351"/>
    <w:bookmarkStart w:id="352"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2"/>
    <w:bookmarkStart w:id="354" w:name="ref-battula2025"/>
    <w:p>
      <w:pPr>
        <w:pStyle w:val="Bibliography"/>
      </w:pPr>
      <w:r>
        <w:t xml:space="preserve">132.</w:t>
      </w:r>
      <w:r>
        <w:t xml:space="preserve"> </w:t>
      </w:r>
      <w:r>
        <w:t xml:space="preserve">	</w:t>
      </w:r>
      <w:r>
        <w:t xml:space="preserve">Battula SKY.</w:t>
      </w:r>
      <w:r>
        <w:t xml:space="preserve"> </w:t>
      </w:r>
      <w:hyperlink r:id="rId35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2026-01-15T05:05:34Z</dcterms:created>
  <dcterms:modified xsi:type="dcterms:W3CDTF">2026-01-15T05:05:34Z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