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5"/>
        </w:numPr>
      </w:pPr>
      <w:r>
        <w:t xml:space="preserve">Crossref: Cross-disciplinary academic literature, citation metadata</w:t>
      </w:r>
    </w:p>
    <w:p>
      <w:pPr>
        <w:pStyle w:val="Compact"/>
        <w:numPr>
          <w:ilvl w:val="0"/>
          <w:numId w:val="1005"/>
        </w:numPr>
      </w:pPr>
      <w:r>
        <w:t xml:space="preserve">PubMed: Clinical informatics, healthcare workforce, medical administration</w:t>
      </w:r>
    </w:p>
    <w:p>
      <w:pPr>
        <w:pStyle w:val="Compact"/>
        <w:numPr>
          <w:ilvl w:val="0"/>
          <w:numId w:val="1005"/>
        </w:numPr>
      </w:pPr>
      <w:r>
        <w:t xml:space="preserve">arXiv: Machine learning and NLP preprints, benchmark studies</w:t>
      </w:r>
    </w:p>
    <w:p>
      <w:pPr>
        <w:pStyle w:val="Compact"/>
        <w:numPr>
          <w:ilvl w:val="0"/>
          <w:numId w:val="1005"/>
        </w:numPr>
      </w:pPr>
      <w:r>
        <w:t xml:space="preserve">Semantic Scholar: AI and computer science papers, citation analysis</w:t>
      </w:r>
    </w:p>
    <w:p>
      <w:pPr>
        <w:pStyle w:val="FirstParagraph"/>
      </w:pPr>
      <w:r>
        <w:rPr>
          <w:b/>
          <w:bCs/>
        </w:rPr>
        <w:t xml:space="preserve">Industry Sources:</w:t>
      </w:r>
    </w:p>
    <w:p>
      <w:pPr>
        <w:pStyle w:val="Compact"/>
        <w:numPr>
          <w:ilvl w:val="0"/>
          <w:numId w:val="1006"/>
        </w:numPr>
      </w:pPr>
      <w:r>
        <w:t xml:space="preserve">HIMSS: Analytics Maturity Model documentation and industry standards</w:t>
      </w:r>
    </w:p>
    <w:p>
      <w:pPr>
        <w:pStyle w:val="Compact"/>
        <w:numPr>
          <w:ilvl w:val="0"/>
          <w:numId w:val="1006"/>
        </w:numPr>
      </w:pPr>
      <w:r>
        <w:t xml:space="preserve">Healthcare providers: NHS Trust implementation case studies</w:t>
      </w:r>
    </w:p>
    <w:p>
      <w:pPr>
        <w:pStyle w:val="Compact"/>
        <w:numPr>
          <w:ilvl w:val="0"/>
          <w:numId w:val="1006"/>
        </w:numPr>
      </w:pPr>
      <w:r>
        <w:t xml:space="preserve">Market research: Precedence Research, Forrester analyst reports</w:t>
      </w:r>
    </w:p>
    <w:p>
      <w:pPr>
        <w:pStyle w:val="Compact"/>
        <w:numPr>
          <w:ilvl w:val="0"/>
          <w:numId w:val="1006"/>
        </w:numPr>
      </w:pPr>
      <w:r>
        <w:t xml:space="preserve">Technology vendors: Health Catalyst, Oracle, Anthropic technical documentation</w:t>
      </w:r>
    </w:p>
    <w:p>
      <w:pPr>
        <w:pStyle w:val="Compact"/>
        <w:numPr>
          <w:ilvl w:val="0"/>
          <w:numId w:val="1006"/>
        </w:numPr>
      </w:pPr>
      <w:r>
        <w:t xml:space="preserve">Professional associations: AHIMA/NORC workforce surveys</w:t>
      </w:r>
    </w:p>
    <w:p>
      <w:pPr>
        <w:pStyle w:val="Compact"/>
        <w:numPr>
          <w:ilvl w:val="0"/>
          <w:numId w:val="1006"/>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7"/>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7"/>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7"/>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Crossref</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r>
              <w:t xml:space="preserve"> </w:t>
            </w:r>
            <w:r>
              <w:t xml:space="preserve">OR</w:t>
            </w:r>
            <w:r>
              <w:t xml:space="preserve"> </w:t>
            </w:r>
            <w:r>
              <w:t xml:space="preserve">“</w:t>
            </w:r>
            <w:r>
              <w:t xml:space="preserve">NL2SQL clinical</w:t>
            </w:r>
            <w:r>
              <w:t xml:space="preserve">”</w:t>
            </w:r>
            <w:r>
              <w:t xml:space="preserve"> </w:t>
            </w:r>
            <w:r>
              <w:t xml:space="preserve">OR</w:t>
            </w:r>
            <w:r>
              <w:t xml:space="preserve"> </w:t>
            </w:r>
            <w:r>
              <w:t xml:space="preserve">“</w:t>
            </w:r>
            <w:r>
              <w:t xml:space="preserve">knowledge portal</w:t>
            </w:r>
            <w:r>
              <w:t xml:space="preserve">”</w:t>
            </w:r>
            <w:r>
              <w:t xml:space="preserve"> </w:t>
            </w:r>
            <w:r>
              <w:t xml:space="preserve">OR</w:t>
            </w:r>
            <w:r>
              <w:t xml:space="preserve"> </w:t>
            </w:r>
            <w:r>
              <w:t xml:space="preserve">“</w:t>
            </w:r>
            <w:r>
              <w:t xml:space="preserve">low-code ROI</w:t>
            </w:r>
            <w:r>
              <w:t xml:space="preserve">”</w:t>
            </w:r>
          </w:p>
        </w:tc>
        <w:tc>
          <w:tcPr/>
          <w:p>
            <w:pPr>
              <w:pStyle w:val="Compact"/>
              <w:jc w:val="left"/>
            </w:pPr>
            <w:r>
              <w:t xml:space="preserve">2015-current</w:t>
            </w:r>
          </w:p>
        </w:tc>
        <w:tc>
          <w:tcPr/>
          <w:p>
            <w:pPr>
              <w:pStyle w:val="Compact"/>
              <w:jc w:val="left"/>
            </w:pPr>
            <w:r>
              <w:t xml:space="preserve">285</w:t>
            </w:r>
          </w:p>
        </w:tc>
        <w:tc>
          <w:tcPr/>
          <w:p>
            <w:pPr>
              <w:pStyle w:val="Compact"/>
              <w:jc w:val="left"/>
            </w:pPr>
            <w:r>
              <w:t xml:space="preserve">15</w:t>
            </w:r>
          </w:p>
        </w:tc>
      </w:tr>
      <w:tr>
        <w:tc>
          <w:tcPr/>
          <w:p>
            <w:pPr>
              <w:pStyle w:val="Compact"/>
              <w:jc w:val="left"/>
            </w:pPr>
            <w:r>
              <w:t xml:space="preserve">PubMed</w:t>
            </w:r>
          </w:p>
        </w:tc>
        <w:tc>
          <w:tcPr/>
          <w:p>
            <w:pPr>
              <w:pStyle w:val="Compact"/>
              <w:jc w:val="left"/>
            </w:pPr>
            <w:r>
              <w:t xml:space="preserve">(</w:t>
            </w:r>
            <w:r>
              <w:t xml:space="preserve">“</w:t>
            </w:r>
            <w:r>
              <w:t xml:space="preserve">healthcare IT tenure</w:t>
            </w:r>
            <w:r>
              <w:t xml:space="preserve">”</w:t>
            </w:r>
            <w:r>
              <w:t xml:space="preserve"> </w:t>
            </w:r>
            <w:r>
              <w:t xml:space="preserve">OR</w:t>
            </w:r>
            <w:r>
              <w:t xml:space="preserve"> </w:t>
            </w:r>
            <w:r>
              <w:t xml:space="preserve">“</w:t>
            </w:r>
            <w:r>
              <w:t xml:space="preserve">IT training time</w:t>
            </w:r>
            <w:r>
              <w:t xml:space="preserve">”</w:t>
            </w:r>
            <w:r>
              <w:t xml:space="preserve"> </w:t>
            </w:r>
            <w:r>
              <w:t xml:space="preserve">OR</w:t>
            </w:r>
            <w:r>
              <w:t xml:space="preserve"> </w:t>
            </w:r>
            <w:r>
              <w:t xml:space="preserve">“</w:t>
            </w:r>
            <w:r>
              <w:t xml:space="preserve">turnover cost salary</w:t>
            </w:r>
            <w:r>
              <w:t xml:space="preserve">”</w:t>
            </w:r>
            <w:r>
              <w:t xml:space="preserve">) AND (</w:t>
            </w:r>
            <w:r>
              <w:t xml:space="preserve">“</w:t>
            </w:r>
            <w:r>
              <w:t xml:space="preserve">institutional memory</w:t>
            </w:r>
            <w:r>
              <w:t xml:space="preserve">”</w:t>
            </w:r>
            <w:r>
              <w:t xml:space="preserve"> </w:t>
            </w:r>
            <w:r>
              <w:t xml:space="preserve">OR</w:t>
            </w:r>
            <w:r>
              <w:t xml:space="preserve"> </w:t>
            </w:r>
            <w:r>
              <w:t xml:space="preserve">“</w:t>
            </w:r>
            <w:r>
              <w:t xml:space="preserve">analytics adoption</w:t>
            </w:r>
            <w:r>
              <w:t xml:space="preserve">”</w:t>
            </w:r>
            <w:r>
              <w:t xml:space="preserve"> </w:t>
            </w:r>
            <w:r>
              <w:t xml:space="preserve">OR</w:t>
            </w:r>
            <w:r>
              <w:t xml:space="preserve"> </w:t>
            </w:r>
            <w:r>
              <w:t xml:space="preserve">“</w:t>
            </w:r>
            <w:r>
              <w:t xml:space="preserve">knowledge capture</w:t>
            </w:r>
            <w:r>
              <w:t xml:space="preserve">”</w:t>
            </w:r>
            <w:r>
              <w:t xml:space="preserve">)</w:t>
            </w:r>
          </w:p>
        </w:tc>
        <w:tc>
          <w:tcPr/>
          <w:p>
            <w:pPr>
              <w:pStyle w:val="Compact"/>
              <w:jc w:val="left"/>
            </w:pPr>
            <w:r>
              <w:t xml:space="preserve">2015-current</w:t>
            </w:r>
          </w:p>
        </w:tc>
        <w:tc>
          <w:tcPr/>
          <w:p>
            <w:pPr>
              <w:pStyle w:val="Compact"/>
              <w:jc w:val="left"/>
            </w:pPr>
            <w:r>
              <w:t xml:space="preserve">142</w:t>
            </w:r>
          </w:p>
        </w:tc>
        <w:tc>
          <w:tcPr/>
          <w:p>
            <w:pPr>
              <w:pStyle w:val="Compact"/>
              <w:jc w:val="left"/>
            </w:pPr>
            <w:r>
              <w:t xml:space="preserve">12</w:t>
            </w:r>
          </w:p>
        </w:tc>
      </w:tr>
      <w:tr>
        <w:tc>
          <w:tcPr/>
          <w:p>
            <w:pPr>
              <w:pStyle w:val="Compact"/>
              <w:jc w:val="left"/>
            </w:pPr>
            <w:r>
              <w:t xml:space="preserve">arXiv (cs.CL, cs.DB)</w:t>
            </w:r>
          </w:p>
        </w:tc>
        <w:tc>
          <w:tcPr/>
          <w:p>
            <w:pPr>
              <w:pStyle w:val="Compact"/>
              <w:jc w:val="left"/>
            </w:pPr>
            <w:r>
              <w:t xml:space="preserve">“</w:t>
            </w:r>
            <w:r>
              <w:t xml:space="preserve">text-to-SQL</w:t>
            </w:r>
            <w:r>
              <w:t xml:space="preserve">”</w:t>
            </w:r>
            <w:r>
              <w:t xml:space="preserve"> </w:t>
            </w:r>
            <w:r>
              <w:t xml:space="preserve">AND (</w:t>
            </w:r>
            <w:r>
              <w:t xml:space="preserve">“</w:t>
            </w:r>
            <w:r>
              <w:t xml:space="preserve">MIMICSQL</w:t>
            </w:r>
            <w:r>
              <w:t xml:space="preserve">”</w:t>
            </w:r>
            <w:r>
              <w:t xml:space="preserve"> </w:t>
            </w:r>
            <w:r>
              <w:t xml:space="preserve">OR</w:t>
            </w:r>
            <w:r>
              <w:t xml:space="preserve"> </w:t>
            </w:r>
            <w:r>
              <w:t xml:space="preserve">“</w:t>
            </w:r>
            <w:r>
              <w:t xml:space="preserve">EHRSQL</w:t>
            </w:r>
            <w:r>
              <w:t xml:space="preserve">”</w:t>
            </w:r>
            <w:r>
              <w:t xml:space="preserve"> </w:t>
            </w:r>
            <w:r>
              <w:t xml:space="preserve">OR</w:t>
            </w:r>
            <w:r>
              <w:t xml:space="preserve"> </w:t>
            </w:r>
            <w:r>
              <w:t xml:space="preserve">“</w:t>
            </w:r>
            <w:r>
              <w:t xml:space="preserve">schema discovery</w:t>
            </w:r>
            <w:r>
              <w:t xml:space="preserve">”</w:t>
            </w:r>
            <w:r>
              <w:t xml:space="preserve"> </w:t>
            </w:r>
            <w:r>
              <w:t xml:space="preserve">OR</w:t>
            </w:r>
            <w:r>
              <w:t xml:space="preserve"> </w:t>
            </w:r>
            <w:r>
              <w:t xml:space="preserve">“</w:t>
            </w:r>
            <w:r>
              <w:t xml:space="preserve">PK/FK discovery</w:t>
            </w:r>
            <w:r>
              <w:t xml:space="preserve">”</w:t>
            </w:r>
            <w:r>
              <w:t xml:space="preserve"> </w:t>
            </w:r>
            <w:r>
              <w:t xml:space="preserve">OR</w:t>
            </w:r>
            <w:r>
              <w:t xml:space="preserve"> </w:t>
            </w:r>
            <w:r>
              <w:t xml:space="preserve">“</w:t>
            </w:r>
            <w:r>
              <w:t xml:space="preserve">semantic matching</w:t>
            </w:r>
            <w:r>
              <w:t xml:space="preserve">”</w:t>
            </w:r>
            <w:r>
              <w:t xml:space="preserve"> </w:t>
            </w:r>
            <w:r>
              <w:t xml:space="preserve">OR</w:t>
            </w:r>
            <w:r>
              <w:t xml:space="preserve"> </w:t>
            </w:r>
            <w:r>
              <w:t xml:space="preserve">“</w:t>
            </w:r>
            <w:r>
              <w:t xml:space="preserve">vector embeddings</w:t>
            </w:r>
            <w:r>
              <w:t xml:space="preserve">”</w:t>
            </w:r>
            <w:r>
              <w:t xml:space="preserve">)</w:t>
            </w:r>
          </w:p>
        </w:tc>
        <w:tc>
          <w:tcPr/>
          <w:p>
            <w:pPr>
              <w:pStyle w:val="Compact"/>
              <w:jc w:val="left"/>
            </w:pPr>
            <w:r>
              <w:t xml:space="preserve">2020-current</w:t>
            </w:r>
          </w:p>
        </w:tc>
        <w:tc>
          <w:tcPr/>
          <w:p>
            <w:pPr>
              <w:pStyle w:val="Compact"/>
              <w:jc w:val="left"/>
            </w:pPr>
            <w:r>
              <w:t xml:space="preserve">71</w:t>
            </w:r>
          </w:p>
        </w:tc>
        <w:tc>
          <w:tcPr/>
          <w:p>
            <w:pPr>
              <w:pStyle w:val="Compact"/>
              <w:jc w:val="left"/>
            </w:pPr>
            <w:r>
              <w:t xml:space="preserve">6</w:t>
            </w:r>
          </w:p>
        </w:tc>
      </w:tr>
      <w:tr>
        <w:tc>
          <w:tcPr/>
          <w:p>
            <w:pPr>
              <w:pStyle w:val="Compact"/>
              <w:jc w:val="left"/>
            </w:pPr>
            <w:r>
              <w:t xml:space="preserve">Semantic Scholar</w:t>
            </w:r>
          </w:p>
        </w:tc>
        <w:tc>
          <w:tcPr/>
          <w:p>
            <w:pPr>
              <w:pStyle w:val="Compact"/>
              <w:jc w:val="left"/>
            </w:pPr>
            <w:r>
              <w:t xml:space="preserve">“</w:t>
            </w:r>
            <w:r>
              <w:t xml:space="preserve">NL2SQL healthcare</w:t>
            </w:r>
            <w:r>
              <w:t xml:space="preserve">”</w:t>
            </w:r>
            <w:r>
              <w:t xml:space="preserve"> </w:t>
            </w:r>
            <w:r>
              <w:t xml:space="preserve">OR</w:t>
            </w:r>
            <w:r>
              <w:t xml:space="preserve"> </w:t>
            </w:r>
            <w:r>
              <w:t xml:space="preserve">“</w:t>
            </w:r>
            <w:r>
              <w:t xml:space="preserve">NL2SQL productivity</w:t>
            </w:r>
            <w:r>
              <w:t xml:space="preserve">”</w:t>
            </w:r>
            <w:r>
              <w:t xml:space="preserve"> </w:t>
            </w:r>
            <w:r>
              <w:t xml:space="preserve">OR</w:t>
            </w:r>
            <w:r>
              <w:t xml:space="preserve"> </w:t>
            </w:r>
            <w:r>
              <w:t xml:space="preserve">“</w:t>
            </w:r>
            <w:r>
              <w:t xml:space="preserve">conversational AI clinical</w:t>
            </w:r>
            <w:r>
              <w:t xml:space="preserve">”</w:t>
            </w:r>
            <w:r>
              <w:t xml:space="preserve"> </w:t>
            </w:r>
            <w:r>
              <w:t xml:space="preserve">OR</w:t>
            </w:r>
            <w:r>
              <w:t xml:space="preserve"> </w:t>
            </w:r>
            <w:r>
              <w:t xml:space="preserve">“</w:t>
            </w:r>
            <w:r>
              <w:t xml:space="preserve">SECI model analytics</w:t>
            </w:r>
            <w:r>
              <w:t xml:space="preserve">”</w:t>
            </w:r>
          </w:p>
        </w:tc>
        <w:tc>
          <w:tcPr/>
          <w:p>
            <w:pPr>
              <w:pStyle w:val="Compact"/>
              <w:jc w:val="left"/>
            </w:pPr>
            <w:r>
              <w:t xml:space="preserve">2015-current</w:t>
            </w:r>
          </w:p>
        </w:tc>
        <w:tc>
          <w:tcPr/>
          <w:p>
            <w:pPr>
              <w:pStyle w:val="Compact"/>
              <w:jc w:val="left"/>
            </w:pPr>
            <w:r>
              <w:t xml:space="preserve">72</w:t>
            </w:r>
          </w:p>
        </w:tc>
        <w:tc>
          <w:tcPr/>
          <w:p>
            <w:pPr>
              <w:pStyle w:val="Compact"/>
              <w:jc w:val="left"/>
            </w:pPr>
            <w:r>
              <w:t xml:space="preserve">8</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Initial results shown after deduplication across databases.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8"/>
        </w:numPr>
      </w:pPr>
      <w:r>
        <w:t xml:space="preserve">Peer-reviewed publications in healthcare informatics, medical informatics, computer science, or health services research</w:t>
      </w:r>
    </w:p>
    <w:p>
      <w:pPr>
        <w:pStyle w:val="Compact"/>
        <w:numPr>
          <w:ilvl w:val="0"/>
          <w:numId w:val="1008"/>
        </w:numPr>
      </w:pPr>
      <w:r>
        <w:t xml:space="preserve">Industry reports from established healthcare IT organizations (HIMSS, AHIMA, AMIA)</w:t>
      </w:r>
    </w:p>
    <w:p>
      <w:pPr>
        <w:pStyle w:val="Compact"/>
        <w:numPr>
          <w:ilvl w:val="0"/>
          <w:numId w:val="1008"/>
        </w:numPr>
      </w:pPr>
      <w:r>
        <w:t xml:space="preserve">Publications from 2015-current, with emphasis on 2020-current for rapidly evolving NL2SQL technologies</w:t>
      </w:r>
    </w:p>
    <w:p>
      <w:pPr>
        <w:pStyle w:val="Compact"/>
        <w:numPr>
          <w:ilvl w:val="0"/>
          <w:numId w:val="1008"/>
        </w:numPr>
      </w:pPr>
      <w:r>
        <w:t xml:space="preserve">English language publications</w:t>
      </w:r>
    </w:p>
    <w:p>
      <w:pPr>
        <w:pStyle w:val="Compact"/>
        <w:numPr>
          <w:ilvl w:val="0"/>
          <w:numId w:val="1008"/>
        </w:numPr>
      </w:pPr>
      <w:r>
        <w:t xml:space="preserve">Sources with verifiable DOIs, URLs, or institutional attribution</w:t>
      </w:r>
    </w:p>
    <w:p>
      <w:pPr>
        <w:pStyle w:val="FirstParagraph"/>
      </w:pPr>
      <w:r>
        <w:rPr>
          <w:b/>
          <w:bCs/>
        </w:rPr>
        <w:t xml:space="preserve">Exclusion Criteria:</w:t>
      </w:r>
    </w:p>
    <w:p>
      <w:pPr>
        <w:pStyle w:val="Compact"/>
        <w:numPr>
          <w:ilvl w:val="0"/>
          <w:numId w:val="1009"/>
        </w:numPr>
      </w:pPr>
      <w:r>
        <w:t xml:space="preserve">Sources without verifiable attribution or institutional backing</w:t>
      </w:r>
    </w:p>
    <w:p>
      <w:pPr>
        <w:pStyle w:val="Compact"/>
        <w:numPr>
          <w:ilvl w:val="0"/>
          <w:numId w:val="1009"/>
        </w:numPr>
      </w:pPr>
      <w:r>
        <w:t xml:space="preserve">Vendor marketing materials without independent validation</w:t>
      </w:r>
    </w:p>
    <w:p>
      <w:pPr>
        <w:pStyle w:val="Compact"/>
        <w:numPr>
          <w:ilvl w:val="0"/>
          <w:numId w:val="1009"/>
        </w:numPr>
      </w:pPr>
      <w:r>
        <w:t xml:space="preserve">Preprints without subsequent peer-reviewed publication (exception: foundational NL2SQL benchmarks where peer review is pending)</w:t>
      </w:r>
    </w:p>
    <w:p>
      <w:pPr>
        <w:pStyle w:val="Compact"/>
        <w:numPr>
          <w:ilvl w:val="0"/>
          <w:numId w:val="1009"/>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0"/>
        </w:numPr>
      </w:pPr>
      <w:r>
        <w:rPr>
          <w:b/>
          <w:bCs/>
        </w:rPr>
        <w:t xml:space="preserve">Analytics maturity</w:t>
      </w:r>
      <w:r>
        <w:t xml:space="preserve">: Evidence on HIMSS AMAM adoption, healthcare analytics capabilities, and organizational readiness</w:t>
      </w:r>
    </w:p>
    <w:p>
      <w:pPr>
        <w:pStyle w:val="Compact"/>
        <w:numPr>
          <w:ilvl w:val="0"/>
          <w:numId w:val="1010"/>
        </w:numPr>
      </w:pPr>
      <w:r>
        <w:rPr>
          <w:b/>
          <w:bCs/>
        </w:rPr>
        <w:t xml:space="preserve">Workforce turnover</w:t>
      </w:r>
      <w:r>
        <w:t xml:space="preserve">: Evidence on nursing and IT staff turnover rates, institutional memory loss, and knowledge transfer challenges</w:t>
      </w:r>
    </w:p>
    <w:p>
      <w:pPr>
        <w:pStyle w:val="Compact"/>
        <w:numPr>
          <w:ilvl w:val="0"/>
          <w:numId w:val="101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1"/>
        </w:numPr>
      </w:pPr>
      <w:r>
        <w:rPr>
          <w:b/>
          <w:bCs/>
        </w:rPr>
        <w:t xml:space="preserve">Non-exhaustive search</w:t>
      </w:r>
      <w:r>
        <w:t xml:space="preserve">: Literature identification was selective rather than exhaustive; relevant studies may have been missed</w:t>
      </w:r>
    </w:p>
    <w:p>
      <w:pPr>
        <w:pStyle w:val="Compact"/>
        <w:numPr>
          <w:ilvl w:val="0"/>
          <w:numId w:val="1011"/>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1"/>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1"/>
        </w:numPr>
      </w:pPr>
      <w:r>
        <w:rPr>
          <w:b/>
          <w:bCs/>
        </w:rPr>
        <w:t xml:space="preserve">Post-hoc selection criteria</w:t>
      </w:r>
      <w:r>
        <w:t xml:space="preserve">: Inclusion and exclusion criteria were refined during the review process rather than pre-registered</w:t>
      </w:r>
    </w:p>
    <w:p>
      <w:pPr>
        <w:pStyle w:val="Compact"/>
        <w:numPr>
          <w:ilvl w:val="0"/>
          <w:numId w:val="1011"/>
        </w:numPr>
      </w:pPr>
      <w:r>
        <w:rPr>
          <w:b/>
          <w:bCs/>
        </w:rPr>
        <w:t xml:space="preserve">No protocol registration</w:t>
      </w:r>
      <w:r>
        <w:t xml:space="preserve">: This review was not registered in PROSPERO or similar registries</w:t>
      </w:r>
    </w:p>
    <w:p>
      <w:pPr>
        <w:pStyle w:val="Compact"/>
        <w:numPr>
          <w:ilvl w:val="0"/>
          <w:numId w:val="1011"/>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2"/>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2"/>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2"/>
        </w:numPr>
      </w:pPr>
      <w:r>
        <w:rPr>
          <w:b/>
          <w:bCs/>
        </w:rPr>
        <w:t xml:space="preserve">Pillar Identification</w:t>
      </w:r>
      <w:r>
        <w:t xml:space="preserve">: Three orthogonal yet interconnected dimensions emerged as the organizing structure:</w:t>
      </w:r>
    </w:p>
    <w:p>
      <w:pPr>
        <w:pStyle w:val="Compact"/>
        <w:numPr>
          <w:ilvl w:val="1"/>
          <w:numId w:val="1013"/>
        </w:numPr>
      </w:pPr>
      <w:r>
        <w:rPr>
          <w:b/>
          <w:bCs/>
        </w:rPr>
        <w:t xml:space="preserve">Analytics Maturity</w:t>
      </w:r>
      <w:r>
        <w:t xml:space="preserve">: Organizational capability progression measured against HIMSS AMAM stages</w:t>
      </w:r>
    </w:p>
    <w:p>
      <w:pPr>
        <w:pStyle w:val="Compact"/>
        <w:numPr>
          <w:ilvl w:val="1"/>
          <w:numId w:val="1013"/>
        </w:numPr>
      </w:pPr>
      <w:r>
        <w:rPr>
          <w:b/>
          <w:bCs/>
        </w:rPr>
        <w:t xml:space="preserve">Workforce Dynamics</w:t>
      </w:r>
      <w:r>
        <w:t xml:space="preserve">: Human capital retention and tacit knowledge preservation</w:t>
      </w:r>
    </w:p>
    <w:p>
      <w:pPr>
        <w:pStyle w:val="Compact"/>
        <w:numPr>
          <w:ilvl w:val="1"/>
          <w:numId w:val="1013"/>
        </w:numPr>
      </w:pPr>
      <w:r>
        <w:rPr>
          <w:b/>
          <w:bCs/>
        </w:rPr>
        <w:t xml:space="preserve">Technical Barriers</w:t>
      </w:r>
      <w:r>
        <w:t xml:space="preserve">: NL2SQL capabilities and healthcare-specific implementation challenges</w:t>
      </w:r>
    </w:p>
    <w:p>
      <w:pPr>
        <w:pStyle w:val="Compact"/>
        <w:numPr>
          <w:ilvl w:val="0"/>
          <w:numId w:val="1012"/>
        </w:numPr>
      </w:pPr>
      <w:r>
        <w:rPr>
          <w:b/>
          <w:bCs/>
        </w:rPr>
        <w:t xml:space="preserve">Framework Validation</w:t>
      </w:r>
      <w:r>
        <w:t xml:space="preserve">: Pillar structure tested against all 41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7"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6"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End w:id="46"/>
    <w:bookmarkStart w:id="50" w:name="state-of-healthcare-analytics-maturity"/>
    <w:p>
      <w:pPr>
        <w:pStyle w:val="Heading2"/>
      </w:pPr>
      <w:r>
        <w:rPr>
          <w:rStyle w:val="SectionNumber"/>
        </w:rPr>
        <w:t xml:space="preserve">4.2</w:t>
      </w:r>
      <w:r>
        <w:tab/>
      </w:r>
      <w:r>
        <w:t xml:space="preserve">State of Healthcare Analytics Maturity</w:t>
      </w:r>
    </w:p>
    <w:bookmarkStart w:id="47"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7"/>
    <w:bookmarkStart w:id="48"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4"/>
        </w:numPr>
      </w:pPr>
      <w:r>
        <w:t xml:space="preserve">Fragmented data sources without integration</w:t>
      </w:r>
    </w:p>
    <w:p>
      <w:pPr>
        <w:pStyle w:val="Compact"/>
        <w:numPr>
          <w:ilvl w:val="0"/>
          <w:numId w:val="1014"/>
        </w:numPr>
      </w:pPr>
      <w:r>
        <w:t xml:space="preserve">Limited automated reporting capabilities</w:t>
      </w:r>
    </w:p>
    <w:p>
      <w:pPr>
        <w:pStyle w:val="Compact"/>
        <w:numPr>
          <w:ilvl w:val="0"/>
          <w:numId w:val="1014"/>
        </w:numPr>
      </w:pPr>
      <w:r>
        <w:t xml:space="preserve">Lack of standardized data governance</w:t>
      </w:r>
    </w:p>
    <w:p>
      <w:pPr>
        <w:pStyle w:val="Compact"/>
        <w:numPr>
          <w:ilvl w:val="0"/>
          <w:numId w:val="1014"/>
        </w:numPr>
      </w:pPr>
      <w:r>
        <w:t xml:space="preserve">Minimal predictive or prescriptive analytics</w:t>
      </w:r>
    </w:p>
    <w:p>
      <w:pPr>
        <w:pStyle w:val="Compact"/>
        <w:numPr>
          <w:ilvl w:val="0"/>
          <w:numId w:val="1014"/>
        </w:numPr>
      </w:pPr>
      <w:r>
        <w:t xml:space="preserve">Absence of real-time decision support</w:t>
      </w:r>
    </w:p>
    <w:bookmarkEnd w:id="48"/>
    <w:bookmarkStart w:id="49"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49"/>
    <w:bookmarkEnd w:id="50"/>
    <w:bookmarkStart w:id="54" w:name="X033aaa01add75caa19416ed7b909f71ff5bd76d"/>
    <w:p>
      <w:pPr>
        <w:pStyle w:val="Heading2"/>
      </w:pPr>
      <w:r>
        <w:rPr>
          <w:rStyle w:val="SectionNumber"/>
        </w:rPr>
        <w:t xml:space="preserve">4.3</w:t>
      </w:r>
      <w:r>
        <w:tab/>
      </w:r>
      <w:r>
        <w:t xml:space="preserve">Healthcare Workforce Turnover and Knowledge Loss</w:t>
      </w:r>
    </w:p>
    <w:bookmarkStart w:id="51"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which creates a perpetual cycle where organizations lose experienced staff before fully recouping their training investment.</w:t>
      </w:r>
    </w:p>
    <w:bookmarkEnd w:id="51"/>
    <w:bookmarkStart w:id="52"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2"/>
    <w:bookmarkStart w:id="53"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5"/>
        </w:numPr>
      </w:pPr>
      <w:r>
        <w:t xml:space="preserve">Traditional knowledge transfer mechanisms show limited effectiveness</w:t>
      </w:r>
    </w:p>
    <w:p>
      <w:pPr>
        <w:pStyle w:val="Compact"/>
        <w:numPr>
          <w:ilvl w:val="0"/>
          <w:numId w:val="1015"/>
        </w:numPr>
      </w:pPr>
      <w:r>
        <w:t xml:space="preserve">Organizations struggle to capture and maintain analytical expertise</w:t>
      </w:r>
    </w:p>
    <w:p>
      <w:pPr>
        <w:pStyle w:val="Compact"/>
        <w:numPr>
          <w:ilvl w:val="0"/>
          <w:numId w:val="1015"/>
        </w:numPr>
      </w:pPr>
      <w:r>
        <w:t xml:space="preserve">Security concerns and employee resistance to change slow the pace of information system acceptance [A18]</w:t>
      </w:r>
    </w:p>
    <w:p>
      <w:pPr>
        <w:pStyle w:val="Compact"/>
        <w:numPr>
          <w:ilvl w:val="0"/>
          <w:numId w:val="1015"/>
        </w:numPr>
      </w:pPr>
      <w:r>
        <w:t xml:space="preserve">Person-to-person knowledge transfer fails during rapid turnover cycles</w:t>
      </w:r>
    </w:p>
    <w:bookmarkEnd w:id="53"/>
    <w:bookmarkEnd w:id="54"/>
    <w:bookmarkStart w:id="58" w:name="X4fcdb465b5d130fc136a191f4ad96d06b004362"/>
    <w:p>
      <w:pPr>
        <w:pStyle w:val="Heading2"/>
      </w:pPr>
      <w:r>
        <w:rPr>
          <w:rStyle w:val="SectionNumber"/>
        </w:rPr>
        <w:t xml:space="preserve">4.4</w:t>
      </w:r>
      <w:r>
        <w:tab/>
      </w:r>
      <w:r>
        <w:t xml:space="preserve">Integration of Evidence: The Case for Conversational AI</w:t>
      </w:r>
    </w:p>
    <w:bookmarkStart w:id="55"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5"/>
    <w:bookmarkStart w:id="56"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6"/>
        </w:numPr>
      </w:pPr>
      <w:r>
        <w:t xml:space="preserve">Capturing decision-making patterns through usage</w:t>
      </w:r>
    </w:p>
    <w:p>
      <w:pPr>
        <w:pStyle w:val="Compact"/>
        <w:numPr>
          <w:ilvl w:val="0"/>
          <w:numId w:val="1016"/>
        </w:numPr>
      </w:pPr>
      <w:r>
        <w:t xml:space="preserve">Encoding best practices in accessible formats</w:t>
      </w:r>
    </w:p>
    <w:p>
      <w:pPr>
        <w:pStyle w:val="Compact"/>
        <w:numPr>
          <w:ilvl w:val="0"/>
          <w:numId w:val="1016"/>
        </w:numPr>
      </w:pPr>
      <w:r>
        <w:t xml:space="preserve">Providing context-aware guidance to new users</w:t>
      </w:r>
    </w:p>
    <w:p>
      <w:pPr>
        <w:pStyle w:val="Compact"/>
        <w:numPr>
          <w:ilvl w:val="0"/>
          <w:numId w:val="101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6"/>
    <w:bookmarkStart w:id="57"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On the conversational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These findings collectively demonstrate that technologies enabling non-technical users to interact with complex systems, whether through visual interfaces or natural language, produce measurable organizational benefits.</w:t>
      </w:r>
    </w:p>
    <w:bookmarkEnd w:id="57"/>
    <w:bookmarkEnd w:id="58"/>
    <w:bookmarkStart w:id="62" w:name="Xe532debb859e62ad2038db373f15ff8608a8c3a"/>
    <w:p>
      <w:pPr>
        <w:pStyle w:val="Heading2"/>
      </w:pPr>
      <w:r>
        <w:rPr>
          <w:rStyle w:val="SectionNumber"/>
        </w:rPr>
        <w:t xml:space="preserve">4.5</w:t>
      </w:r>
      <w:r>
        <w:tab/>
      </w:r>
      <w:r>
        <w:t xml:space="preserve">Implications for Healthcare Organizations</w:t>
      </w:r>
    </w:p>
    <w:bookmarkStart w:id="59"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9"/>
    <w:bookmarkStart w:id="60"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however, these figures should be interpreted cautiously given vendor sponsorship.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0"/>
    <w:bookmarkStart w:id="61"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7"/>
        </w:numPr>
      </w:pPr>
      <w:r>
        <w:rPr>
          <w:b/>
          <w:bCs/>
        </w:rPr>
        <w:t xml:space="preserve">Long-term outcomes</w:t>
      </w:r>
      <w:r>
        <w:t xml:space="preserve">: Most studies examine 6-24 month implementations; multi-year impacts remain understudied</w:t>
      </w:r>
    </w:p>
    <w:p>
      <w:pPr>
        <w:pStyle w:val="Compact"/>
        <w:numPr>
          <w:ilvl w:val="0"/>
          <w:numId w:val="1017"/>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7"/>
        </w:numPr>
      </w:pPr>
      <w:r>
        <w:rPr>
          <w:b/>
          <w:bCs/>
        </w:rPr>
        <w:t xml:space="preserve">Governance frameworks</w:t>
      </w:r>
      <w:r>
        <w:t xml:space="preserve">: Limited research on optimal governance models for democratized analytics</w:t>
      </w:r>
    </w:p>
    <w:p>
      <w:pPr>
        <w:pStyle w:val="Compact"/>
        <w:numPr>
          <w:ilvl w:val="0"/>
          <w:numId w:val="1017"/>
        </w:numPr>
      </w:pPr>
      <w:r>
        <w:rPr>
          <w:b/>
          <w:bCs/>
        </w:rPr>
        <w:t xml:space="preserve">Training methodologies</w:t>
      </w:r>
      <w:r>
        <w:t xml:space="preserve">: Best practices for transitioning from traditional to conversational analytics lack empirical validation</w:t>
      </w:r>
    </w:p>
    <w:p>
      <w:pPr>
        <w:pStyle w:val="Compact"/>
        <w:numPr>
          <w:ilvl w:val="0"/>
          <w:numId w:val="1017"/>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7"/>
        </w:numPr>
      </w:pPr>
      <w:r>
        <w:rPr>
          <w:b/>
          <w:bCs/>
        </w:rPr>
        <w:t xml:space="preserve">Quantitative efficiency metrics</w:t>
      </w:r>
      <w:r>
        <w:t xml:space="preserve">: While evidence from healthcare implementations suggests significant improvements in efficiency, peer-reviewed studies with rigorous methodology measuring time savings, task completion rates, and productivity gains for NL2SQL and low-code approaches (independent of vendor sponsorship) remain limited</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88"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8"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8"/>
    <w:bookmarkStart w:id="69"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69"/>
    <w:bookmarkStart w:id="70"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0"/>
    <w:bookmarkStart w:id="71"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1"/>
    <w:bookmarkStart w:id="72"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2"/>
    <w:bookmarkEnd w:id="73"/>
    <w:bookmarkStart w:id="80"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8"/>
    <w:bookmarkStart w:id="79"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8"/>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8"/>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8"/>
        </w:numPr>
      </w:pPr>
      <w:r>
        <w:rPr>
          <w:b/>
          <w:bCs/>
        </w:rPr>
        <w:t xml:space="preserve">Governance Framework Development</w:t>
      </w:r>
      <w:r>
        <w:t xml:space="preserve">: Research on optimal governance models for democratized analytics</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19"/>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19"/>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19"/>
        </w:numPr>
      </w:pPr>
      <w:r>
        <w:rPr>
          <w:b/>
          <w:bCs/>
        </w:rPr>
        <w:t xml:space="preserve">Longitudinal Outcome Studies</w:t>
      </w:r>
      <w:r>
        <w:t xml:space="preserve">: Multi-year implementations to assess sustained benefits and organizational evolution</w:t>
      </w:r>
    </w:p>
    <w:p>
      <w:pPr>
        <w:pStyle w:val="Compact"/>
        <w:numPr>
          <w:ilvl w:val="0"/>
          <w:numId w:val="1019"/>
        </w:numPr>
      </w:pPr>
      <w:r>
        <w:rPr>
          <w:b/>
          <w:b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0"/>
        </w:numPr>
      </w:pPr>
      <w:r>
        <w:rPr>
          <w:b/>
          <w:bCs/>
        </w:rPr>
        <w:t xml:space="preserve">Organizational Transformation Studies</w:t>
      </w:r>
      <w:r>
        <w:t xml:space="preserve">: Research on how conversational AI platforms reshape healthcare organizational capabilities</w:t>
      </w:r>
    </w:p>
    <w:p>
      <w:pPr>
        <w:pStyle w:val="Compact"/>
        <w:numPr>
          <w:ilvl w:val="0"/>
          <w:numId w:val="1020"/>
        </w:numPr>
      </w:pPr>
      <w:r>
        <w:rPr>
          <w:b/>
          <w:bCs/>
        </w:rPr>
        <w:t xml:space="preserve">Clinical Outcome Impact Assessment</w:t>
      </w:r>
      <w:r>
        <w:t xml:space="preserve">: Studies linking improved analytics access to patient care outcomes</w:t>
      </w:r>
    </w:p>
    <w:p>
      <w:pPr>
        <w:pStyle w:val="Compact"/>
        <w:numPr>
          <w:ilvl w:val="0"/>
          <w:numId w:val="1020"/>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7"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5"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1"/>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1"/>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1"/>
        </w:numPr>
      </w:pPr>
      <w:r>
        <w:rPr>
          <w:b/>
          <w:bCs/>
        </w:rPr>
        <w:t xml:space="preserve">Technical Barrier Inventory</w:t>
      </w:r>
      <w:r>
        <w:t xml:space="preserve">: What technical skills are currently required for data access? Which clinical questions go unanswered due to technical barriers?</w:t>
      </w:r>
    </w:p>
    <w:bookmarkEnd w:id="85"/>
    <w:bookmarkStart w:id="86" w:name="implementation-considerations"/>
    <w:p>
      <w:pPr>
        <w:pStyle w:val="Heading3"/>
      </w:pPr>
      <w:r>
        <w:rPr>
          <w:rStyle w:val="SectionNumber"/>
        </w:rPr>
        <w:t xml:space="preserve">5.4.2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2"/>
        </w:numPr>
      </w:pPr>
      <w:r>
        <w:rPr>
          <w:b/>
          <w:bCs/>
        </w:rPr>
        <w:t xml:space="preserve">Governance Framework Development</w:t>
      </w:r>
      <w:r>
        <w:t xml:space="preserve">: New policies and procedures for democratized analytics</w:t>
      </w:r>
    </w:p>
    <w:p>
      <w:pPr>
        <w:pStyle w:val="Compact"/>
        <w:numPr>
          <w:ilvl w:val="0"/>
          <w:numId w:val="1022"/>
        </w:numPr>
      </w:pPr>
      <w:r>
        <w:rPr>
          <w:b/>
          <w:bCs/>
        </w:rPr>
        <w:t xml:space="preserve">Change Management</w:t>
      </w:r>
      <w:r>
        <w:t xml:space="preserve">: Training and support programs to ensure user adoption</w:t>
      </w:r>
    </w:p>
    <w:p>
      <w:pPr>
        <w:pStyle w:val="Compact"/>
        <w:numPr>
          <w:ilvl w:val="0"/>
          <w:numId w:val="1022"/>
        </w:numPr>
      </w:pPr>
      <w:r>
        <w:rPr>
          <w:b/>
          <w:bCs/>
        </w:rPr>
        <w:t xml:space="preserve">Phased Deployment</w:t>
      </w:r>
      <w:r>
        <w:t xml:space="preserve">: Gradual rollout beginning with analytics-savvy early adopters</w:t>
      </w:r>
    </w:p>
    <w:p>
      <w:pPr>
        <w:pStyle w:val="Compact"/>
        <w:numPr>
          <w:ilvl w:val="0"/>
          <w:numId w:val="1022"/>
        </w:numPr>
      </w:pPr>
      <w:r>
        <w:rPr>
          <w:b/>
          <w:bCs/>
        </w:rPr>
        <w:t xml:space="preserve">Human Oversight</w:t>
      </w:r>
      <w:r>
        <w:t xml:space="preserve">: Current NL2SQL limitations require maintaining human review of AI-generated outputs [A6]</w:t>
      </w:r>
    </w:p>
    <w:bookmarkEnd w:id="86"/>
    <w:bookmarkEnd w:id="87"/>
    <w:bookmarkEnd w:id="88"/>
    <w:bookmarkStart w:id="9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a tension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89"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3"/>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3"/>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3"/>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89"/>
    <w:bookmarkStart w:id="90"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4"/>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4"/>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4"/>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0"/>
    <w:bookmarkStart w:id="91"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5"/>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5"/>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5"/>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5"/>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1"/>
    <w:bookmarkStart w:id="92"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6"/>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6"/>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6"/>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2"/>
    <w:bookmarkStart w:id="93"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7"/>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7"/>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7"/>
        </w:numPr>
      </w:pPr>
      <w:r>
        <w:rPr>
          <w:b/>
          <w:bCs/>
        </w:rPr>
        <w:t xml:space="preserve">Longitudinal outcomes</w:t>
      </w:r>
      <w:r>
        <w:t xml:space="preserve">: Most implementation studies span 6-24 months; multi-year institutional knowledge preservation effects remain understudied</w:t>
      </w:r>
    </w:p>
    <w:p>
      <w:pPr>
        <w:numPr>
          <w:ilvl w:val="0"/>
          <w:numId w:val="1027"/>
        </w:numPr>
      </w:pPr>
      <w:r>
        <w:rPr>
          <w:b/>
          <w:bCs/>
        </w:rPr>
        <w:t xml:space="preserve">Governance frameworks</w:t>
      </w:r>
      <w:r>
        <w:t xml:space="preserve">: Optimal approaches for balancing analytics democratization with data quality and clinical safety standards need development</w:t>
      </w:r>
    </w:p>
    <w:bookmarkEnd w:id="93"/>
    <w:bookmarkStart w:id="94"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4"/>
    <w:bookmarkEnd w:id="95"/>
    <w:bookmarkStart w:id="96" w:name="acknowledgments"/>
    <w:p>
      <w:pPr>
        <w:pStyle w:val="Heading1"/>
      </w:pPr>
      <w:r>
        <w:rPr>
          <w:rStyle w:val="SectionNumber"/>
        </w:rPr>
        <w:t xml:space="preserve">7</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6"/>
    <w:bookmarkStart w:id="9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7"/>
    <w:bookmarkStart w:id="98"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8"/>
    <w:bookmarkStart w:id="9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99"/>
    <w:bookmarkStart w:id="10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0"/>
    <w:bookmarkStart w:id="10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1"/>
    <w:bookmarkStart w:id="104" w:name="references"/>
    <w:p>
      <w:pPr>
        <w:pStyle w:val="Heading1"/>
      </w:pPr>
      <w:r>
        <w:rPr>
          <w:rStyle w:val="SectionNumber"/>
        </w:rPr>
        <w:t xml:space="preserve">13</w:t>
      </w:r>
      <w:r>
        <w:tab/>
      </w:r>
      <w:r>
        <w:t xml:space="preserve">References</w:t>
      </w:r>
    </w:p>
    <w:bookmarkStart w:id="102"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2"/>
    <w:bookmarkStart w:id="103"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3"/>
    <w:bookmarkEnd w:id="104"/>
    <w:bookmarkStart w:id="111" w:name="appendices"/>
    <w:p>
      <w:pPr>
        <w:pStyle w:val="Heading1"/>
      </w:pPr>
      <w:r>
        <w:rPr>
          <w:rStyle w:val="SectionNumber"/>
        </w:rPr>
        <w:t xml:space="preserve">14</w:t>
      </w:r>
      <w:r>
        <w:tab/>
      </w:r>
      <w:r>
        <w:t xml:space="preserve">Appendices</w:t>
      </w:r>
    </w:p>
    <w:bookmarkStart w:id="105"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5"/>
    <w:bookmarkStart w:id="106"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6"/>
    <w:bookmarkStart w:id="110" w:name="Xbfd30549e6247e2f3e5132a039875af0e2849bb"/>
    <w:p>
      <w:pPr>
        <w:pStyle w:val="Heading2"/>
      </w:pPr>
      <w:r>
        <w:rPr>
          <w:rStyle w:val="SectionNumber"/>
        </w:rPr>
        <w:t xml:space="preserve">14.3</w:t>
      </w:r>
      <w:r>
        <w:tab/>
      </w:r>
      <w:r>
        <w:t xml:space="preserve">Appendix C: Healthcare NL2SQL Query Examples</w:t>
      </w:r>
    </w:p>
    <w:bookmarkStart w:id="107"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7"/>
    <w:bookmarkStart w:id="108"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8"/>
    <w:bookmarkStart w:id="109"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2025-12-21T15:11:03Z</dcterms:created>
  <dcterms:modified xsi:type="dcterms:W3CDTF">2025-12-21T15:11:03Z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