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w:t>
      </w:r>
    </w:p>
    <w:p>
      <w:pPr>
        <w:pStyle w:val="Author"/>
      </w:pPr>
      <w:r>
        <w:t xml:space="preserve">Samuel T Harrold, Yuimedi, Inc.</w:t>
      </w:r>
    </w:p>
    <w:p>
      <w:pPr>
        <w:pStyle w:val="Date"/>
      </w:pPr>
      <w:r>
        <w:t xml:space="preserve">July 2026</w:t>
      </w:r>
    </w:p>
    <w:bookmarkStart w:id="16" w:name="multimedia-appendix-1"/>
    <w:p>
      <w:pPr>
        <w:pStyle w:val="Heading1"/>
      </w:pPr>
      <w:r>
        <w:t xml:space="preserve">Multimedia Appendix 1</w:t>
      </w:r>
    </w:p>
    <w:bookmarkStart w:id="9" w:name="X9f1943a7ce7630e7300cf38f4e99b0060e62518"/>
    <w:p>
      <w:pPr>
        <w:pStyle w:val="Heading2"/>
      </w:pPr>
      <w:r>
        <w:t xml:space="preserve">Validated Query Triple Examples for Healthcare Analytics</w:t>
      </w:r>
    </w:p>
    <w:p>
      <w:pPr>
        <w:pStyle w:val="FirstParagraph"/>
      </w:pPr>
      <w:r>
        <w:t xml:space="preserve">This appendix illustrates the Validated Query Triple artifact proposed by the HITL-KG framework (see the main paper’s section</w:t>
      </w:r>
      <w:r>
        <w:t xml:space="preserve"> </w:t>
      </w:r>
      <w:r>
        <w:t xml:space="preserve">“The Solution: Externalization via Socio-Technical Artifacts”</w:t>
      </w:r>
      <w:r>
        <w:t xml:space="preserve">). Each triple comprises three components: (1)</w:t>
      </w:r>
      <w:r>
        <w:t xml:space="preserve"> </w:t>
      </w:r>
      <w:r>
        <w:rPr>
          <w:i/>
          <w:iCs/>
        </w:rPr>
        <w:t xml:space="preserve">Natural Language Intent</w:t>
      </w:r>
      <w:r>
        <w:t xml:space="preserve">, the clinical business question; (2)</w:t>
      </w:r>
      <w:r>
        <w:t xml:space="preserve"> </w:t>
      </w:r>
      <w:r>
        <w:rPr>
          <w:i/>
          <w:iCs/>
        </w:rPr>
        <w:t xml:space="preserve">Executable SQL</w:t>
      </w:r>
      <w:r>
        <w:t xml:space="preserve">, the technical implementation; and (3)</w:t>
      </w:r>
      <w:r>
        <w:t xml:space="preserve"> </w:t>
      </w:r>
      <w:r>
        <w:rPr>
          <w:i/>
          <w:i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bookmarkEnd w:id="9"/>
    <w:bookmarkStart w:id="13" w:name="the-externalization-process"/>
    <w:p>
      <w:pPr>
        <w:pStyle w:val="Heading2"/>
      </w:pPr>
      <w:r>
        <w:t xml:space="preserve">The Externalization Process</w:t>
      </w:r>
    </w:p>
    <w:p>
      <w:pPr>
        <w:pStyle w:val="FirstParagraph"/>
      </w:pPr>
      <w:r>
        <w:t xml:space="preserve">Each Validated Query Triple is produced through a five-step cycle that captures tacit knowledge as a byproduct of routine analytics:</w:t>
      </w:r>
    </w:p>
    <w:p>
      <w:pPr>
        <w:pStyle w:val="Compact"/>
        <w:numPr>
          <w:ilvl w:val="0"/>
          <w:numId w:val="1001"/>
        </w:numPr>
      </w:pPr>
      <w:r>
        <w:rPr>
          <w:i/>
          <w:iCs/>
        </w:rPr>
        <w:t xml:space="preserve">Query Generation</w:t>
      </w:r>
      <w:r>
        <w:t xml:space="preserve">: A user asks a question in natural language; the AI proposes candidate SQL based on schema knowledge.</w:t>
      </w:r>
    </w:p>
    <w:p>
      <w:pPr>
        <w:pStyle w:val="Compact"/>
        <w:numPr>
          <w:ilvl w:val="0"/>
          <w:numId w:val="1001"/>
        </w:numPr>
      </w:pPr>
      <w:r>
        <w:rPr>
          <w:i/>
          <w:iCs/>
        </w:rPr>
        <w:t xml:space="preserve">Semantic Translation</w:t>
      </w:r>
      <w:r>
        <w:t xml:space="preserve">: The AI translates the SQL back into a natural-language explanation of what it will do.</w:t>
      </w:r>
    </w:p>
    <w:p>
      <w:pPr>
        <w:pStyle w:val="Compact"/>
        <w:numPr>
          <w:ilvl w:val="0"/>
          <w:numId w:val="1001"/>
        </w:numPr>
      </w:pPr>
      <w:r>
        <w:rPr>
          <w:i/>
          <w:iCs/>
        </w:rPr>
        <w:t xml:space="preserve">Expert Validation</w:t>
      </w:r>
      <w:r>
        <w:t xml:space="preserve">: The domain expert confirms or corrects this interpretation. This is the critical moment of Externalization, where the Human-in-the-Loop step transforms validation into iterative knowledge capture.</w:t>
      </w:r>
    </w:p>
    <w:p>
      <w:pPr>
        <w:pStyle w:val="Compact"/>
        <w:numPr>
          <w:ilvl w:val="0"/>
          <w:numId w:val="1001"/>
        </w:numPr>
      </w:pPr>
      <w:r>
        <w:rPr>
          <w:i/>
          <w:iCs/>
        </w:rPr>
        <w:t xml:space="preserve">Artifact Storage</w:t>
      </w:r>
      <w:r>
        <w:t xml:space="preserve">: The validated triple is hashed and stored in organizational memory.</w:t>
      </w:r>
    </w:p>
    <w:p>
      <w:pPr>
        <w:pStyle w:val="Compact"/>
        <w:numPr>
          <w:ilvl w:val="0"/>
          <w:numId w:val="1001"/>
        </w:numPr>
      </w:pPr>
      <w:r>
        <w:rPr>
          <w:i/>
          <w:iCs/>
        </w:rPr>
        <w:t xml:space="preserve">Retrieval</w:t>
      </w:r>
      <w:r>
        <w:t xml:space="preserve">: Future queries semantically match against this repository first, retrieving trusted human knowledge before attempting probabilistic generation.</w:t>
      </w:r>
    </w:p>
    <w:p>
      <w:pPr>
        <w:pStyle w:val="FirstParagraph"/>
      </w:pPr>
      <w:r>
        <w:t xml:space="preserve">The worked examples below show the artifacts this process produces.</w:t>
      </w:r>
    </w:p>
    <w:p>
      <w:r>
        <w:pict>
          <v:rect style="width:0;height:1.5pt" o:hralign="center" o:hrstd="t" o:hr="t"/>
        </w:pict>
      </w:r>
    </w:p>
    <w:bookmarkStart w:id="10" w:name="triple-1-diabetes-care-monitoring"/>
    <w:p>
      <w:pPr>
        <w:pStyle w:val="Heading3"/>
      </w:pPr>
      <w:r>
        <w:t xml:space="preserve">Triple 1: Diabetes Care Monitoring</w:t>
      </w:r>
    </w:p>
    <w:p>
      <w:pPr>
        <w:pStyle w:val="FirstParagraph"/>
      </w:pPr>
      <w:r>
        <w:rPr>
          <w:i/>
          <w:iCs/>
        </w:rPr>
        <w:t xml:space="preserve">Natural Language Intent:</w:t>
      </w:r>
      <w:r>
        <w:t xml:space="preserve"> </w:t>
      </w:r>
      <w:r>
        <w:t xml:space="preserve">“Show me all diabetic patients over 65 who had an HbA1c test in the last 6 months”</w:t>
      </w:r>
    </w:p>
    <w:p>
      <w:pPr>
        <w:pStyle w:val="BodyText"/>
      </w:pPr>
      <w:r>
        <w:rPr>
          <w:i/>
          <w:i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i/>
          <w:i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organizational coding convention. Six-month window matches the HEDIS reporting period.</w:t>
      </w:r>
    </w:p>
    <w:p>
      <w:r>
        <w:pict>
          <v:rect style="width:0;height:1.5pt" o:hralign="center" o:hrstd="t" o:hr="t"/>
        </w:pict>
      </w:r>
    </w:p>
    <w:bookmarkEnd w:id="10"/>
    <w:bookmarkStart w:id="11" w:name="X47ea3a2d2ba3aa21c6db0bd5679f45e3185d1f6"/>
    <w:p>
      <w:pPr>
        <w:pStyle w:val="Heading3"/>
      </w:pPr>
      <w:r>
        <w:t xml:space="preserve">Triple 2: Heart Failure Readmission Cohort</w:t>
      </w:r>
    </w:p>
    <w:p>
      <w:pPr>
        <w:pStyle w:val="FirstParagraph"/>
      </w:pPr>
      <w:r>
        <w:rPr>
          <w:i/>
          <w:i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i/>
          <w:i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i/>
          <w:i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our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1"/>
    <w:bookmarkStart w:id="12" w:name="triple-3-quality-metric-aggregation"/>
    <w:p>
      <w:pPr>
        <w:pStyle w:val="Heading3"/>
      </w:pPr>
      <w:r>
        <w:t xml:space="preserve">Triple 3: Quality Metric Aggregation</w:t>
      </w:r>
    </w:p>
    <w:p>
      <w:pPr>
        <w:pStyle w:val="FirstParagraph"/>
      </w:pPr>
      <w:r>
        <w:rPr>
          <w:i/>
          <w:iCs/>
        </w:rPr>
        <w:t xml:space="preserve">Natural Language Intent:</w:t>
      </w:r>
      <w:r>
        <w:t xml:space="preserve"> </w:t>
      </w:r>
      <w:r>
        <w:t xml:space="preserve">“How many patients were readmitted within 30 days of discharge for heart failure?”</w:t>
      </w:r>
    </w:p>
    <w:p>
      <w:pPr>
        <w:pStyle w:val="BodyText"/>
      </w:pPr>
      <w:r>
        <w:rPr>
          <w:i/>
          <w:i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i/>
          <w:i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2"/>
    <w:bookmarkEnd w:id="13"/>
    <w:bookmarkStart w:id="14"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4"/>
    <w:bookmarkStart w:id="15" w:name="references"/>
    <w:p>
      <w:pPr>
        <w:pStyle w:val="Heading2"/>
      </w:pPr>
      <w:r>
        <w:t xml:space="preserve">References</w:t>
      </w:r>
    </w:p>
    <w:p>
      <w:pPr>
        <w:pStyle w:val="Compact"/>
        <w:numPr>
          <w:ilvl w:val="0"/>
          <w:numId w:val="1002"/>
        </w:numPr>
      </w:pPr>
      <w:r>
        <w:t xml:space="preserve">National Committee for Quality Assurance (NCQA). HEDIS measures and technical resources. 2025. Available from: https://www.ncqa.org/hedis/</w:t>
      </w:r>
    </w:p>
    <w:p>
      <w:pPr>
        <w:pStyle w:val="Compact"/>
        <w:numPr>
          <w:ilvl w:val="0"/>
          <w:numId w:val="1002"/>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dc:title>
  <dc:creator>Samuel T Harrold, Yuimedi, Inc.</dc:creator>
  <dc:language>en-US</dc:language>
  <cp:keywords/>
  <dcterms:created xsi:type="dcterms:W3CDTF">2026-07-10T12:13:41Z</dcterms:created>
  <dcterms:modified xsi:type="dcterms:W3CDTF">2026-07-10T12:13:41Z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/Users/stharrold/Documents/GitHub/yuimedi-paper-20250901/references.bib</vt:lpwstr>
  </property>
  <property fmtid="{D5CDD505-2E9C-101B-9397-08002B2CF9AE}" pid="3" name="book">
    <vt:lpwstr>False</vt:lpwstr>
  </property>
  <property fmtid="{D5CDD505-2E9C-101B-9397-08002B2CF9AE}" pid="4" name="citecolor">
    <vt:lpwstr>green</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csl">
    <vt:lpwstr>/Users/stharrold/Documents/GitHub/yuimedi-paper-20250901/citation-style-ama.csl</vt:lpwstr>
  </property>
  <property fmtid="{D5CDD505-2E9C-101B-9397-08002B2CF9AE}" pid="10" name="date">
    <vt:lpwstr>July 2026</vt:lpwstr>
  </property>
  <property fmtid="{D5CDD505-2E9C-101B-9397-08002B2CF9AE}" pid="11" name="documentclass">
    <vt:lpwstr>article</vt:lpwstr>
  </property>
  <property fmtid="{D5CDD505-2E9C-101B-9397-08002B2CF9AE}" pid="12" name="fontsize">
    <vt:lpwstr>11pt</vt:lpwstr>
  </property>
  <property fmtid="{D5CDD505-2E9C-101B-9397-08002B2CF9AE}" pid="13" name="footer-center">
    <vt:lpwstr/>
  </property>
  <property fmtid="{D5CDD505-2E9C-101B-9397-08002B2CF9AE}" pid="14" name="footer-left">
    <vt:lpwstr/>
  </property>
  <property fmtid="{D5CDD505-2E9C-101B-9397-08002B2CF9AE}" pid="15" name="footer-right">
    <vt:lpwstr/>
  </property>
  <property fmtid="{D5CDD505-2E9C-101B-9397-08002B2CF9AE}" pid="16" name="geometry">
    <vt:lpwstr/>
  </property>
  <property fmtid="{D5CDD505-2E9C-101B-9397-08002B2CF9AE}" pid="17" name="header-includes">
    <vt:lpwstr/>
  </property>
  <property fmtid="{D5CDD505-2E9C-101B-9397-08002B2CF9AE}" pid="18" name="header-left">
    <vt:lpwstr>Healthcare Analytics Challenges</vt:lpwstr>
  </property>
  <property fmtid="{D5CDD505-2E9C-101B-9397-08002B2CF9AE}" pid="19" name="header-right">
    <vt:lpwstr>July 2026</vt:lpwstr>
  </property>
  <property fmtid="{D5CDD505-2E9C-101B-9397-08002B2CF9AE}" pid="20" name="linestretch">
    <vt:lpwstr>1.5</vt:lpwstr>
  </property>
  <property fmtid="{D5CDD505-2E9C-101B-9397-08002B2CF9AE}" pid="21" name="link-citations">
    <vt:lpwstr>True</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numbersections">
    <vt:lpwstr>False</vt:lpwstr>
  </property>
  <property fmtid="{D5CDD505-2E9C-101B-9397-08002B2CF9AE}" pid="26" name="orcid">
    <vt:lpwstr>https://orcid.org/0009-0008-4596-6921</vt:lpwstr>
  </property>
  <property fmtid="{D5CDD505-2E9C-101B-9397-08002B2CF9AE}" pid="27" name="papersize">
    <vt:lpwstr>letter</vt:lpwstr>
  </property>
  <property fmtid="{D5CDD505-2E9C-101B-9397-08002B2CF9AE}" pid="28" name="prevent-widows">
    <vt:lpwstr>True</vt:lpwstr>
  </property>
  <property fmtid="{D5CDD505-2E9C-101B-9397-08002B2CF9AE}" pid="29" name="suppress-bibliography">
    <vt:lpwstr>False</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False</vt:lpwstr>
  </property>
  <property fmtid="{D5CDD505-2E9C-101B-9397-08002B2CF9AE}" pid="36" name="urlcolor">
    <vt:lpwstr>blue</vt:lpwstr>
  </property>
</Properties>
</file>