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Date"/>
      </w:pPr>
      <w:r>
        <w:t xml:space="preserve">June 2026</w:t>
      </w:r>
    </w:p>
    <w:p>
      <w:pPr>
        <w:pStyle w:val="FirstParagraph"/>
      </w:pPr>
      <w:r>
        <w:t xml:space="preserve">Samuel T Harrold</w:t>
      </w:r>
      <w:r>
        <w:br/>
      </w:r>
      <w:r>
        <w:t xml:space="preserve">Yuimedi, Inc.</w:t>
      </w:r>
      <w:r>
        <w:br/>
      </w:r>
      <w:r>
        <w:t xml:space="preserve">samuel.harrold@yuimedi.com</w:t>
      </w:r>
    </w:p>
    <w:p>
      <w:pPr>
        <w:pStyle w:val="BodyText"/>
      </w:pPr>
      <w:r>
        <w:t xml:space="preserve">June 2026</w:t>
      </w:r>
    </w:p>
    <w:p>
      <w:pPr>
        <w:pStyle w:val="BodyText"/>
      </w:pPr>
      <w:r>
        <w:t xml:space="preserve">Dr. Matthew Balcarras</w:t>
      </w:r>
      <w:r>
        <w:br/>
      </w:r>
      <w:r>
        <w:t xml:space="preserve">Editor, Interactive Journal of Medical Research</w:t>
      </w:r>
      <w:r>
        <w:br/>
      </w:r>
      <w:r>
        <w:t xml:space="preserve">JMIR Publications</w:t>
      </w:r>
    </w:p>
    <w:p>
      <w:pPr>
        <w:pStyle w:val="BodyText"/>
      </w:pPr>
      <w:r>
        <w:t xml:space="preserve">RE: Revised Manuscript (R1) Resubmission: ms#96541, Decision D (major revision and re-review)</w:t>
      </w:r>
    </w:p>
    <w:p>
      <w:pPr>
        <w:pStyle w:val="BodyText"/>
      </w:pPr>
      <w:r>
        <w:t xml:space="preserve">Dear Dr. Balcarras,</w:t>
      </w:r>
    </w:p>
    <w:p>
      <w:pPr>
        <w:pStyle w:val="BodyText"/>
      </w:pPr>
      <w:r>
        <w:t xml:space="preserve">I am writing to resubmit the manuscript</w:t>
      </w:r>
      <w:r>
        <w:t xml:space="preserve"> </w:t>
      </w:r>
      <w:r>
        <w:t xml:space="preserve">“Healthcare Analytics Challenges: A Three-Pillar Framework Connecting Analytics Maturity, Workforce Agility, and Technical Enablement”</w:t>
      </w:r>
      <w:r>
        <w:t xml:space="preserve"> </w:t>
      </w:r>
      <w:r>
        <w:t xml:space="preserve">(ms#96541) as a</w:t>
      </w:r>
      <w:r>
        <w:t xml:space="preserve"> </w:t>
      </w:r>
      <w:r>
        <w:rPr>
          <w:i/>
          <w:iCs/>
        </w:rPr>
        <w:t xml:space="preserve">Viewpoint</w:t>
      </w:r>
      <w:r>
        <w:t xml:space="preserve"> </w:t>
      </w:r>
      <w:r>
        <w:t xml:space="preserve">article, revised in response to Decision D (major revision and re-review).</w:t>
      </w:r>
    </w:p>
    <w:bookmarkStart w:id="9" w:name="response-to-decision-d"/>
    <w:p>
      <w:pPr>
        <w:pStyle w:val="Heading2"/>
      </w:pPr>
      <w:r>
        <w:t xml:space="preserve">Response to Decision D</w:t>
      </w:r>
    </w:p>
    <w:p>
      <w:pPr>
        <w:pStyle w:val="FirstParagraph"/>
      </w:pPr>
      <w:r>
        <w:t xml:space="preserve">I am grateful to you and to the two external reviewers for the constructive and detailed assessment. The reviews materially strengthened the manuscript, and I have addressed every editorial and reviewer comment. A full point-by-point response accompanies this resubmission; the summary below highlights the principal changes.</w:t>
      </w:r>
    </w:p>
    <w:bookmarkEnd w:id="9"/>
    <w:bookmarkStart w:id="10" w:name="summary-of-revisions"/>
    <w:p>
      <w:pPr>
        <w:pStyle w:val="Heading2"/>
      </w:pPr>
      <w:r>
        <w:t xml:space="preserve">Summary of Revisions</w:t>
      </w:r>
    </w:p>
    <w:p>
      <w:pPr>
        <w:pStyle w:val="FirstParagraph"/>
      </w:pPr>
      <w:r>
        <w:rPr>
          <w:i/>
          <w:iCs/>
        </w:rPr>
        <w:t xml:space="preserve">Engagement with recent literature and evidence (Editor; Reviewer Q3):</w:t>
      </w:r>
    </w:p>
    <w:p>
      <w:pPr>
        <w:pStyle w:val="Compact"/>
        <w:numPr>
          <w:ilvl w:val="0"/>
          <w:numId w:val="1001"/>
        </w:numPr>
      </w:pPr>
      <w:r>
        <w:t xml:space="preserve">Added empirical evidence that human oversight measurably improves AI-generated analytics, including a prospective study in which human-verified large-language-model output exceeded a human-only workflow, and a text-to-SQL validation gate that improved semantic correctness.</w:t>
      </w:r>
    </w:p>
    <w:p>
      <w:pPr>
        <w:pStyle w:val="Compact"/>
        <w:numPr>
          <w:ilvl w:val="0"/>
          <w:numId w:val="1001"/>
        </w:numPr>
      </w:pPr>
      <w:r>
        <w:t xml:space="preserve">Added database query-log evidence on query reuse and diversity to address the scope and practicality of the framework.</w:t>
      </w:r>
    </w:p>
    <w:p>
      <w:pPr>
        <w:pStyle w:val="Compact"/>
        <w:numPr>
          <w:ilvl w:val="0"/>
          <w:numId w:val="1001"/>
        </w:numPr>
      </w:pPr>
      <w:r>
        <w:t xml:space="preserve">In total, 14 references spanning 1994-2026 were added, the majority from 2016-2026.</w:t>
      </w:r>
    </w:p>
    <w:p>
      <w:pPr>
        <w:pStyle w:val="FirstParagraph"/>
      </w:pPr>
      <w:r>
        <w:rPr>
          <w:i/>
          <w:iCs/>
        </w:rPr>
        <w:t xml:space="preserve">Conceptual clarity (Reviewer T1):</w:t>
      </w:r>
    </w:p>
    <w:p>
      <w:pPr>
        <w:pStyle w:val="Compact"/>
        <w:numPr>
          <w:ilvl w:val="0"/>
          <w:numId w:val="1002"/>
        </w:numPr>
      </w:pPr>
      <w:r>
        <w:t xml:space="preserve">Added explicit, cited definitions of the three title constructs (analytics maturity, workforce agility, and technical enablement) at the head of each evidence pillar, grounded in the established literature.</w:t>
      </w:r>
    </w:p>
    <w:p>
      <w:pPr>
        <w:pStyle w:val="FirstParagraph"/>
      </w:pPr>
      <w:r>
        <w:rPr>
          <w:i/>
          <w:iCs/>
        </w:rPr>
        <w:t xml:space="preserve">Methodological caveats (Reviewer Q1, Q4):</w:t>
      </w:r>
    </w:p>
    <w:p>
      <w:pPr>
        <w:pStyle w:val="Compact"/>
        <w:numPr>
          <w:ilvl w:val="0"/>
          <w:numId w:val="1003"/>
        </w:numPr>
      </w:pPr>
      <w:r>
        <w:t xml:space="preserve">Added a self-selection-bias caveat to the analytics-maturity evidence, grounded in the organizational-survey methodology literature.</w:t>
      </w:r>
    </w:p>
    <w:p>
      <w:pPr>
        <w:pStyle w:val="Compact"/>
        <w:numPr>
          <w:ilvl w:val="0"/>
          <w:numId w:val="1003"/>
        </w:numPr>
      </w:pPr>
      <w:r>
        <w:t xml:space="preserve">Added a Limitations paragraph acknowledging that the framework complements, rather than replaces, investment in workforce training and analytics literacy.</w:t>
      </w:r>
    </w:p>
    <w:p>
      <w:pPr>
        <w:pStyle w:val="FirstParagraph"/>
      </w:pPr>
      <w:r>
        <w:rPr>
          <w:i/>
          <w:iCs/>
        </w:rPr>
        <w:t xml:space="preserve">Currency and consolidation (Reviewer Q6; Reviewer T2, T4):</w:t>
      </w:r>
    </w:p>
    <w:p>
      <w:pPr>
        <w:pStyle w:val="Compact"/>
        <w:numPr>
          <w:ilvl w:val="0"/>
          <w:numId w:val="1004"/>
        </w:numPr>
      </w:pPr>
      <w:r>
        <w:t xml:space="preserve">Replaced aging workforce statistics with contemporary (2021-2025) evidence; the single remaining two-decade-old reference is now framed explicitly as a historical benchmark.</w:t>
      </w:r>
    </w:p>
    <w:p>
      <w:pPr>
        <w:pStyle w:val="Compact"/>
        <w:numPr>
          <w:ilvl w:val="0"/>
          <w:numId w:val="1004"/>
        </w:numPr>
      </w:pPr>
      <w:r>
        <w:t xml:space="preserve">Consolidated duplicated turnover statistics to a single mention.</w:t>
      </w:r>
    </w:p>
    <w:p>
      <w:pPr>
        <w:pStyle w:val="FirstParagraph"/>
      </w:pPr>
      <w:r>
        <w:rPr>
          <w:i/>
          <w:iCs/>
        </w:rPr>
        <w:t xml:space="preserve">Figure revision (Reviewer T3):</w:t>
      </w:r>
    </w:p>
    <w:p>
      <w:pPr>
        <w:pStyle w:val="Compact"/>
        <w:numPr>
          <w:ilvl w:val="0"/>
          <w:numId w:val="1005"/>
        </w:numPr>
      </w:pPr>
      <w:r>
        <w:t xml:space="preserve">Revised Figure 1 to add a feedback edge from Organizational Memory to the Knowledge Base, depicting continuous learning rather than a static knowledge base.</w:t>
      </w:r>
    </w:p>
    <w:p>
      <w:pPr>
        <w:pStyle w:val="FirstParagraph"/>
      </w:pPr>
      <w:r>
        <w:rPr>
          <w:i/>
          <w:iCs/>
        </w:rPr>
        <w:t xml:space="preserve">Formatting and compliance (Editor):</w:t>
      </w:r>
    </w:p>
    <w:p>
      <w:pPr>
        <w:pStyle w:val="Compact"/>
        <w:numPr>
          <w:ilvl w:val="0"/>
          <w:numId w:val="1006"/>
        </w:numPr>
      </w:pPr>
      <w:r>
        <w:t xml:space="preserve">Converted all in-text citations to numbered square brackets.</w:t>
      </w:r>
    </w:p>
    <w:p>
      <w:pPr>
        <w:pStyle w:val="Compact"/>
        <w:numPr>
          <w:ilvl w:val="0"/>
          <w:numId w:val="1006"/>
        </w:numPr>
      </w:pPr>
      <w:r>
        <w:t xml:space="preserve">Removed heading numbering and the italic sub-table titles that stood in place of subheadings.</w:t>
      </w:r>
    </w:p>
    <w:p>
      <w:pPr>
        <w:pStyle w:val="Compact"/>
        <w:numPr>
          <w:ilvl w:val="0"/>
          <w:numId w:val="1006"/>
        </w:numPr>
      </w:pPr>
      <w:r>
        <w:t xml:space="preserve">Added a Funding statement distinct from the Acknowledgments, and a generative-AI disclosure within the manuscript.</w:t>
      </w:r>
    </w:p>
    <w:p>
      <w:pPr>
        <w:pStyle w:val="Compact"/>
        <w:numPr>
          <w:ilvl w:val="0"/>
          <w:numId w:val="1006"/>
        </w:numPr>
      </w:pPr>
      <w:r>
        <w:t xml:space="preserve">Completed all reference details (volume, issue, pages, DOI) and the Abbreviations list, with acronyms defined at first use.</w:t>
      </w:r>
    </w:p>
    <w:p>
      <w:pPr>
        <w:pStyle w:val="FirstParagraph"/>
      </w:pPr>
      <w:r>
        <w:t xml:space="preserve">The revised manuscript remains a</w:t>
      </w:r>
      <w:r>
        <w:t xml:space="preserve"> </w:t>
      </w:r>
      <w:r>
        <w:rPr>
          <w:i/>
          <w:iCs/>
        </w:rPr>
        <w:t xml:space="preserve">Viewpoint</w:t>
      </w:r>
      <w:r>
        <w:t xml:space="preserve"> </w:t>
      </w:r>
      <w:r>
        <w:t xml:space="preserve">of 4,532 body words (within the 5,000-word limit) with an unstructured abstract of 304 words.</w:t>
      </w:r>
    </w:p>
    <w:bookmarkEnd w:id="10"/>
    <w:bookmarkStart w:id="11" w:name="article-type"/>
    <w:p>
      <w:pPr>
        <w:pStyle w:val="Heading2"/>
      </w:pPr>
      <w:r>
        <w:t xml:space="preserve">Article Type</w:t>
      </w:r>
    </w:p>
    <w:p>
      <w:pPr>
        <w:pStyle w:val="FirstParagraph"/>
      </w:pPr>
      <w:r>
        <w:t xml:space="preserve">This submission is a</w:t>
      </w:r>
      <w:r>
        <w:t xml:space="preserve"> </w:t>
      </w:r>
      <w:r>
        <w:rPr>
          <w:i/>
          <w:iCs/>
        </w:rPr>
        <w:t xml:space="preserve">Viewpoint</w:t>
      </w:r>
      <w:r>
        <w:t xml:space="preserve"> </w:t>
      </w:r>
      <w:r>
        <w:t xml:space="preserve">article: an evidence-based scholarly perspective on mitigating institutional amnesia in healthcare analytics, grounded in peer-reviewed literature and knowledge management theory. As the Viewpoint article type does not permit IMRD section headings, descriptive thematic headers are used throughout, as detailed in the point-by-point response.</w:t>
      </w:r>
    </w:p>
    <w:p>
      <w:pPr>
        <w:pStyle w:val="BodyText"/>
      </w:pPr>
      <w:r>
        <w:t xml:space="preserve">Thank you for your continued consideration.</w:t>
      </w:r>
    </w:p>
    <w:p>
      <w:pPr>
        <w:pStyle w:val="BodyText"/>
      </w:pPr>
      <w:r>
        <w:t xml:space="preserve">Respectfully,</w:t>
      </w:r>
    </w:p>
    <w:p>
      <w:pPr>
        <w:pStyle w:val="BodyText"/>
      </w:pPr>
      <w:r>
        <w:t xml:space="preserve">Samuel T Harrold</w:t>
      </w:r>
      <w:r>
        <w:t xml:space="preserve"> </w:t>
      </w:r>
      <w:r>
        <w:t xml:space="preserve">Yuimedi, Inc.</w:t>
      </w:r>
      <w:r>
        <w:t xml:space="preserve"> </w:t>
      </w:r>
      <w:r>
        <w:t xml:space="preserve">samuel.harrold@yuimedi.com</w:t>
      </w:r>
    </w:p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/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cstheme="minorBidi" w:eastAsiaTheme="minorEastAsia" w:hAnsi="Times New Roman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pPr>
      <w:spacing w:after="0" w:line="480" w:lineRule="auto"/>
    </w:pPr>
    <w:name w:val="Normal"/>
    <w:qFormat/>
    <w:rPr>
      <w:rFonts w:ascii="Times New Roman" w:hAnsi="Times New Roman"/>
      <w:sz w:val="24"/>
      <w:szCs w:val="24"/>
    </w:r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Times New Roman" w:cstheme="majorBidi" w:eastAsiaTheme="majorEastAsia" w:hAnsi="Times New Roman"/>
      <w:sz w:val="28"/>
      <w:szCs w:val="28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="Times New Roman" w:cstheme="majorBidi" w:eastAsiaTheme="majorEastAsia" w:hAnsi="Times New Roman"/>
      <w:sz w:val="28"/>
      <w:szCs w:val="28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ascii="Times New Roman" w:cstheme="majorBidi" w:eastAsiaTheme="majorEastAsia" w:hAnsi="Times New Roman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ascii="Times New Roman" w:cstheme="majorBidi" w:eastAsiaTheme="majorEastAsia" w:hAnsi="Times New Roman"/>
      <w:color w:themeTint="A6" w:val="000000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="Times New Roman" w:cstheme="majorBidi" w:eastAsiaTheme="majorEastAsia" w:hAnsi="Times New Roman"/>
      <w:color w:val="000000"/>
      <w:sz w:val="28"/>
      <w:szCs w:val="28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="Times New Roman" w:cstheme="majorBidi" w:eastAsiaTheme="majorEastAsia" w:hAnsi="Times New Roman"/>
      <w:color w:val="000000"/>
      <w:sz w:val="26"/>
      <w:szCs w:val="26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ascii="Times New Roman" w:cstheme="majorBidi" w:eastAsiaTheme="majorEastAsia" w:hAnsi="Times New Roman"/>
      <w:color w:val="000000"/>
      <w:sz w:val="24"/>
      <w:szCs w:val="24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ascii="Times New Roman" w:cstheme="majorBidi" w:eastAsiaTheme="majorEastAsia" w:hAnsi="Times New Roman"/>
      <w:i/>
      <w:iCs/>
      <w:color w:val="000000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ascii="Times New Roman" w:cstheme="majorBidi" w:eastAsiaTheme="majorEastAsia" w:hAnsi="Times New Roman"/>
      <w:color w:val="000000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ascii="Times New Roman" w:cstheme="majorBidi" w:eastAsiaTheme="majorEastAsia" w:hAnsi="Times New Roman"/>
      <w:i/>
      <w:iCs/>
      <w:color w:themeTint="A6" w:val="000000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ascii="Times New Roman" w:cstheme="majorBidi" w:eastAsiaTheme="majorEastAsia" w:hAnsi="Times New Roman"/>
      <w:color w:themeTint="A6" w:val="000000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ascii="Times New Roman" w:cstheme="majorBidi" w:eastAsiaTheme="majorEastAsia" w:hAnsi="Times New Roman"/>
      <w:i/>
      <w:iCs/>
      <w:color w:themeTint="D8" w:val="000000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ascii="Times New Roman" w:cstheme="majorBidi" w:eastAsiaTheme="majorEastAsia" w:hAnsi="Times New Roman"/>
      <w:color w:themeTint="D8" w:val="000000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="Times New Roman" w:cstheme="majorBidi" w:eastAsiaTheme="majorEastAsia" w:hAnsi="Times New Roman"/>
      <w:color w:val="000000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="Times New Roman" w:cstheme="majorBidi" w:eastAsiaTheme="majorEastAsia" w:hAnsi="Times New Roman"/>
      <w:color w:val="000000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ascii="Times New Roman" w:cstheme="majorBidi" w:eastAsiaTheme="majorEastAsia" w:hAnsi="Times New Roman"/>
      <w:color w:val="000000"/>
      <w:sz w:val="24"/>
      <w:szCs w:val="24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ascii="Times New Roman" w:cstheme="majorBidi" w:eastAsiaTheme="majorEastAsia" w:hAnsi="Times New Roman"/>
      <w:i/>
      <w:iCs/>
      <w:color w:val="000000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ascii="Times New Roman" w:cstheme="majorBidi" w:eastAsiaTheme="majorEastAsia" w:hAnsi="Times New Roman"/>
      <w:color w:val="00000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ascii="Times New Roman" w:cstheme="majorBidi" w:eastAsiaTheme="majorEastAsia" w:hAnsi="Times New Roman"/>
      <w:i/>
      <w:iCs/>
      <w:color w:themeTint="A6" w:val="00000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ascii="Times New Roman" w:cstheme="majorBidi" w:eastAsiaTheme="majorEastAsia" w:hAnsi="Times New Roman"/>
      <w:color w:themeTint="A6" w:val="00000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ascii="Times New Roman" w:cstheme="majorBidi" w:eastAsiaTheme="majorEastAsia" w:hAnsi="Times New Roman"/>
      <w:i/>
      <w:iCs/>
      <w:color w:themeTint="D8" w:val="00000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ascii="Times New Roman" w:cstheme="majorBidi" w:eastAsiaTheme="majorEastAsia" w:hAnsi="Times New Roman"/>
      <w:color w:themeTint="D8" w:val="000000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Times New Roman" w:hAnsi="Times New Roman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val="000000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Times New Roman" w:cstheme="majorBidi" w:eastAsiaTheme="majorEastAsia" w:hAnsi="Times New Roman"/>
      <w:b w:val="0"/>
      <w:bCs w:val="0"/>
      <w:color w:val="000000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subject>Revised Manuscript (R1) Resubmission: ms#96541, Decision D (major revision)</dc:subject>
  <cp:keywords/>
  <dcterms:created xsi:type="dcterms:W3CDTF">2026-06-15T14:46:12Z</dcterms:created>
  <dcterms:modified xsi:type="dcterms:W3CDTF">2026-06-15T14:46:12Z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June 2026</vt:lpwstr>
  </property>
  <property fmtid="{D5CDD505-2E9C-101B-9397-08002B2CF9AE}" pid="3" name="from">
    <vt:lpwstr>Samuel T Harrold, Yuimedi, Inc.</vt:lpwstr>
  </property>
  <property fmtid="{D5CDD505-2E9C-101B-9397-08002B2CF9AE}" pid="4" name="to">
    <vt:lpwstr>Dr. Matthew Balcarras, Editor, Interactive Journal of Medical Research</vt:lpwstr>
  </property>
</Properties>
</file>