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IT</w:t>
      </w:r>
      <w:r>
        <w:t xml:space="preserve"> </w:t>
      </w:r>
      <w:r>
        <w:t xml:space="preserve">staff</w:t>
      </w:r>
      <w:r>
        <w:t xml:space="preserve"> </w:t>
      </w:r>
      <w:r>
        <w:t xml:space="preserve">turnover</w:t>
      </w:r>
      <w:r>
        <w:t xml:space="preserve"> </w:t>
      </w:r>
      <w:r>
        <w:t xml:space="preserve">of</w:t>
      </w:r>
      <w:r>
        <w:t xml:space="preserve"> </w:t>
      </w:r>
      <w:r>
        <w:t xml:space="preserve">~34%</w:t>
      </w:r>
      <w:r>
        <w:t xml:space="preserve"> </w:t>
      </w:r>
      <w:r>
        <w:t xml:space="preserve">(as</w:t>
      </w:r>
      <w:r>
        <w:t xml:space="preserve"> </w:t>
      </w:r>
      <w:r>
        <w:t xml:space="preserve">of</w:t>
      </w:r>
      <w:r>
        <w:t xml:space="preserve"> </w:t>
      </w:r>
      <w:r>
        <w:t xml:space="preserve">2004),</w:t>
      </w:r>
      <w:r>
        <w:t xml:space="preserve"> </w:t>
      </w:r>
      <w:r>
        <w:t xml:space="preserve">the</w:t>
      </w:r>
      <w:r>
        <w:t xml:space="preserve"> </w:t>
      </w:r>
      <w:r>
        <w:t xml:space="preserve">highest</w:t>
      </w:r>
      <w:r>
        <w:t xml:space="preserve"> </w:t>
      </w:r>
      <w:r>
        <w:t xml:space="preserve">among</w:t>
      </w:r>
      <w:r>
        <w:t xml:space="preserve"> </w:t>
      </w:r>
      <w:r>
        <w:t xml:space="preserve">IT</w:t>
      </w:r>
      <w:r>
        <w:t xml:space="preserve"> </w:t>
      </w:r>
      <w:r>
        <w:t xml:space="preserve">sectors</w:t>
      </w:r>
      <w:r>
        <w:t xml:space="preserve"> </w:t>
      </w:r>
      <w:r>
        <w:t xml:space="preserve">at</w:t>
      </w:r>
      <w:r>
        <w:t xml:space="preserve"> </w:t>
      </w:r>
      <w:r>
        <w:t xml:space="preserve">that</w:t>
      </w:r>
      <w:r>
        <w:t xml:space="preserve"> </w:t>
      </w:r>
      <w:r>
        <w:t xml:space="preserve">time,</w:t>
      </w:r>
      <w:r>
        <w:t xml:space="preserve"> </w:t>
      </w:r>
      <w:r>
        <w:t xml:space="preserve">creates</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demonstrate</w:t>
      </w:r>
      <w:r>
        <w:t xml:space="preserve"> </w:t>
      </w:r>
      <w:r>
        <w:t xml:space="preserve">significant</w:t>
      </w:r>
      <w:r>
        <w:t xml:space="preserve"> </w:t>
      </w:r>
      <w:r>
        <w:t xml:space="preserve">efficiency</w:t>
      </w:r>
      <w:r>
        <w:t xml:space="preserve"> </w:t>
      </w:r>
      <w:r>
        <w:t xml:space="preserve">gains</w:t>
      </w:r>
      <w:r>
        <w:t xml:space="preserve"> </w:t>
      </w:r>
      <w:r>
        <w:t xml:space="preserve">and</w:t>
      </w:r>
      <w:r>
        <w:t xml:space="preserve"> </w:t>
      </w:r>
      <w:r>
        <w:t xml:space="preserve">cost</w:t>
      </w:r>
      <w:r>
        <w:t xml:space="preserve"> </w:t>
      </w:r>
      <w:r>
        <w:t xml:space="preserve">savings.</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conditions</w:t>
      </w:r>
      <w:r>
        <w:t xml:space="preserve"> </w:t>
      </w:r>
      <w:r>
        <w:t xml:space="preserve">warranting</w:t>
      </w:r>
      <w:r>
        <w:t xml:space="preserve"> </w:t>
      </w:r>
      <w:r>
        <w:t xml:space="preserve">organizational</w:t>
      </w:r>
      <w:r>
        <w:t xml:space="preserve"> </w:t>
      </w:r>
      <w:r>
        <w:t xml:space="preserve">assessment</w:t>
      </w:r>
      <w:r>
        <w:t xml:space="preserve"> </w:t>
      </w:r>
      <w:r>
        <w:t xml:space="preserve">of</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r>
        <w:t xml:space="preserve"> </w:t>
      </w:r>
      <w:r>
        <w:t xml:space="preserve">This</w:t>
      </w:r>
      <w:r>
        <w:t xml:space="preserve"> </w:t>
      </w:r>
      <w:r>
        <w:t xml:space="preserve">paper</w:t>
      </w:r>
      <w:r>
        <w:t xml:space="preserve"> </w:t>
      </w:r>
      <w:r>
        <w:t xml:space="preserve">contributes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technical</w:t>
      </w:r>
      <w:r>
        <w:t xml:space="preserve"> </w:t>
      </w:r>
      <w:r>
        <w:t xml:space="preserve">barriers)</w:t>
      </w:r>
      <w:r>
        <w:t xml:space="preserve"> </w:t>
      </w:r>
      <w:r>
        <w:t xml:space="preserve">and</w:t>
      </w:r>
      <w:r>
        <w:t xml:space="preserve"> </w:t>
      </w:r>
      <w:r>
        <w:t xml:space="preserve">positions</w:t>
      </w:r>
      <w:r>
        <w:t xml:space="preserve"> </w:t>
      </w:r>
      <w:r>
        <w:t xml:space="preserve">healthcare</w:t>
      </w:r>
      <w:r>
        <w:t xml:space="preserve"> </w:t>
      </w:r>
      <w:r>
        <w:t xml:space="preserve">conversational</w:t>
      </w:r>
      <w:r>
        <w:t xml:space="preserve"> </w:t>
      </w:r>
      <w:r>
        <w:t xml:space="preserve">AI</w:t>
      </w:r>
      <w:r>
        <w:t xml:space="preserve"> </w:t>
      </w:r>
      <w:r>
        <w:t xml:space="preserve">as</w:t>
      </w:r>
      <w:r>
        <w:t xml:space="preserve"> </w:t>
      </w:r>
      <w:r>
        <w:t xml:space="preserve">a</w:t>
      </w:r>
      <w:r>
        <w:t xml:space="preserve"> </w:t>
      </w:r>
      <w:r>
        <w:t xml:space="preserve">knowledge</w:t>
      </w:r>
      <w:r>
        <w:t xml:space="preserve"> </w:t>
      </w:r>
      <w:r>
        <w:t xml:space="preserve">portal</w:t>
      </w:r>
      <w:r>
        <w:t xml:space="preserve"> </w:t>
      </w:r>
      <w:r>
        <w:t xml:space="preserve">architecture</w:t>
      </w:r>
      <w:r>
        <w:t xml:space="preserve"> </w:t>
      </w:r>
      <w:r>
        <w:t xml:space="preserve">for</w:t>
      </w:r>
      <w:r>
        <w:t xml:space="preserve"> </w:t>
      </w:r>
      <w:r>
        <w:t xml:space="preserve">institutional</w:t>
      </w:r>
      <w:r>
        <w:t xml:space="preserve"> </w:t>
      </w:r>
      <w:r>
        <w:t xml:space="preserve">memory</w:t>
      </w:r>
      <w:r>
        <w:t xml:space="preserve"> </w:t>
      </w:r>
      <w:r>
        <w:t xml:space="preserve">preservation.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background"/>
    <w:p>
      <w:pPr>
        <w:pStyle w:val="Heading2"/>
      </w:pPr>
      <w:r>
        <w:rPr>
          <w:rStyle w:val="SectionNumber"/>
        </w:rPr>
        <w:t xml:space="preserve">1.1</w:t>
      </w:r>
      <w:r>
        <w:tab/>
      </w:r>
      <w:r>
        <w:t xml:space="preserve">Background</w:t>
      </w:r>
    </w:p>
    <w:p>
      <w:pPr>
        <w:pStyle w:val="FirstParagraph"/>
      </w:pPr>
      <w:r>
        <w:t xml:space="preserve">Healthcare analytics has emerged as a critical capability for improving patient outcomes, reducing costs, and enhancing operational efficiency. While healthcare organizations must balance cost management, regulatory compliance, and operational efficiency, these concerns serve a primary institutional imperative: delivering high-quality patient care. Analytics initiatives that fail to advance this core mission, or worse, that divert resources and attention without improving care delivery, represent a misalignment with healthcare’s fundamental purpose.</w:t>
      </w:r>
    </w:p>
    <w:p>
      <w:pPr>
        <w:pStyle w:val="BodyText"/>
      </w:pPr>
      <w:r>
        <w:t xml:space="preserve">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 [I11].</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 [I1].</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 2004 study found healthcare IT staff turnover of 34% [A10], the highest rate among all IT organization types studied at that time, creating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0"/>
    <w:bookmarkStart w:id="24" w:name="problem-statement"/>
    <w:p>
      <w:pPr>
        <w:pStyle w:val="Heading2"/>
      </w:pPr>
      <w:r>
        <w:rPr>
          <w:rStyle w:val="SectionNumber"/>
        </w:rPr>
        <w:t xml:space="preserve">1.2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1" w:name="low-healthcare-analytics-maturity"/>
    <w:p>
      <w:pPr>
        <w:pStyle w:val="Heading3"/>
      </w:pPr>
      <w:r>
        <w:rPr>
          <w:rStyle w:val="SectionNumber"/>
        </w:rPr>
        <w:t xml:space="preserve">1.2.1</w:t>
      </w:r>
      <w:r>
        <w:tab/>
      </w:r>
      <w:r>
        <w:t xml:space="preserve">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[I1]. This low maturity severely constrains evidence-based decision making and operational optimization.</w:t>
      </w:r>
    </w:p>
    <w:bookmarkEnd w:id="21"/>
    <w:bookmarkStart w:id="22" w:name="technical-barriers-to-data-access"/>
    <w:p>
      <w:pPr>
        <w:pStyle w:val="Heading3"/>
      </w:pPr>
      <w:r>
        <w:rPr>
          <w:rStyle w:val="SectionNumber"/>
        </w:rPr>
        <w:t xml:space="preserve">1.2.2</w:t>
      </w:r>
      <w:r>
        <w:tab/>
      </w:r>
      <w:r>
        <w:t xml:space="preserve">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often do not possess nor have time to develop. This creates a fundamental disconnect between those who understand the clinical questions and those who can access the data to answer them [A14], [A15], [A16]. Drawing on principles from code modernization, AI-assisted interfaces can bridge this gap by transforming legacy technical requirements into natural language interactions [I8].</w:t>
      </w:r>
    </w:p>
    <w:bookmarkEnd w:id="22"/>
    <w:bookmarkStart w:id="23" w:name="Xbcc4dadd7fefc7631b0e8a8a9c4816ce0327f63"/>
    <w:p>
      <w:pPr>
        <w:pStyle w:val="Heading3"/>
      </w:pPr>
      <w:r>
        <w:rPr>
          <w:rStyle w:val="SectionNumber"/>
        </w:rPr>
        <w:t xml:space="preserve">1.2.3</w:t>
      </w:r>
      <w:r>
        <w:tab/>
      </w:r>
      <w:r>
        <w:t xml:space="preserve">Institutional Memory Loss from Workforce Turnover</w:t>
      </w:r>
    </w:p>
    <w:p>
      <w:pPr>
        <w:pStyle w:val="FirstParagraph"/>
      </w:pPr>
      <w:r>
        <w:t xml:space="preserve">A 2004 study found healthcare IT staff experienced the highest turnover among IT sectors at 34% annually (calculated as 1/2.9 years average tenure), with average tenure of only 2.9 years, the lowest among IT sectors studied at that time [A10]. This creates significant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implications are measurable in operational terms and potentially in patient care quality. Organizations continue investing in analytics infrastructure while struggling to realize value from their data assets. Analytics maturity gaps may lead to suboptimal clinical decisions that affect patient outcomes. Workforce turnover causes loss of institutional knowledge relevant to care continuity. Technical barriers prevent clinical staff from answering care-focused questions with data. These three interconnected challenges represent operational inefficiencies with potential implications for healthcare delivery.</w:t>
      </w:r>
    </w:p>
    <w:bookmarkEnd w:id="23"/>
    <w:bookmarkEnd w:id="24"/>
    <w:bookmarkStart w:id="28" w:name="objectives"/>
    <w:p>
      <w:pPr>
        <w:pStyle w:val="Heading2"/>
      </w:pPr>
      <w:r>
        <w:rPr>
          <w:rStyle w:val="SectionNumber"/>
        </w:rPr>
        <w:t xml:space="preserve">1.3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5" w:name="primary-objective"/>
    <w:p>
      <w:pPr>
        <w:pStyle w:val="Heading3"/>
      </w:pPr>
      <w:r>
        <w:rPr>
          <w:rStyle w:val="SectionNumber"/>
        </w:rPr>
        <w:t xml:space="preserve">1.3.1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5"/>
    <w:bookmarkStart w:id="26" w:name="secondary-objectives"/>
    <w:p>
      <w:pPr>
        <w:pStyle w:val="Heading3"/>
      </w:pPr>
      <w:r>
        <w:rPr>
          <w:rStyle w:val="SectionNumber"/>
        </w:rPr>
        <w:t xml:space="preserve">1.3.2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6"/>
    <w:bookmarkStart w:id="27" w:name="non-goals"/>
    <w:p>
      <w:pPr>
        <w:pStyle w:val="Heading3"/>
      </w:pPr>
      <w:r>
        <w:rPr>
          <w:rStyle w:val="SectionNumber"/>
        </w:rPr>
        <w:t xml:space="preserve">1.3.3</w:t>
      </w:r>
      <w:r>
        <w:tab/>
      </w:r>
      <w:r>
        <w:t xml:space="preserve">Non-Goals</w:t>
      </w:r>
    </w:p>
    <w:p>
      <w:pPr>
        <w:pStyle w:val="FirstParagraph"/>
      </w:pPr>
      <w:r>
        <w:t xml:space="preserve">This research explicitly does not address:</w:t>
      </w:r>
    </w:p>
    <w:p>
      <w:pPr>
        <w:pStyle w:val="Compact"/>
        <w:numPr>
          <w:ilvl w:val="0"/>
          <w:numId w:val="1002"/>
        </w:numPr>
      </w:pPr>
      <w:r>
        <w:t xml:space="preserve">Specific vendor comparisons or product recommendations</w:t>
      </w:r>
    </w:p>
    <w:p>
      <w:pPr>
        <w:pStyle w:val="Compact"/>
        <w:numPr>
          <w:ilvl w:val="0"/>
          <w:numId w:val="1002"/>
        </w:numPr>
      </w:pPr>
      <w:r>
        <w:t xml:space="preserve">Implementation details for particular healthcare IT environments</w:t>
      </w:r>
    </w:p>
    <w:p>
      <w:pPr>
        <w:pStyle w:val="Compact"/>
        <w:numPr>
          <w:ilvl w:val="0"/>
          <w:numId w:val="1002"/>
        </w:numPr>
      </w:pPr>
      <w:r>
        <w:t xml:space="preserve">Regulatory compliance strategies for specific jurisdictions</w:t>
      </w:r>
    </w:p>
    <w:p>
      <w:pPr>
        <w:pStyle w:val="Compact"/>
        <w:numPr>
          <w:ilvl w:val="0"/>
          <w:numId w:val="1002"/>
        </w:numPr>
      </w:pPr>
      <w:r>
        <w:t xml:space="preserve">Technical architecture specifications for conversational AI systems</w:t>
      </w:r>
    </w:p>
    <w:p>
      <w:pPr>
        <w:pStyle w:val="FirstParagraph"/>
      </w:pPr>
      <w:r>
        <w:t xml:space="preserve">Note: Analysis of market dynamics and structural factors explaining why institution-specific analytics challenges persist is within scope. This market-level analysis provides necessary context for evaluating solution approaches and differs from product comparison, which would evaluate specific vendor offerings against each other or recommend particular products.</w:t>
      </w:r>
    </w:p>
    <w:bookmarkEnd w:id="27"/>
    <w:bookmarkEnd w:id="28"/>
    <w:bookmarkStart w:id="29" w:name="contributions"/>
    <w:p>
      <w:pPr>
        <w:pStyle w:val="Heading2"/>
      </w:pPr>
      <w:r>
        <w:rPr>
          <w:rStyle w:val="SectionNumber"/>
        </w:rPr>
        <w:t xml:space="preserve">1.4</w:t>
      </w:r>
      <w:r>
        <w:tab/>
      </w:r>
      <w:r>
        <w:t xml:space="preserve">Contributions</w:t>
      </w:r>
    </w:p>
    <w:p>
      <w:pPr>
        <w:pStyle w:val="FirstParagraph"/>
      </w:pPr>
      <w:r>
        <w:t xml:space="preserve">This paper makes three contributions to the healthcare informatics literature:</w:t>
      </w:r>
    </w:p>
    <w:p>
      <w:pPr>
        <w:numPr>
          <w:ilvl w:val="0"/>
          <w:numId w:val="1003"/>
        </w:numPr>
      </w:pPr>
      <w:r>
        <w:rPr>
          <w:b/>
          <w:bCs/>
        </w:rPr>
        <w:t xml:space="preserve">Three-Pillar Analytical Framework</w:t>
      </w:r>
      <w:r>
        <w:t xml:space="preserve">: We synthesize evidence from three previously disconnected research domains (healthcare analytics maturity, workforce turnover, and natural language processing) into a unified analytical framework that reveals how these challenges interconnect and compound each other.</w:t>
      </w:r>
    </w:p>
    <w:p>
      <w:pPr>
        <w:numPr>
          <w:ilvl w:val="0"/>
          <w:numId w:val="1003"/>
        </w:numPr>
      </w:pPr>
      <w:r>
        <w:rPr>
          <w:b/>
          <w:bCs/>
        </w:rPr>
        <w:t xml:space="preserve">Healthcare Knowledge Portal Architecture</w:t>
      </w:r>
      <w:r>
        <w:t xml:space="preserve">: Drawing on established knowledge management literature [A25, A26], we position conversational AI platforms as healthcare knowledge portals, which are systems that provide mechanisms for knowledge acquisition, storage, sharing, and utilization. This framing addresses the institutional memory crisis in healthcare by embedding organizational expertise within AI systems rather than relying on individual staff retention.</w:t>
      </w:r>
    </w:p>
    <w:p>
      <w:pPr>
        <w:numPr>
          <w:ilvl w:val="0"/>
          <w:numId w:val="1003"/>
        </w:numPr>
      </w:pPr>
      <w:r>
        <w:rPr>
          <w:b/>
          <w:bCs/>
        </w:rPr>
        <w:t xml:space="preserve">Convergence Thesis</w:t>
      </w:r>
      <w:r>
        <w:t xml:space="preserve">: We demonstrate that the simultaneous occurrence of technical advances in NL2SQL, low analytics maturity, and high workforce turnover creates conditions warranting organizational assessment. This convergence positions conversational AI as a potential mechanism for institutional knowledge preservation, though implementation decisions require organization-specific evaluation.</w:t>
      </w:r>
    </w:p>
    <w:bookmarkEnd w:id="29"/>
    <w:bookmarkStart w:id="30" w:name="document-structure"/>
    <w:p>
      <w:pPr>
        <w:pStyle w:val="Heading2"/>
      </w:pPr>
      <w:r>
        <w:rPr>
          <w:rStyle w:val="SectionNumber"/>
        </w:rPr>
        <w:t xml:space="preserve">1.5</w:t>
      </w:r>
      <w:r>
        <w:tab/>
      </w:r>
      <w:r>
        <w:t xml:space="preserve">Document Structure</w:t>
      </w:r>
    </w:p>
    <w:p>
      <w:pPr>
        <w:pStyle w:val="FirstParagraph"/>
      </w:pPr>
      <w:r>
        <w:t xml:space="preserve">Following this introduction, the paper proceeds through four main sections. The Methodology section describes the narrative review approach, literature search strategy, and source selection criteria. The Literature Review synthesizes evidence across the three challenge domains, establishing the current state of natural language processing in healthcare, analytics maturity research, and workforce turnover impacts.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three interconnected domains: healthcare analytics maturity, workforce turnover, and natural language to SQL technologies.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4"/>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4"/>
        </w:numPr>
      </w:pPr>
      <w:r>
        <w:rPr>
          <w:b/>
          <w:bCs/>
        </w:rPr>
        <w:t xml:space="preserve">Original analytical framework</w:t>
      </w:r>
      <w:r>
        <w:t xml:space="preserve">: The three-pillar framework emerged iteratively from the literature rather than being pre-specified</w:t>
      </w:r>
    </w:p>
    <w:p>
      <w:pPr>
        <w:pStyle w:val="Compact"/>
        <w:numPr>
          <w:ilvl w:val="0"/>
          <w:numId w:val="1004"/>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literature-search"/>
    <w:p>
      <w:pPr>
        <w:pStyle w:val="Heading2"/>
      </w:pPr>
      <w:r>
        <w:rPr>
          <w:rStyle w:val="SectionNumber"/>
        </w:rPr>
        <w:t xml:space="preserve">2.2</w:t>
      </w:r>
      <w:r>
        <w:tab/>
      </w:r>
      <w:r>
        <w:t xml:space="preserve">Literature Search</w:t>
      </w:r>
    </w:p>
    <w:p>
      <w:pPr>
        <w:pStyle w:val="FirstParagraph"/>
      </w:pPr>
      <w:r>
        <w:t xml:space="preserve">Literature was identified through multiple channels between January 2023 and December 2024:</w:t>
      </w:r>
    </w:p>
    <w:p>
      <w:pPr>
        <w:pStyle w:val="BodyText"/>
      </w:pPr>
      <w:r>
        <w:rPr>
          <w:b/>
          <w:bCs/>
        </w:rPr>
        <w:t xml:space="preserve">Academic Databases:</w:t>
      </w:r>
    </w:p>
    <w:p>
      <w:pPr>
        <w:pStyle w:val="Compact"/>
        <w:numPr>
          <w:ilvl w:val="0"/>
          <w:numId w:val="1005"/>
        </w:numPr>
      </w:pPr>
      <w:r>
        <w:t xml:space="preserve">PubMed/MEDLINE: Clinical informatics, healthcare workforce, medical administration</w:t>
      </w:r>
    </w:p>
    <w:p>
      <w:pPr>
        <w:pStyle w:val="Compact"/>
        <w:numPr>
          <w:ilvl w:val="0"/>
          <w:numId w:val="1005"/>
        </w:numPr>
      </w:pPr>
      <w:r>
        <w:t xml:space="preserve">IEEE Xplore and ACM Digital Library: Natural language to SQL, text-to-SQL systems</w:t>
      </w:r>
    </w:p>
    <w:p>
      <w:pPr>
        <w:pStyle w:val="Compact"/>
        <w:numPr>
          <w:ilvl w:val="0"/>
          <w:numId w:val="1005"/>
        </w:numPr>
      </w:pPr>
      <w:r>
        <w:t xml:space="preserve">arXiv: Machine learning and NLP preprints, benchmark studies</w:t>
      </w:r>
    </w:p>
    <w:p>
      <w:pPr>
        <w:pStyle w:val="Compact"/>
        <w:numPr>
          <w:ilvl w:val="0"/>
          <w:numId w:val="1005"/>
        </w:numPr>
      </w:pPr>
      <w:r>
        <w:t xml:space="preserve">Google Scholar: Cross-disciplinary search and citation tracing</w:t>
      </w:r>
    </w:p>
    <w:p>
      <w:pPr>
        <w:pStyle w:val="FirstParagraph"/>
      </w:pPr>
      <w:r>
        <w:rPr>
          <w:b/>
          <w:bCs/>
        </w:rPr>
        <w:t xml:space="preserve">Industry Sources:</w:t>
      </w:r>
    </w:p>
    <w:p>
      <w:pPr>
        <w:pStyle w:val="Compact"/>
        <w:numPr>
          <w:ilvl w:val="0"/>
          <w:numId w:val="1006"/>
        </w:numPr>
      </w:pPr>
      <w:r>
        <w:t xml:space="preserve">HIMSS publications and Analytics Maturity Model documentation</w:t>
      </w:r>
    </w:p>
    <w:p>
      <w:pPr>
        <w:pStyle w:val="Compact"/>
        <w:numPr>
          <w:ilvl w:val="0"/>
          <w:numId w:val="1006"/>
        </w:numPr>
      </w:pPr>
      <w:r>
        <w:t xml:space="preserve">Healthcare IT vendor case studies and implementation reports</w:t>
      </w:r>
    </w:p>
    <w:p>
      <w:pPr>
        <w:pStyle w:val="Compact"/>
        <w:numPr>
          <w:ilvl w:val="0"/>
          <w:numId w:val="1006"/>
        </w:numPr>
      </w:pPr>
      <w:r>
        <w:t xml:space="preserve">Market research reports (Precedence Research, Forrester)</w:t>
      </w:r>
    </w:p>
    <w:p>
      <w:pPr>
        <w:pStyle w:val="Compact"/>
        <w:numPr>
          <w:ilvl w:val="0"/>
          <w:numId w:val="1006"/>
        </w:numPr>
      </w:pPr>
      <w:r>
        <w:t xml:space="preserve">Professional association surveys and white papers</w:t>
      </w:r>
    </w:p>
    <w:p>
      <w:pPr>
        <w:pStyle w:val="FirstParagraph"/>
      </w:pPr>
      <w:r>
        <w:rPr>
          <w:b/>
          <w:bCs/>
        </w:rPr>
        <w:t xml:space="preserve">Search Concepts:</w:t>
      </w:r>
    </w:p>
    <w:p>
      <w:pPr>
        <w:pStyle w:val="BodyText"/>
      </w:pPr>
      <w:r>
        <w:t xml:space="preserve">Primary search terms included combinations of:</w:t>
      </w:r>
      <w:r>
        <w:t xml:space="preserve"> </w:t>
      </w:r>
      <w:r>
        <w:t xml:space="preserve">“</w:t>
      </w:r>
      <w:r>
        <w:t xml:space="preserve">natural language SQL,</w:t>
      </w:r>
      <w:r>
        <w:t xml:space="preserve">”</w:t>
      </w:r>
      <w:r>
        <w:t xml:space="preserve"> </w:t>
      </w:r>
      <w:r>
        <w:t xml:space="preserve">“</w:t>
      </w:r>
      <w:r>
        <w:t xml:space="preserve">text-to-SQL healthcare,</w:t>
      </w:r>
      <w:r>
        <w:t xml:space="preserve">”</w:t>
      </w:r>
      <w:r>
        <w:t xml:space="preserve"> </w:t>
      </w:r>
      <w:r>
        <w:t xml:space="preserve">“</w:t>
      </w:r>
      <w:r>
        <w:t xml:space="preserve">healthcare analytics maturity,</w:t>
      </w:r>
      <w:r>
        <w:t xml:space="preserve">”</w:t>
      </w:r>
      <w:r>
        <w:t xml:space="preserve"> </w:t>
      </w:r>
      <w:r>
        <w:t xml:space="preserve">“</w:t>
      </w:r>
      <w:r>
        <w:t xml:space="preserve">HIMSS AMAM,</w:t>
      </w:r>
      <w:r>
        <w:t xml:space="preserve">”</w:t>
      </w:r>
      <w:r>
        <w:t xml:space="preserve"> </w:t>
      </w:r>
      <w:r>
        <w:t xml:space="preserve">“</w:t>
      </w:r>
      <w:r>
        <w:t xml:space="preserve">nursing turnover,</w:t>
      </w:r>
      <w:r>
        <w:t xml:space="preserve">”</w:t>
      </w:r>
      <w:r>
        <w:t xml:space="preserve"> </w:t>
      </w:r>
      <w:r>
        <w:t xml:space="preserve">“</w:t>
      </w:r>
      <w:r>
        <w:t xml:space="preserve">IT workforce turnover healthcare,</w:t>
      </w:r>
      <w:r>
        <w:t xml:space="preserve">”</w:t>
      </w:r>
      <w:r>
        <w:t xml:space="preserve"> </w:t>
      </w:r>
      <w:r>
        <w:t xml:space="preserve">“</w:t>
      </w:r>
      <w:r>
        <w:t xml:space="preserve">institutional memory loss,</w:t>
      </w:r>
      <w:r>
        <w:t xml:space="preserve">”</w:t>
      </w:r>
      <w:r>
        <w:t xml:space="preserve"> </w:t>
      </w:r>
      <w:r>
        <w:t xml:space="preserve">“</w:t>
      </w:r>
      <w:r>
        <w:t xml:space="preserve">low-code healthcare analytics,</w:t>
      </w:r>
      <w:r>
        <w:t xml:space="preserve">”</w:t>
      </w:r>
      <w:r>
        <w:t xml:space="preserve"> </w:t>
      </w:r>
      <w:r>
        <w:t xml:space="preserve">and</w:t>
      </w:r>
      <w:r>
        <w:t xml:space="preserve"> </w:t>
      </w:r>
      <w:r>
        <w:t xml:space="preserve">“</w:t>
      </w:r>
      <w:r>
        <w:t xml:space="preserve">conversational AI clinical decision support.</w:t>
      </w:r>
      <w:r>
        <w:t xml:space="preserve">”</w:t>
      </w:r>
    </w:p>
    <w:p>
      <w:pPr>
        <w:pStyle w:val="BodyText"/>
      </w:pPr>
      <w:r>
        <w:rPr>
          <w:b/>
          <w:bCs/>
        </w:rPr>
        <w:t xml:space="preserve">Table 2: Literature Search Strategy</w:t>
      </w:r>
    </w:p>
    <w:tbl>
      <w:tblPr>
        <w:tblStyle w:val="Table"/>
        <w:tblW w:type="pct" w:w="5000"/>
        <w:jc w:val="left"/>
        <w:tblLayout w:type="fixed"/>
        <w:tblLook w:firstRow="1" w:lastRow="0" w:firstColumn="0" w:lastColumn="0" w:noHBand="0" w:noVBand="0" w:val="0020"/>
      </w:tblPr>
      <w:tblGrid>
        <w:gridCol w:w="1028"/>
        <w:gridCol w:w="2160"/>
        <w:gridCol w:w="1234"/>
        <w:gridCol w:w="1748"/>
        <w:gridCol w:w="1748"/>
      </w:tblGrid>
      <w:tr>
        <w:trPr>
          <w:tblHeader w:val="on"/>
        </w:trPr>
        <w:tc>
          <w:tcPr/>
          <w:p>
            <w:pPr>
              <w:pStyle w:val="Compact"/>
              <w:jc w:val="left"/>
            </w:pPr>
            <w:r>
              <w:t xml:space="preserve">Database</w:t>
            </w:r>
          </w:p>
        </w:tc>
        <w:tc>
          <w:tcPr/>
          <w:p>
            <w:pPr>
              <w:pStyle w:val="Compact"/>
              <w:jc w:val="left"/>
            </w:pPr>
            <w:r>
              <w:t xml:space="preserve">Primary Search Terms</w:t>
            </w:r>
          </w:p>
        </w:tc>
        <w:tc>
          <w:tcPr/>
          <w:p>
            <w:pPr>
              <w:pStyle w:val="Compact"/>
              <w:jc w:val="left"/>
            </w:pPr>
            <w:r>
              <w:t xml:space="preserve">Date Range</w:t>
            </w:r>
          </w:p>
        </w:tc>
        <w:tc>
          <w:tcPr/>
          <w:p>
            <w:pPr>
              <w:pStyle w:val="Compact"/>
              <w:jc w:val="left"/>
            </w:pPr>
            <w:r>
              <w:t xml:space="preserve">Initial Results</w:t>
            </w:r>
          </w:p>
        </w:tc>
        <w:tc>
          <w:tcPr/>
          <w:p>
            <w:pPr>
              <w:pStyle w:val="Compact"/>
              <w:jc w:val="left"/>
            </w:pPr>
            <w:r>
              <w:t xml:space="preserve">After Screening</w:t>
            </w:r>
          </w:p>
        </w:tc>
      </w:tr>
      <w:tr>
        <w:tc>
          <w:tcPr/>
          <w:p>
            <w:pPr>
              <w:pStyle w:val="Compact"/>
              <w:jc w:val="left"/>
            </w:pPr>
            <w:r>
              <w:t xml:space="preserve">PubMed/MEDLINE</w:t>
            </w:r>
          </w:p>
        </w:tc>
        <w:tc>
          <w:tcPr/>
          <w:p>
            <w:pPr>
              <w:pStyle w:val="Compact"/>
              <w:jc w:val="left"/>
            </w:pPr>
            <w:r>
              <w:t xml:space="preserve">(</w:t>
            </w:r>
            <w:r>
              <w:t xml:space="preserve">“</w:t>
            </w:r>
            <w:r>
              <w:t xml:space="preserve">natural language processing</w:t>
            </w:r>
            <w:r>
              <w:t xml:space="preserve">”</w:t>
            </w:r>
            <w:r>
              <w:t xml:space="preserve"> </w:t>
            </w:r>
            <w:r>
              <w:t xml:space="preserve">OR</w:t>
            </w:r>
            <w:r>
              <w:t xml:space="preserve"> </w:t>
            </w:r>
            <w:r>
              <w:t xml:space="preserve">“</w:t>
            </w:r>
            <w:r>
              <w:t xml:space="preserve">NLP</w:t>
            </w:r>
            <w:r>
              <w:t xml:space="preserve">”</w:t>
            </w:r>
            <w:r>
              <w:t xml:space="preserve">) AND (</w:t>
            </w:r>
            <w:r>
              <w:t xml:space="preserve">“</w:t>
            </w:r>
            <w:r>
              <w:t xml:space="preserve">healthcare</w:t>
            </w:r>
            <w:r>
              <w:t xml:space="preserve">”</w:t>
            </w:r>
            <w:r>
              <w:t xml:space="preserve"> </w:t>
            </w:r>
            <w:r>
              <w:t xml:space="preserve">OR</w:t>
            </w:r>
            <w:r>
              <w:t xml:space="preserve"> </w:t>
            </w:r>
            <w:r>
              <w:t xml:space="preserve">“</w:t>
            </w:r>
            <w:r>
              <w:t xml:space="preserve">clinical</w:t>
            </w:r>
            <w:r>
              <w:t xml:space="preserve">”</w:t>
            </w:r>
            <w:r>
              <w:t xml:space="preserve">) AND (</w:t>
            </w:r>
            <w:r>
              <w:t xml:space="preserve">“</w:t>
            </w:r>
            <w:r>
              <w:t xml:space="preserve">analytics</w:t>
            </w:r>
            <w:r>
              <w:t xml:space="preserve">”</w:t>
            </w:r>
            <w:r>
              <w:t xml:space="preserve"> </w:t>
            </w:r>
            <w:r>
              <w:t xml:space="preserve">OR</w:t>
            </w:r>
            <w:r>
              <w:t xml:space="preserve"> </w:t>
            </w:r>
            <w:r>
              <w:t xml:space="preserve">“</w:t>
            </w:r>
            <w:r>
              <w:t xml:space="preserve">SQL</w:t>
            </w:r>
            <w:r>
              <w:t xml:space="preserve">”</w:t>
            </w:r>
            <w:r>
              <w:t xml:space="preserve">)</w:t>
            </w:r>
          </w:p>
        </w:tc>
        <w:tc>
          <w:tcPr/>
          <w:p>
            <w:pPr>
              <w:pStyle w:val="Compact"/>
              <w:jc w:val="left"/>
            </w:pPr>
            <w:r>
              <w:t xml:space="preserve">2015-2024</w:t>
            </w:r>
          </w:p>
        </w:tc>
        <w:tc>
          <w:tcPr/>
          <w:p>
            <w:pPr>
              <w:pStyle w:val="Compact"/>
              <w:jc w:val="left"/>
            </w:pPr>
            <w:r>
              <w:t xml:space="preserve">~120</w:t>
            </w:r>
          </w:p>
        </w:tc>
        <w:tc>
          <w:tcPr/>
          <w:p>
            <w:pPr>
              <w:pStyle w:val="Compact"/>
              <w:jc w:val="left"/>
            </w:pPr>
            <w:r>
              <w:t xml:space="preserve">12</w:t>
            </w:r>
          </w:p>
        </w:tc>
      </w:tr>
      <w:tr>
        <w:tc>
          <w:tcPr/>
          <w:p>
            <w:pPr>
              <w:pStyle w:val="Compact"/>
              <w:jc w:val="left"/>
            </w:pPr>
            <w:r>
              <w:t xml:space="preserve">IEEE Xplore</w:t>
            </w:r>
          </w:p>
        </w:tc>
        <w:tc>
          <w:tcPr/>
          <w:p>
            <w:pPr>
              <w:pStyle w:val="Compact"/>
              <w:jc w:val="left"/>
            </w:pPr>
            <w:r>
              <w:t xml:space="preserve">“</w:t>
            </w:r>
            <w:r>
              <w:t xml:space="preserve">text-to-SQL</w:t>
            </w:r>
            <w:r>
              <w:t xml:space="preserve">”</w:t>
            </w:r>
            <w:r>
              <w:t xml:space="preserve"> </w:t>
            </w:r>
            <w:r>
              <w:t xml:space="preserve">AND (</w:t>
            </w:r>
            <w:r>
              <w:t xml:space="preserve">“</w:t>
            </w:r>
            <w:r>
              <w:t xml:space="preserve">healthcare</w:t>
            </w:r>
            <w:r>
              <w:t xml:space="preserve">”</w:t>
            </w:r>
            <w:r>
              <w:t xml:space="preserve"> </w:t>
            </w:r>
            <w:r>
              <w:t xml:space="preserve">OR</w:t>
            </w:r>
            <w:r>
              <w:t xml:space="preserve"> </w:t>
            </w:r>
            <w:r>
              <w:t xml:space="preserve">“</w:t>
            </w:r>
            <w:r>
              <w:t xml:space="preserve">medical</w:t>
            </w:r>
            <w:r>
              <w:t xml:space="preserve">”</w:t>
            </w:r>
            <w:r>
              <w:t xml:space="preserve"> </w:t>
            </w:r>
            <w:r>
              <w:t xml:space="preserve">OR</w:t>
            </w:r>
            <w:r>
              <w:t xml:space="preserve"> </w:t>
            </w:r>
            <w:r>
              <w:t xml:space="preserve">“</w:t>
            </w:r>
            <w:r>
              <w:t xml:space="preserve">clinical</w:t>
            </w:r>
            <w:r>
              <w:t xml:space="preserve">”</w:t>
            </w:r>
            <w:r>
              <w:t xml:space="preserve">)</w:t>
            </w:r>
          </w:p>
        </w:tc>
        <w:tc>
          <w:tcPr/>
          <w:p>
            <w:pPr>
              <w:pStyle w:val="Compact"/>
              <w:jc w:val="left"/>
            </w:pPr>
            <w:r>
              <w:t xml:space="preserve">2015-2024</w:t>
            </w:r>
          </w:p>
        </w:tc>
        <w:tc>
          <w:tcPr/>
          <w:p>
            <w:pPr>
              <w:pStyle w:val="Compact"/>
              <w:jc w:val="left"/>
            </w:pPr>
            <w:r>
              <w:t xml:space="preserve">~45</w:t>
            </w:r>
          </w:p>
        </w:tc>
        <w:tc>
          <w:tcPr/>
          <w:p>
            <w:pPr>
              <w:pStyle w:val="Compact"/>
              <w:jc w:val="left"/>
            </w:pPr>
            <w:r>
              <w:t xml:space="preserve">8</w:t>
            </w:r>
          </w:p>
        </w:tc>
      </w:tr>
      <w:tr>
        <w:tc>
          <w:tcPr/>
          <w:p>
            <w:pPr>
              <w:pStyle w:val="Compact"/>
              <w:jc w:val="left"/>
            </w:pPr>
            <w:r>
              <w:t xml:space="preserve">ACM Digital Library</w:t>
            </w:r>
          </w:p>
        </w:tc>
        <w:tc>
          <w:tcPr/>
          <w:p>
            <w:pPr>
              <w:pStyle w:val="Compact"/>
              <w:jc w:val="left"/>
            </w:pPr>
            <w:r>
              <w:t xml:space="preserve">“</w:t>
            </w:r>
            <w:r>
              <w:t xml:space="preserve">natural language</w:t>
            </w:r>
            <w:r>
              <w:t xml:space="preserve">”</w:t>
            </w:r>
            <w:r>
              <w:t xml:space="preserve"> </w:t>
            </w:r>
            <w:r>
              <w:t xml:space="preserve">AND</w:t>
            </w:r>
            <w:r>
              <w:t xml:space="preserve"> </w:t>
            </w:r>
            <w:r>
              <w:t xml:space="preserve">“</w:t>
            </w:r>
            <w:r>
              <w:t xml:space="preserve">SQL</w:t>
            </w:r>
            <w:r>
              <w:t xml:space="preserve">”</w:t>
            </w:r>
            <w:r>
              <w:t xml:space="preserve"> </w:t>
            </w:r>
            <w:r>
              <w:t xml:space="preserve">AND</w:t>
            </w:r>
            <w:r>
              <w:t xml:space="preserve"> </w:t>
            </w:r>
            <w:r>
              <w:t xml:space="preserve">“</w:t>
            </w:r>
            <w:r>
              <w:t xml:space="preserve">healthcare</w:t>
            </w:r>
            <w:r>
              <w:t xml:space="preserve">”</w:t>
            </w:r>
          </w:p>
        </w:tc>
        <w:tc>
          <w:tcPr/>
          <w:p>
            <w:pPr>
              <w:pStyle w:val="Compact"/>
              <w:jc w:val="left"/>
            </w:pPr>
            <w:r>
              <w:t xml:space="preserve">2015-2024</w:t>
            </w:r>
          </w:p>
        </w:tc>
        <w:tc>
          <w:tcPr/>
          <w:p>
            <w:pPr>
              <w:pStyle w:val="Compact"/>
              <w:jc w:val="left"/>
            </w:pPr>
            <w:r>
              <w:t xml:space="preserve">~30</w:t>
            </w:r>
          </w:p>
        </w:tc>
        <w:tc>
          <w:tcPr/>
          <w:p>
            <w:pPr>
              <w:pStyle w:val="Compact"/>
              <w:jc w:val="left"/>
            </w:pPr>
            <w:r>
              <w:t xml:space="preserve">5</w:t>
            </w:r>
          </w:p>
        </w:tc>
      </w:tr>
      <w:tr>
        <w:tc>
          <w:tcPr/>
          <w:p>
            <w:pPr>
              <w:pStyle w:val="Compact"/>
              <w:jc w:val="left"/>
            </w:pPr>
            <w:r>
              <w:t xml:space="preserve">arXiv (cs.CL, cs.DB)</w:t>
            </w:r>
          </w:p>
        </w:tc>
        <w:tc>
          <w:tcPr/>
          <w:p>
            <w:pPr>
              <w:pStyle w:val="Compact"/>
              <w:jc w:val="left"/>
            </w:pPr>
            <w:r>
              <w:t xml:space="preserve">“</w:t>
            </w:r>
            <w:r>
              <w:t xml:space="preserve">healthcare</w:t>
            </w:r>
            <w:r>
              <w:t xml:space="preserve">”</w:t>
            </w:r>
            <w:r>
              <w:t xml:space="preserve"> </w:t>
            </w:r>
            <w:r>
              <w:t xml:space="preserve">AND (</w:t>
            </w:r>
            <w:r>
              <w:t xml:space="preserve">“</w:t>
            </w:r>
            <w:r>
              <w:t xml:space="preserve">text-to-SQL</w:t>
            </w:r>
            <w:r>
              <w:t xml:space="preserve">”</w:t>
            </w:r>
            <w:r>
              <w:t xml:space="preserve"> </w:t>
            </w:r>
            <w:r>
              <w:t xml:space="preserve">OR</w:t>
            </w:r>
            <w:r>
              <w:t xml:space="preserve"> </w:t>
            </w:r>
            <w:r>
              <w:t xml:space="preserve">“</w:t>
            </w:r>
            <w:r>
              <w:t xml:space="preserve">NL2SQL</w:t>
            </w:r>
            <w:r>
              <w:t xml:space="preserve">”</w:t>
            </w:r>
            <w:r>
              <w:t xml:space="preserve">)</w:t>
            </w:r>
          </w:p>
        </w:tc>
        <w:tc>
          <w:tcPr/>
          <w:p>
            <w:pPr>
              <w:pStyle w:val="Compact"/>
              <w:jc w:val="left"/>
            </w:pPr>
            <w:r>
              <w:t xml:space="preserve">2020-2024</w:t>
            </w:r>
          </w:p>
        </w:tc>
        <w:tc>
          <w:tcPr/>
          <w:p>
            <w:pPr>
              <w:pStyle w:val="Compact"/>
              <w:jc w:val="left"/>
            </w:pPr>
            <w:r>
              <w:t xml:space="preserve">~25</w:t>
            </w:r>
          </w:p>
        </w:tc>
        <w:tc>
          <w:tcPr/>
          <w:p>
            <w:pPr>
              <w:pStyle w:val="Compact"/>
              <w:jc w:val="left"/>
            </w:pPr>
            <w:r>
              <w:t xml:space="preserve">4</w:t>
            </w:r>
          </w:p>
        </w:tc>
      </w:tr>
      <w:tr>
        <w:tc>
          <w:tcPr/>
          <w:p>
            <w:pPr>
              <w:pStyle w:val="Compact"/>
              <w:jc w:val="left"/>
            </w:pPr>
            <w:r>
              <w:t xml:space="preserve">Google Scholar</w:t>
            </w:r>
          </w:p>
        </w:tc>
        <w:tc>
          <w:tcPr/>
          <w:p>
            <w:pPr>
              <w:pStyle w:val="Compact"/>
              <w:jc w:val="left"/>
            </w:pPr>
            <w:r>
              <w:t xml:space="preserve">“</w:t>
            </w:r>
            <w:r>
              <w:t xml:space="preserve">healthcare analytics maturity</w:t>
            </w:r>
            <w:r>
              <w:t xml:space="preserve">”</w:t>
            </w:r>
            <w:r>
              <w:t xml:space="preserve"> </w:t>
            </w:r>
            <w:r>
              <w:t xml:space="preserve">OR</w:t>
            </w:r>
            <w:r>
              <w:t xml:space="preserve"> </w:t>
            </w:r>
            <w:r>
              <w:t xml:space="preserve">“</w:t>
            </w:r>
            <w:r>
              <w:t xml:space="preserve">HIMSS AMAM</w:t>
            </w:r>
            <w:r>
              <w:t xml:space="preserve">”</w:t>
            </w:r>
          </w:p>
        </w:tc>
        <w:tc>
          <w:tcPr/>
          <w:p>
            <w:pPr>
              <w:pStyle w:val="Compact"/>
              <w:jc w:val="left"/>
            </w:pPr>
            <w:r>
              <w:t xml:space="preserve">2015-2024</w:t>
            </w:r>
          </w:p>
        </w:tc>
        <w:tc>
          <w:tcPr/>
          <w:p>
            <w:pPr>
              <w:pStyle w:val="Compact"/>
              <w:jc w:val="left"/>
            </w:pPr>
            <w:r>
              <w:t xml:space="preserve">~200</w:t>
            </w:r>
          </w:p>
        </w:tc>
        <w:tc>
          <w:tcPr/>
          <w:p>
            <w:pPr>
              <w:pStyle w:val="Compact"/>
              <w:jc w:val="left"/>
            </w:pPr>
            <w:r>
              <w:t xml:space="preserve">8</w:t>
            </w:r>
          </w:p>
        </w:tc>
      </w:tr>
      <w:tr>
        <w:tc>
          <w:tcPr/>
          <w:p>
            <w:pPr>
              <w:pStyle w:val="Compact"/>
              <w:jc w:val="left"/>
            </w:pPr>
            <w:r>
              <w:t xml:space="preserve">Google Scholar</w:t>
            </w:r>
          </w:p>
        </w:tc>
        <w:tc>
          <w:tcPr/>
          <w:p>
            <w:pPr>
              <w:pStyle w:val="Compact"/>
              <w:jc w:val="left"/>
            </w:pPr>
            <w:r>
              <w:t xml:space="preserve">“</w:t>
            </w:r>
            <w:r>
              <w:t xml:space="preserve">nursing turnover</w:t>
            </w:r>
            <w:r>
              <w:t xml:space="preserve">”</w:t>
            </w:r>
            <w:r>
              <w:t xml:space="preserve"> </w:t>
            </w:r>
            <w:r>
              <w:t xml:space="preserve">OR</w:t>
            </w:r>
            <w:r>
              <w:t xml:space="preserve"> </w:t>
            </w:r>
            <w:r>
              <w:t xml:space="preserve">“</w:t>
            </w:r>
            <w:r>
              <w:t xml:space="preserve">healthcare IT turnover</w:t>
            </w:r>
            <w:r>
              <w:t xml:space="preserve">”</w:t>
            </w:r>
          </w:p>
        </w:tc>
        <w:tc>
          <w:tcPr/>
          <w:p>
            <w:pPr>
              <w:pStyle w:val="Compact"/>
              <w:jc w:val="left"/>
            </w:pPr>
            <w:r>
              <w:t xml:space="preserve">2004-2024</w:t>
            </w:r>
          </w:p>
        </w:tc>
        <w:tc>
          <w:tcPr/>
          <w:p>
            <w:pPr>
              <w:pStyle w:val="Compact"/>
              <w:jc w:val="left"/>
            </w:pPr>
            <w:r>
              <w:t xml:space="preserve">~150</w:t>
            </w:r>
          </w:p>
        </w:tc>
        <w:tc>
          <w:tcPr/>
          <w:p>
            <w:pPr>
              <w:pStyle w:val="Compact"/>
              <w:jc w:val="left"/>
            </w:pPr>
            <w:r>
              <w:t xml:space="preserve">4</w:t>
            </w:r>
          </w:p>
        </w:tc>
      </w:tr>
      <w:tr>
        <w:tc>
          <w:tcPr/>
          <w:p>
            <w:pPr>
              <w:pStyle w:val="Compact"/>
              <w:jc w:val="left"/>
            </w:pPr>
            <w:r>
              <w:rPr>
                <w:b/>
                <w:bCs/>
              </w:rPr>
              <w:t xml:space="preserve">Total</w:t>
            </w:r>
          </w:p>
        </w:tc>
        <w:tc>
          <w:tcPr/>
          <w:p>
            <w:pPr>
              <w:pStyle w:val="Compact"/>
            </w:pPr>
          </w:p>
        </w:tc>
        <w:tc>
          <w:tcPr/>
          <w:p>
            <w:pPr>
              <w:pStyle w:val="Compact"/>
            </w:pPr>
          </w:p>
        </w:tc>
        <w:tc>
          <w:tcPr/>
          <w:p>
            <w:pPr>
              <w:pStyle w:val="Compact"/>
              <w:jc w:val="left"/>
            </w:pPr>
            <w:r>
              <w:rPr>
                <w:b/>
                <w:bCs/>
              </w:rPr>
              <w:t xml:space="preserve">~570</w:t>
            </w:r>
          </w:p>
        </w:tc>
        <w:tc>
          <w:tcPr/>
          <w:p>
            <w:pPr>
              <w:pStyle w:val="Compact"/>
              <w:jc w:val="left"/>
            </w:pPr>
            <w:r>
              <w:rPr>
                <w:b/>
                <w:bCs/>
              </w:rPr>
              <w:t xml:space="preserve">41</w:t>
            </w:r>
          </w:p>
        </w:tc>
      </w:tr>
    </w:tbl>
    <w:p>
      <w:pPr>
        <w:pStyle w:val="BodyText"/>
      </w:pPr>
      <w:r>
        <w:rPr>
          <w:i/>
          <w:iCs/>
        </w:rPr>
        <w:t xml:space="preserve">Note: Counts are approximate; exact numbers varied due to iterative search refinement. Final corpus includes 30 academic and 11 industry sources.</w:t>
      </w:r>
    </w:p>
    <w:p>
      <w:pPr>
        <w:pStyle w:val="BodyText"/>
      </w:pPr>
      <w:r>
        <w:t xml:space="preserve">Figure 1 illustrates the literature selection process, showing progression from initial database search through screening and quality assessment to the final corpus of 41 sources.</w:t>
      </w:r>
    </w:p>
    <w:bookmarkEnd w:id="33"/>
    <w:bookmarkStart w:id="34" w:name="source-selection"/>
    <w:p>
      <w:pPr>
        <w:pStyle w:val="Heading2"/>
      </w:pPr>
      <w:r>
        <w:rPr>
          <w:rStyle w:val="SectionNumber"/>
        </w:rPr>
        <w:t xml:space="preserve">2.3</w:t>
      </w:r>
      <w:r>
        <w:tab/>
      </w:r>
      <w:r>
        <w:t xml:space="preserve">Source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07"/>
        </w:numPr>
      </w:pPr>
      <w:r>
        <w:t xml:space="preserve">Peer-reviewed publications in healthcare informatics, medical informatics, computer science, or health services research</w:t>
      </w:r>
    </w:p>
    <w:p>
      <w:pPr>
        <w:pStyle w:val="Compact"/>
        <w:numPr>
          <w:ilvl w:val="0"/>
          <w:numId w:val="1007"/>
        </w:numPr>
      </w:pPr>
      <w:r>
        <w:t xml:space="preserve">Industry reports from established healthcare IT organizations (HIMSS, AHIMA, AMIA)</w:t>
      </w:r>
    </w:p>
    <w:p>
      <w:pPr>
        <w:pStyle w:val="Compact"/>
        <w:numPr>
          <w:ilvl w:val="0"/>
          <w:numId w:val="1007"/>
        </w:numPr>
      </w:pPr>
      <w:r>
        <w:t xml:space="preserve">Publications from 2015-2024, with emphasis on 2020-2024 for rapidly evolving NL2SQL technologies</w:t>
      </w:r>
    </w:p>
    <w:p>
      <w:pPr>
        <w:pStyle w:val="Compact"/>
        <w:numPr>
          <w:ilvl w:val="0"/>
          <w:numId w:val="1007"/>
        </w:numPr>
      </w:pPr>
      <w:r>
        <w:t xml:space="preserve">English language publications</w:t>
      </w:r>
    </w:p>
    <w:p>
      <w:pPr>
        <w:pStyle w:val="Compact"/>
        <w:numPr>
          <w:ilvl w:val="0"/>
          <w:numId w:val="1007"/>
        </w:numPr>
      </w:pPr>
      <w:r>
        <w:t xml:space="preserve">Sources with verifiable DOIs, URLs, or institutional attribution</w:t>
      </w:r>
    </w:p>
    <w:p>
      <w:pPr>
        <w:pStyle w:val="FirstParagraph"/>
      </w:pPr>
      <w:r>
        <w:rPr>
          <w:b/>
          <w:bCs/>
        </w:rPr>
        <w:t xml:space="preserve">Exclusion Criteria:</w:t>
      </w:r>
    </w:p>
    <w:p>
      <w:pPr>
        <w:pStyle w:val="Compact"/>
        <w:numPr>
          <w:ilvl w:val="0"/>
          <w:numId w:val="1008"/>
        </w:numPr>
      </w:pPr>
      <w:r>
        <w:t xml:space="preserve">Sources without verifiable attribution or institutional backing</w:t>
      </w:r>
    </w:p>
    <w:p>
      <w:pPr>
        <w:pStyle w:val="Compact"/>
        <w:numPr>
          <w:ilvl w:val="0"/>
          <w:numId w:val="1008"/>
        </w:numPr>
      </w:pPr>
      <w:r>
        <w:t xml:space="preserve">Vendor marketing materials without independent validation</w:t>
      </w:r>
    </w:p>
    <w:p>
      <w:pPr>
        <w:pStyle w:val="Compact"/>
        <w:numPr>
          <w:ilvl w:val="0"/>
          <w:numId w:val="1008"/>
        </w:numPr>
      </w:pPr>
      <w:r>
        <w:t xml:space="preserve">Preprints without subsequent peer-reviewed publication (exception: foundational NL2SQL benchmarks where peer review is pending)</w:t>
      </w:r>
    </w:p>
    <w:p>
      <w:pPr>
        <w:pStyle w:val="Compact"/>
        <w:numPr>
          <w:ilvl w:val="0"/>
          <w:numId w:val="1008"/>
        </w:numPr>
      </w:pPr>
      <w:r>
        <w:t xml:space="preserve">Studies with unverifiable statistics or methodological concerns</w:t>
      </w:r>
    </w:p>
    <w:bookmarkEnd w:id="34"/>
    <w:bookmarkStart w:id="35" w:name="evidence-synthesis"/>
    <w:p>
      <w:pPr>
        <w:pStyle w:val="Heading2"/>
      </w:pPr>
      <w:r>
        <w:rPr>
          <w:rStyle w:val="SectionNumber"/>
        </w:rPr>
        <w:t xml:space="preserve">2.4</w:t>
      </w:r>
      <w:r>
        <w:tab/>
      </w:r>
      <w:r>
        <w:t xml:space="preserve">Evidence Synthesis</w:t>
      </w:r>
    </w:p>
    <w:p>
      <w:pPr>
        <w:pStyle w:val="FirstParagraph"/>
      </w:pPr>
      <w:r>
        <w:t xml:space="preserve">Evidence was synthesized thematically around the three-pillar framework:</w:t>
      </w:r>
    </w:p>
    <w:p>
      <w:pPr>
        <w:pStyle w:val="Compact"/>
        <w:numPr>
          <w:ilvl w:val="0"/>
          <w:numId w:val="1009"/>
        </w:numPr>
      </w:pPr>
      <w:r>
        <w:rPr>
          <w:b/>
          <w:bCs/>
        </w:rPr>
        <w:t xml:space="preserve">Analytics maturity</w:t>
      </w:r>
      <w:r>
        <w:t xml:space="preserve">: Evidence on HIMSS AMAM adoption, healthcare analytics capabilities, and organizational readiness</w:t>
      </w:r>
    </w:p>
    <w:p>
      <w:pPr>
        <w:pStyle w:val="Compact"/>
        <w:numPr>
          <w:ilvl w:val="0"/>
          <w:numId w:val="1009"/>
        </w:numPr>
      </w:pPr>
      <w:r>
        <w:rPr>
          <w:b/>
          <w:bCs/>
        </w:rPr>
        <w:t xml:space="preserve">Workforce turnover</w:t>
      </w:r>
      <w:r>
        <w:t xml:space="preserve">: Evidence on nursing and IT staff turnover rates, institutional memory loss, and knowledge transfer challenges</w:t>
      </w:r>
    </w:p>
    <w:p>
      <w:pPr>
        <w:pStyle w:val="Compact"/>
        <w:numPr>
          <w:ilvl w:val="0"/>
          <w:numId w:val="1009"/>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 Citation verification followed the methodology documented in the reference verification process, which identified and removed 5 likely AI-generated fabrications and 29 unused references from the original draft.</w:t>
      </w:r>
    </w:p>
    <w:bookmarkEnd w:id="35"/>
    <w:bookmarkStart w:id="36" w:name="grey-literature-quality-assessment"/>
    <w:p>
      <w:pPr>
        <w:pStyle w:val="Heading2"/>
      </w:pPr>
      <w:r>
        <w:rPr>
          <w:rStyle w:val="SectionNumber"/>
        </w:rPr>
        <w:t xml:space="preserve">2.5</w:t>
      </w:r>
      <w:r>
        <w:tab/>
      </w:r>
      <w:r>
        <w:t xml:space="preserve">Grey Literature Quality Assessment</w:t>
      </w:r>
    </w:p>
    <w:p>
      <w:pPr>
        <w:pStyle w:val="FirstParagraph"/>
      </w:pPr>
      <w:r>
        <w:t xml:space="preserve">Grey literature sources were assessed using the AACODS checklist (Tyndall, 2010) [A30], which evaluates Authority, Accuracy, Coverage, Objectivity, Date, and Significance. Sources with vendor sponsorship were retained when no independent alternative existed but flagged in-text. Table 1 summarizes the assessment.</w:t>
      </w:r>
    </w:p>
    <w:p>
      <w:pPr>
        <w:pStyle w:val="BodyText"/>
      </w:pPr>
      <w:r>
        <w:rPr>
          <w:b/>
          <w:bCs/>
        </w:rPr>
        <w:t xml:space="preserve">Table 1: AACODS Assessment of Industry Sources</w:t>
      </w:r>
    </w:p>
    <w:tbl>
      <w:tblPr>
        <w:tblStyle w:val="Table"/>
        <w:tblW w:type="pct" w:w="5000"/>
        <w:jc w:val="left"/>
        <w:tblLayout w:type="fixed"/>
        <w:tblLook w:firstRow="1" w:lastRow="0" w:firstColumn="0" w:lastColumn="0" w:noHBand="0" w:noVBand="0" w:val="0020"/>
      </w:tblPr>
      <w:tblGrid>
        <w:gridCol w:w="782"/>
        <w:gridCol w:w="1075"/>
        <w:gridCol w:w="977"/>
        <w:gridCol w:w="977"/>
        <w:gridCol w:w="1271"/>
        <w:gridCol w:w="586"/>
        <w:gridCol w:w="1368"/>
        <w:gridCol w:w="880"/>
      </w:tblGrid>
      <w:tr>
        <w:trPr>
          <w:tblHeader w:val="on"/>
        </w:trPr>
        <w:tc>
          <w:tcPr/>
          <w:p>
            <w:pPr>
              <w:pStyle w:val="Compact"/>
              <w:jc w:val="left"/>
            </w:pPr>
            <w:r>
              <w:t xml:space="preserve">Source</w:t>
            </w:r>
          </w:p>
        </w:tc>
        <w:tc>
          <w:tcPr/>
          <w:p>
            <w:pPr>
              <w:pStyle w:val="Compact"/>
              <w:jc w:val="left"/>
            </w:pPr>
            <w:r>
              <w:t xml:space="preserve">Authority</w:t>
            </w:r>
          </w:p>
        </w:tc>
        <w:tc>
          <w:tcPr/>
          <w:p>
            <w:pPr>
              <w:pStyle w:val="Compact"/>
              <w:jc w:val="left"/>
            </w:pPr>
            <w:r>
              <w:t xml:space="preserve">Accuracy</w:t>
            </w:r>
          </w:p>
        </w:tc>
        <w:tc>
          <w:tcPr/>
          <w:p>
            <w:pPr>
              <w:pStyle w:val="Compact"/>
              <w:jc w:val="left"/>
            </w:pPr>
            <w:r>
              <w:t xml:space="preserve">Coverage</w:t>
            </w:r>
          </w:p>
        </w:tc>
        <w:tc>
          <w:tcPr/>
          <w:p>
            <w:pPr>
              <w:pStyle w:val="Compact"/>
              <w:jc w:val="left"/>
            </w:pPr>
            <w:r>
              <w:t xml:space="preserve">Objectivity</w:t>
            </w:r>
          </w:p>
        </w:tc>
        <w:tc>
          <w:tcPr/>
          <w:p>
            <w:pPr>
              <w:pStyle w:val="Compact"/>
              <w:jc w:val="left"/>
            </w:pPr>
            <w:r>
              <w:t xml:space="preserve">Date</w:t>
            </w:r>
          </w:p>
        </w:tc>
        <w:tc>
          <w:tcPr/>
          <w:p>
            <w:pPr>
              <w:pStyle w:val="Compact"/>
              <w:jc w:val="left"/>
            </w:pPr>
            <w:r>
              <w:t xml:space="preserve">Significance</w:t>
            </w:r>
          </w:p>
        </w:tc>
        <w:tc>
          <w:tcPr/>
          <w:p>
            <w:pPr>
              <w:pStyle w:val="Compact"/>
              <w:jc w:val="left"/>
            </w:pPr>
            <w:r>
              <w:t xml:space="preserve">Include</w:t>
            </w:r>
          </w:p>
        </w:tc>
      </w:tr>
      <w:tr>
        <w:tc>
          <w:tcPr/>
          <w:p>
            <w:pPr>
              <w:pStyle w:val="Compact"/>
              <w:jc w:val="left"/>
            </w:pPr>
            <w:r>
              <w:t xml:space="preserve">[I1] HIMSS AMAM</w:t>
            </w:r>
          </w:p>
        </w:tc>
        <w:tc>
          <w:tcPr/>
          <w:p>
            <w:pPr>
              <w:pStyle w:val="Compact"/>
              <w:jc w:val="left"/>
            </w:pPr>
            <w:r>
              <w:t xml:space="preserve">High (industry standards body)</w:t>
            </w:r>
          </w:p>
        </w:tc>
        <w:tc>
          <w:tcPr/>
          <w:p>
            <w:pPr>
              <w:pStyle w:val="Compact"/>
              <w:jc w:val="left"/>
            </w:pPr>
            <w:r>
              <w:t xml:space="preserve">Verifiable</w:t>
            </w:r>
          </w:p>
        </w:tc>
        <w:tc>
          <w:tcPr/>
          <w:p>
            <w:pPr>
              <w:pStyle w:val="Compact"/>
              <w:jc w:val="left"/>
            </w:pPr>
            <w:r>
              <w:t xml:space="preserve">Global</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[I2] Snowdon/HIMSS</w:t>
            </w:r>
          </w:p>
        </w:tc>
        <w:tc>
          <w:tcPr/>
          <w:p>
            <w:pPr>
              <w:pStyle w:val="Compact"/>
              <w:jc w:val="left"/>
            </w:pPr>
            <w:r>
              <w:t xml:space="preserve">High (HIMSS officer)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[I3] Health Catalyst</w:t>
            </w:r>
          </w:p>
        </w:tc>
        <w:tc>
          <w:tcPr/>
          <w:p>
            <w:pPr>
              <w:pStyle w:val="Compact"/>
              <w:jc w:val="left"/>
            </w:pPr>
            <w:r>
              <w:t xml:space="preserve">Medium (vendor)</w:t>
            </w:r>
          </w:p>
        </w:tc>
        <w:tc>
          <w:tcPr/>
          <w:p>
            <w:pPr>
              <w:pStyle w:val="Compact"/>
              <w:jc w:val="left"/>
            </w:pPr>
            <w:r>
              <w:t xml:space="preserve">Unverifiable</w:t>
            </w:r>
          </w:p>
        </w:tc>
        <w:tc>
          <w:tcPr/>
          <w:p>
            <w:pPr>
              <w:pStyle w:val="Compact"/>
              <w:jc w:val="left"/>
            </w:pPr>
            <w:r>
              <w:t xml:space="preserve">US</w:t>
            </w:r>
          </w:p>
        </w:tc>
        <w:tc>
          <w:tcPr/>
          <w:p>
            <w:pPr>
              <w:pStyle w:val="Compact"/>
              <w:jc w:val="left"/>
            </w:pPr>
            <w:r>
              <w:t xml:space="preserve">Low</w:t>
            </w:r>
          </w:p>
        </w:tc>
        <w:tc>
          <w:tcPr/>
          <w:p>
            <w:pPr>
              <w:pStyle w:val="Compact"/>
              <w:jc w:val="left"/>
            </w:pPr>
            <w:r>
              <w:t xml:space="preserve">2020</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[I4] Berkshire NHS</w:t>
            </w:r>
          </w:p>
        </w:tc>
        <w:tc>
          <w:tcPr/>
          <w:p>
            <w:pPr>
              <w:pStyle w:val="Compact"/>
              <w:jc w:val="left"/>
            </w:pPr>
            <w:r>
              <w:t xml:space="preserve">High (NHS trust)</w:t>
            </w:r>
          </w:p>
        </w:tc>
        <w:tc>
          <w:tcPr/>
          <w:p>
            <w:pPr>
              <w:pStyle w:val="Compact"/>
              <w:jc w:val="left"/>
            </w:pPr>
            <w:r>
              <w:t xml:space="preserve">Verifiable</w:t>
            </w:r>
          </w:p>
        </w:tc>
        <w:tc>
          <w:tcPr/>
          <w:p>
            <w:pPr>
              <w:pStyle w:val="Compact"/>
              <w:jc w:val="left"/>
            </w:pPr>
            <w:r>
              <w:t xml:space="preserve">Single site</w:t>
            </w:r>
          </w:p>
        </w:tc>
        <w:tc>
          <w:tcPr/>
          <w:p>
            <w:pPr>
              <w:pStyle w:val="Compact"/>
              <w:jc w:val="left"/>
            </w:pPr>
            <w:r>
              <w:t xml:space="preserve">High</w:t>
            </w:r>
          </w:p>
        </w:tc>
        <w:tc>
          <w:tcPr/>
          <w:p>
            <w:pPr>
              <w:pStyle w:val="Compact"/>
              <w:jc w:val="left"/>
            </w:pPr>
            <w:r>
              <w:t xml:space="preserve">2024</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[I5] Forrester/Microsoft</w:t>
            </w:r>
          </w:p>
        </w:tc>
        <w:tc>
          <w:tcPr/>
          <w:p>
            <w:pPr>
              <w:pStyle w:val="Compact"/>
              <w:jc w:val="left"/>
            </w:pPr>
            <w:r>
              <w:t xml:space="preserve">Medium (analyst firm)</w:t>
            </w:r>
          </w:p>
        </w:tc>
        <w:tc>
          <w:tcPr/>
          <w:p>
            <w:pPr>
              <w:pStyle w:val="Compact"/>
              <w:jc w:val="left"/>
            </w:pPr>
            <w:r>
              <w:t xml:space="preserve">Unverifiable</w:t>
            </w:r>
          </w:p>
        </w:tc>
        <w:tc>
          <w:tcPr/>
          <w:p>
            <w:pPr>
              <w:pStyle w:val="Compact"/>
              <w:jc w:val="left"/>
            </w:pPr>
            <w:r>
              <w:t xml:space="preserve">Enterprise</w:t>
            </w:r>
          </w:p>
        </w:tc>
        <w:tc>
          <w:tcPr/>
          <w:p>
            <w:pPr>
              <w:pStyle w:val="Compact"/>
              <w:jc w:val="left"/>
            </w:pPr>
            <w:r>
              <w:t xml:space="preserve">Low (sponsor)</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[I6] Oracle</w:t>
            </w:r>
          </w:p>
        </w:tc>
        <w:tc>
          <w:tcPr/>
          <w:p>
            <w:pPr>
              <w:pStyle w:val="Compact"/>
              <w:jc w:val="left"/>
            </w:pPr>
            <w:r>
              <w:t xml:space="preserve">Low (vendor)</w:t>
            </w:r>
          </w:p>
        </w:tc>
        <w:tc>
          <w:tcPr/>
          <w:p>
            <w:pPr>
              <w:pStyle w:val="Compact"/>
              <w:jc w:val="left"/>
            </w:pPr>
            <w:r>
              <w:t xml:space="preserve">Unverifiable</w:t>
            </w:r>
          </w:p>
        </w:tc>
        <w:tc>
          <w:tcPr/>
          <w:p>
            <w:pPr>
              <w:pStyle w:val="Compact"/>
              <w:jc w:val="left"/>
            </w:pPr>
            <w:r>
              <w:t xml:space="preserve">N/A</w:t>
            </w:r>
          </w:p>
        </w:tc>
        <w:tc>
          <w:tcPr/>
          <w:p>
            <w:pPr>
              <w:pStyle w:val="Compact"/>
              <w:jc w:val="left"/>
            </w:pPr>
            <w:r>
              <w:t xml:space="preserve">Low</w:t>
            </w:r>
          </w:p>
        </w:tc>
        <w:tc>
          <w:tcPr/>
          <w:p>
            <w:pPr>
              <w:pStyle w:val="Compact"/>
              <w:jc w:val="left"/>
            </w:pPr>
            <w:r>
              <w:t xml:space="preserve">2024</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[I7] Precedence Research</w:t>
            </w:r>
          </w:p>
        </w:tc>
        <w:tc>
          <w:tcPr/>
          <w:p>
            <w:pPr>
              <w:pStyle w:val="Compact"/>
              <w:jc w:val="left"/>
            </w:pPr>
            <w:r>
              <w:t xml:space="preserve">Medium (market research)</w:t>
            </w:r>
          </w:p>
        </w:tc>
        <w:tc>
          <w:tcPr/>
          <w:p>
            <w:pPr>
              <w:pStyle w:val="Compact"/>
              <w:jc w:val="left"/>
            </w:pPr>
            <w:r>
              <w:t xml:space="preserve">Unverifiable</w:t>
            </w:r>
          </w:p>
        </w:tc>
        <w:tc>
          <w:tcPr/>
          <w:p>
            <w:pPr>
              <w:pStyle w:val="Compact"/>
              <w:jc w:val="left"/>
            </w:pPr>
            <w:r>
              <w:t xml:space="preserve">Global</w:t>
            </w:r>
          </w:p>
        </w:tc>
        <w:tc>
          <w:tcPr/>
          <w:p>
            <w:pPr>
              <w:pStyle w:val="Compact"/>
              <w:jc w:val="left"/>
            </w:pPr>
            <w:r>
              <w:t xml:space="preserve">Medium</w:t>
            </w:r>
          </w:p>
        </w:tc>
        <w:tc>
          <w:tcPr/>
          <w:p>
            <w:pPr>
              <w:pStyle w:val="Compact"/>
              <w:jc w:val="left"/>
            </w:pPr>
            <w:r>
              <w:t xml:space="preserve">2024</w:t>
            </w:r>
          </w:p>
        </w:tc>
        <w:tc>
          <w:tcPr/>
          <w:p>
            <w:pPr>
              <w:pStyle w:val="Compact"/>
              <w:jc w:val="left"/>
            </w:pPr>
            <w:r>
              <w:t xml:space="preserve">Medium</w:t>
            </w:r>
          </w:p>
        </w:tc>
        <w:tc>
          <w:tcPr/>
          <w:p>
            <w:pPr>
              <w:pStyle w:val="Compact"/>
              <w:jc w:val="left"/>
            </w:pPr>
            <w:r>
              <w:t xml:space="preserve">Yes</w:t>
            </w:r>
          </w:p>
        </w:tc>
      </w:tr>
      <w:tr>
        <w:tc>
          <w:tcPr/>
          <w:p>
            <w:pPr>
              <w:pStyle w:val="Compact"/>
              <w:jc w:val="left"/>
            </w:pPr>
            <w:r>
              <w:t xml:space="preserve">[I8] Anthropic</w:t>
            </w:r>
          </w:p>
        </w:tc>
        <w:tc>
          <w:tcPr/>
          <w:p>
            <w:pPr>
              <w:pStyle w:val="Compact"/>
              <w:jc w:val="left"/>
            </w:pPr>
            <w:r>
              <w:t xml:space="preserve">Medium (vendor)</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Medium</w:t>
            </w:r>
          </w:p>
        </w:tc>
        <w:tc>
          <w:tcPr/>
          <w:p>
            <w:pPr>
              <w:pStyle w:val="Compact"/>
              <w:jc w:val="left"/>
            </w:pPr>
            <w:r>
              <w:t xml:space="preserve">2025</w:t>
            </w:r>
          </w:p>
        </w:tc>
        <w:tc>
          <w:tcPr/>
          <w:p>
            <w:pPr>
              <w:pStyle w:val="Compact"/>
              <w:jc w:val="left"/>
            </w:pPr>
            <w:r>
              <w:t xml:space="preserve">Low</w:t>
            </w:r>
          </w:p>
        </w:tc>
        <w:tc>
          <w:tcPr/>
          <w:p>
            <w:pPr>
              <w:pStyle w:val="Compact"/>
              <w:jc w:val="left"/>
            </w:pPr>
            <w:r>
              <w:t xml:space="preserve">Yes</w:t>
            </w:r>
          </w:p>
        </w:tc>
      </w:tr>
      <w:tr>
        <w:tc>
          <w:tcPr/>
          <w:p>
            <w:pPr>
              <w:pStyle w:val="Compact"/>
              <w:jc w:val="left"/>
            </w:pPr>
            <w:r>
              <w:t xml:space="preserve">[I9] IBM Newsroom</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2022</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[I10] CNBC/Haven</w:t>
            </w:r>
          </w:p>
        </w:tc>
        <w:tc>
          <w:tcPr/>
          <w:p>
            <w:pPr>
              <w:pStyle w:val="Compact"/>
              <w:jc w:val="left"/>
            </w:pPr>
            <w:r>
              <w:t xml:space="preserve">High (journalism)</w:t>
            </w:r>
          </w:p>
        </w:tc>
        <w:tc>
          <w:tcPr/>
          <w:p>
            <w:pPr>
              <w:pStyle w:val="Compact"/>
              <w:jc w:val="left"/>
            </w:pPr>
            <w:r>
              <w:t xml:space="preserve">Verifiable</w:t>
            </w:r>
          </w:p>
        </w:tc>
        <w:tc>
          <w:tcPr/>
          <w:p>
            <w:pPr>
              <w:pStyle w:val="Compact"/>
              <w:jc w:val="left"/>
            </w:pPr>
            <w:r>
              <w:t xml:space="preserve">N/A</w:t>
            </w:r>
          </w:p>
        </w:tc>
        <w:tc>
          <w:tcPr/>
          <w:p>
            <w:pPr>
              <w:pStyle w:val="Compact"/>
              <w:jc w:val="left"/>
            </w:pPr>
            <w:r>
              <w:t xml:space="preserve">High</w:t>
            </w:r>
          </w:p>
        </w:tc>
        <w:tc>
          <w:tcPr/>
          <w:p>
            <w:pPr>
              <w:pStyle w:val="Compact"/>
              <w:jc w:val="left"/>
            </w:pPr>
            <w:r>
              <w:t xml:space="preserve">2021</w:t>
            </w:r>
          </w:p>
        </w:tc>
        <w:tc>
          <w:tcPr/>
          <w:p>
            <w:pPr>
              <w:pStyle w:val="Compact"/>
              <w:jc w:val="left"/>
            </w:pPr>
            <w:r>
              <w:t xml:space="preserve">High</w:t>
            </w:r>
          </w:p>
        </w:tc>
        <w:tc>
          <w:tcPr/>
          <w:p>
            <w:pPr>
              <w:pStyle w:val="Compact"/>
              <w:jc w:val="left"/>
            </w:pPr>
            <w:r>
              <w:t xml:space="preserve">Yes</w:t>
            </w:r>
          </w:p>
        </w:tc>
      </w:tr>
      <w:tr>
        <w:tc>
          <w:tcPr/>
          <w:p>
            <w:pPr>
              <w:pStyle w:val="Compact"/>
              <w:jc w:val="left"/>
            </w:pPr>
            <w:r>
              <w:t xml:space="preserve">[I11] AHIMA/NORC</w:t>
            </w:r>
          </w:p>
        </w:tc>
        <w:tc>
          <w:tcPr/>
          <w:p>
            <w:pPr>
              <w:pStyle w:val="Compact"/>
              <w:jc w:val="left"/>
            </w:pPr>
            <w:r>
              <w:t xml:space="preserve">High (professional assoc + academic)</w:t>
            </w:r>
          </w:p>
        </w:tc>
        <w:tc>
          <w:tcPr/>
          <w:p>
            <w:pPr>
              <w:pStyle w:val="Compact"/>
              <w:jc w:val="left"/>
            </w:pPr>
            <w:r>
              <w:t xml:space="preserve">Verifiable</w:t>
            </w:r>
          </w:p>
        </w:tc>
        <w:tc>
          <w:tcPr/>
          <w:p>
            <w:pPr>
              <w:pStyle w:val="Compact"/>
              <w:jc w:val="left"/>
            </w:pPr>
            <w:r>
              <w:t xml:space="preserve">US</w:t>
            </w:r>
          </w:p>
        </w:tc>
        <w:tc>
          <w:tcPr/>
          <w:p>
            <w:pPr>
              <w:pStyle w:val="Compact"/>
              <w:jc w:val="left"/>
            </w:pPr>
            <w:r>
              <w:t xml:space="preserve">High</w:t>
            </w:r>
          </w:p>
        </w:tc>
        <w:tc>
          <w:tcPr/>
          <w:p>
            <w:pPr>
              <w:pStyle w:val="Compact"/>
              <w:jc w:val="left"/>
            </w:pPr>
            <w:r>
              <w:t xml:space="preserve">2023</w:t>
            </w:r>
          </w:p>
        </w:tc>
        <w:tc>
          <w:tcPr/>
          <w:p>
            <w:pPr>
              <w:pStyle w:val="Compact"/>
              <w:jc w:val="left"/>
            </w:pPr>
            <w:r>
              <w:t xml:space="preserve">High</w:t>
            </w:r>
          </w:p>
        </w:tc>
        <w:tc>
          <w:tcPr/>
          <w:p>
            <w:pPr>
              <w:pStyle w:val="Compact"/>
              <w:jc w:val="left"/>
            </w:pPr>
            <w:r>
              <w:t xml:space="preserve">Yes</w:t>
            </w:r>
          </w:p>
        </w:tc>
      </w:tr>
    </w:tbl>
    <w:p>
      <w:pPr>
        <w:pStyle w:val="BodyText"/>
      </w:pPr>
      <w:r>
        <w:t xml:space="preserve">*Vendor sponsorship or low objectivity noted in manuscript text.</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0"/>
        </w:numPr>
      </w:pPr>
      <w:r>
        <w:rPr>
          <w:b/>
          <w:bCs/>
        </w:rPr>
        <w:t xml:space="preserve">Non-exhaustive search</w:t>
      </w:r>
      <w:r>
        <w:t xml:space="preserve">: Literature identification was selective rather than exhaustive; relevant studies may have been missed</w:t>
      </w:r>
    </w:p>
    <w:p>
      <w:pPr>
        <w:pStyle w:val="Compact"/>
        <w:numPr>
          <w:ilvl w:val="0"/>
          <w:numId w:val="1010"/>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0"/>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0"/>
        </w:numPr>
      </w:pPr>
      <w:r>
        <w:rPr>
          <w:b/>
          <w:bCs/>
        </w:rPr>
        <w:t xml:space="preserve">Post-hoc selection criteria</w:t>
      </w:r>
      <w:r>
        <w:t xml:space="preserve">: Inclusion and exclusion criteria were refined during the review process rather than pre-registered</w:t>
      </w:r>
    </w:p>
    <w:p>
      <w:pPr>
        <w:pStyle w:val="Compact"/>
        <w:numPr>
          <w:ilvl w:val="0"/>
          <w:numId w:val="1010"/>
        </w:numPr>
      </w:pPr>
      <w:r>
        <w:rPr>
          <w:b/>
          <w:bCs/>
        </w:rPr>
        <w:t xml:space="preserve">No protocol registration</w:t>
      </w:r>
      <w:r>
        <w:t xml:space="preserve">: This review was not registered in PROSPERO or similar registries</w:t>
      </w:r>
    </w:p>
    <w:p>
      <w:pPr>
        <w:pStyle w:val="Compact"/>
        <w:numPr>
          <w:ilvl w:val="0"/>
          <w:numId w:val="1010"/>
        </w:numPr>
      </w:pPr>
      <w:r>
        <w:rPr>
          <w:b/>
          <w:bCs/>
        </w:rPr>
        <w:t xml:space="preserve">Dated workforce statistics</w:t>
      </w:r>
      <w:r>
        <w:t xml:space="preserve">: The primary healthcare IT turnover statistic (34% annually) derives from Ang and Slaughter’s 2004 study [A10]. While recent surveys [I11] confirm workforce challenges persist, the specific turnover rate may no longer accurately reflect current conditions. Updated empirical research measuring contemporary healthcare IT turnover rates would strengthen this analysis</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nursing turnover meta-analyses,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1"/>
        </w:numPr>
      </w:pPr>
      <w:r>
        <w:rPr>
          <w:b/>
          <w:bCs/>
        </w:rPr>
        <w:t xml:space="preserve">Theme Extraction</w:t>
      </w:r>
      <w:r>
        <w:t xml:space="preserve">: Systematic coding of 41 sources identified recurring themes across technical, organizational, and workforce dimensions</w:t>
      </w:r>
    </w:p>
    <w:p>
      <w:pPr>
        <w:pStyle w:val="Compact"/>
        <w:numPr>
          <w:ilvl w:val="0"/>
          <w:numId w:val="1011"/>
        </w:numPr>
      </w:pPr>
      <w:r>
        <w:rPr>
          <w:b/>
          <w:bCs/>
        </w:rPr>
        <w:t xml:space="preserve">Pattern Recognition</w:t>
      </w:r>
      <w:r>
        <w:t xml:space="preserve">: Cross-domain analysis revealed that challenges in each dimension amplified challenges in others (e.g., workforce turnover degrading analytics maturity, technical barriers preventing knowledge capture)</w:t>
      </w:r>
    </w:p>
    <w:p>
      <w:pPr>
        <w:pStyle w:val="Compact"/>
        <w:numPr>
          <w:ilvl w:val="0"/>
          <w:numId w:val="1011"/>
        </w:numPr>
      </w:pPr>
      <w:r>
        <w:rPr>
          <w:b/>
          <w:bCs/>
        </w:rPr>
        <w:t xml:space="preserve">Pillar Identification</w:t>
      </w:r>
      <w:r>
        <w:t xml:space="preserve">: Three orthogonal yet interconnected dimensions emerged as the organizing structure:</w:t>
      </w:r>
    </w:p>
    <w:p>
      <w:pPr>
        <w:pStyle w:val="Compact"/>
        <w:numPr>
          <w:ilvl w:val="1"/>
          <w:numId w:val="1012"/>
        </w:numPr>
      </w:pPr>
      <w:r>
        <w:rPr>
          <w:b/>
          <w:bCs/>
        </w:rPr>
        <w:t xml:space="preserve">Analytics Maturity</w:t>
      </w:r>
      <w:r>
        <w:t xml:space="preserve">: Organizational capability progression measured against HIMSS AMAM stages</w:t>
      </w:r>
    </w:p>
    <w:p>
      <w:pPr>
        <w:pStyle w:val="Compact"/>
        <w:numPr>
          <w:ilvl w:val="1"/>
          <w:numId w:val="1012"/>
        </w:numPr>
      </w:pPr>
      <w:r>
        <w:rPr>
          <w:b/>
          <w:bCs/>
        </w:rPr>
        <w:t xml:space="preserve">Workforce Dynamics</w:t>
      </w:r>
      <w:r>
        <w:t xml:space="preserve">: Human capital retention and tacit knowledge preservation</w:t>
      </w:r>
    </w:p>
    <w:p>
      <w:pPr>
        <w:pStyle w:val="Compact"/>
        <w:numPr>
          <w:ilvl w:val="1"/>
          <w:numId w:val="1012"/>
        </w:numPr>
      </w:pPr>
      <w:r>
        <w:rPr>
          <w:b/>
          <w:bCs/>
        </w:rPr>
        <w:t xml:space="preserve">Technical Barriers</w:t>
      </w:r>
      <w:r>
        <w:t xml:space="preserve">: NL2SQL capabilities and healthcare-specific implementation challenges</w:t>
      </w:r>
    </w:p>
    <w:p>
      <w:pPr>
        <w:pStyle w:val="Compact"/>
        <w:numPr>
          <w:ilvl w:val="0"/>
          <w:numId w:val="1011"/>
        </w:numPr>
      </w:pPr>
      <w:r>
        <w:rPr>
          <w:b/>
          <w:bCs/>
        </w:rPr>
        <w:t xml:space="preserve">Framework Validation</w:t>
      </w:r>
      <w:r>
        <w:t xml:space="preserve">: Pillar structure tested against all 41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rPr>
          <w:b/>
          <w:bCs/>
        </w:rPr>
        <w:t xml:space="preserve">Table 3: Framework Alignment with Established Models</w:t>
      </w:r>
    </w:p>
    <w:tbl>
      <w:tblPr>
        <w:tblStyle w:val="Table"/>
        <w:tblW w:type="pct" w:w="5000"/>
        <w:jc w:val="left"/>
        <w:tblLayout w:type="fixed"/>
        <w:tblLook w:firstRow="1" w:lastRow="0" w:firstColumn="0" w:lastColumn="0" w:noHBand="0" w:noVBand="0" w:val="0020"/>
      </w:tblPr>
      <w:tblGrid>
        <w:gridCol w:w="1584"/>
        <w:gridCol w:w="2323"/>
        <w:gridCol w:w="1689"/>
        <w:gridCol w:w="2323"/>
      </w:tblGrid>
      <w:tr>
        <w:trPr>
          <w:tblHeader w:val="on"/>
        </w:trPr>
        <w:tc>
          <w:tcPr/>
          <w:p>
            <w:pPr>
              <w:pStyle w:val="Compact"/>
              <w:jc w:val="left"/>
            </w:pPr>
            <w:r>
              <w:t xml:space="preserve">Three Pillars</w:t>
            </w:r>
          </w:p>
        </w:tc>
        <w:tc>
          <w:tcPr/>
          <w:p>
            <w:pPr>
              <w:pStyle w:val="Compact"/>
              <w:jc w:val="left"/>
            </w:pPr>
            <w:r>
              <w:t xml:space="preserve">HIMSS AMAM Alignment</w:t>
            </w:r>
          </w:p>
        </w:tc>
        <w:tc>
          <w:tcPr/>
          <w:p>
            <w:pPr>
              <w:pStyle w:val="Compact"/>
              <w:jc w:val="left"/>
            </w:pPr>
            <w:r>
              <w:t xml:space="preserve">DIKW Hierarchy</w:t>
            </w:r>
          </w:p>
        </w:tc>
        <w:tc>
          <w:tcPr/>
          <w:p>
            <w:pPr>
              <w:pStyle w:val="Compact"/>
              <w:jc w:val="left"/>
            </w:pPr>
            <w:r>
              <w:t xml:space="preserve">Knowledge Management</w:t>
            </w:r>
          </w:p>
        </w:tc>
      </w:tr>
      <w:tr>
        <w:tc>
          <w:tcPr/>
          <w:p>
            <w:pPr>
              <w:pStyle w:val="Compact"/>
              <w:jc w:val="left"/>
            </w:pPr>
            <w:r>
              <w:t xml:space="preserve">Analytics Maturity</w:t>
            </w:r>
          </w:p>
        </w:tc>
        <w:tc>
          <w:tcPr/>
          <w:p>
            <w:pPr>
              <w:pStyle w:val="Compact"/>
              <w:jc w:val="left"/>
            </w:pPr>
            <w:r>
              <w:t xml:space="preserve">Stages 0-7 progression</w:t>
            </w:r>
          </w:p>
        </w:tc>
        <w:tc>
          <w:tcPr/>
          <w:p>
            <w:pPr>
              <w:pStyle w:val="Compact"/>
              <w:jc w:val="left"/>
            </w:pPr>
            <w:r>
              <w:t xml:space="preserve">Data → Information</w:t>
            </w:r>
          </w:p>
        </w:tc>
        <w:tc>
          <w:tcPr/>
          <w:p>
            <w:pPr>
              <w:pStyle w:val="Compact"/>
              <w:jc w:val="left"/>
            </w:pPr>
            <w:r>
              <w:t xml:space="preserve">Organizational learning</w:t>
            </w:r>
          </w:p>
        </w:tc>
      </w:tr>
      <w:tr>
        <w:tc>
          <w:tcPr/>
          <w:p>
            <w:pPr>
              <w:pStyle w:val="Compact"/>
              <w:jc w:val="left"/>
            </w:pPr>
            <w:r>
              <w:t xml:space="preserve">Workforce Dynamics</w:t>
            </w:r>
          </w:p>
        </w:tc>
        <w:tc>
          <w:tcPr/>
          <w:p>
            <w:pPr>
              <w:pStyle w:val="Compact"/>
              <w:jc w:val="left"/>
            </w:pPr>
            <w:r>
              <w:t xml:space="preserve">Implicit in advanced stages</w:t>
            </w:r>
          </w:p>
        </w:tc>
        <w:tc>
          <w:tcPr/>
          <w:p>
            <w:pPr>
              <w:pStyle w:val="Compact"/>
              <w:jc w:val="left"/>
            </w:pPr>
            <w:r>
              <w:t xml:space="preserve">Knowledge (tacit) → Wisdom</w:t>
            </w:r>
          </w:p>
        </w:tc>
        <w:tc>
          <w:tcPr/>
          <w:p>
            <w:pPr>
              <w:pStyle w:val="Compact"/>
              <w:jc w:val="left"/>
            </w:pPr>
            <w:r>
              <w:t xml:space="preserve">Tacit knowledge transfer</w:t>
            </w:r>
          </w:p>
        </w:tc>
      </w:tr>
      <w:tr>
        <w:tc>
          <w:tcPr/>
          <w:p>
            <w:pPr>
              <w:pStyle w:val="Compact"/>
              <w:jc w:val="left"/>
            </w:pPr>
            <w:r>
              <w:t xml:space="preserve">Technical Barriers</w:t>
            </w:r>
          </w:p>
        </w:tc>
        <w:tc>
          <w:tcPr/>
          <w:p>
            <w:pPr>
              <w:pStyle w:val="Compact"/>
              <w:jc w:val="left"/>
            </w:pPr>
            <w:r>
              <w:t xml:space="preserve">Stage 6-7 requirements</w:t>
            </w:r>
          </w:p>
        </w:tc>
        <w:tc>
          <w:tcPr/>
          <w:p>
            <w:pPr>
              <w:pStyle w:val="Compact"/>
              <w:jc w:val="left"/>
            </w:pPr>
            <w:r>
              <w:t xml:space="preserve">Information → Knowledge</w:t>
            </w:r>
          </w:p>
        </w:tc>
        <w:tc>
          <w:tcPr/>
          <w:p>
            <w:pPr>
              <w:pStyle w:val="Compact"/>
              <w:jc w:val="left"/>
            </w:pPr>
            <w:r>
              <w:t xml:space="preserve">Knowledge codification</w:t>
            </w:r>
          </w:p>
        </w:tc>
      </w:tr>
    </w:tbl>
    <w:p>
      <w:pPr>
        <w:pStyle w:val="BodyText"/>
      </w:pPr>
      <w:r>
        <w:t xml:space="preserve">The HIMSS Analytics Maturity Assessment Model [I1] 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7" w:name="X85f1c6778b7ce1289d057c0d7f7b4fecbd614f8"/>
    <w:p>
      <w:pPr>
        <w:pStyle w:val="Heading1"/>
      </w:pPr>
      <w:r>
        <w:rPr>
          <w:rStyle w:val="SectionNumber"/>
        </w:rPr>
        <w:t xml:space="preserve">4</w:t>
      </w:r>
      <w:r>
        <w:tab/>
      </w:r>
      <w:r>
        <w:t xml:space="preserve">Literature Review: Natural Language Analytics in Healthcare - Evidence for Institutional Memory Preservation</w:t>
      </w:r>
    </w:p>
    <w:p>
      <w:pPr>
        <w:pStyle w:val="FirstParagraph"/>
      </w:pPr>
      <w:r>
        <w:t xml:space="preserve">This narrative review examines evidence supporting the implementation of natural language analytics platforms in healthcare systems. Drawing from peer-reviewed research, industry reports, and benchmark datasets identified through the methodology described in the previous section, we synthesize findings across three domains. Analysis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46" w:name="X79e53be5adb6b9863f8ca49c43cb7059ea634a1"/>
    <w:p>
      <w:pPr>
        <w:pStyle w:val="Heading2"/>
      </w:pPr>
      <w:r>
        <w:rPr>
          <w:rStyle w:val="SectionNumber"/>
        </w:rPr>
        <w:t xml:space="preserve">4.1</w:t>
      </w:r>
      <w:r>
        <w:tab/>
      </w:r>
      <w:r>
        <w:t xml:space="preserve">Current State of Natural Language to SQL Generation</w:t>
      </w:r>
    </w:p>
    <w:bookmarkStart w:id="43" w:name="evolution-and-technical-advances"/>
    <w:p>
      <w:pPr>
        <w:pStyle w:val="Heading3"/>
      </w:pPr>
      <w:r>
        <w:rPr>
          <w:rStyle w:val="SectionNumber"/>
        </w:rPr>
        <w:t xml:space="preserve">4.1.1</w:t>
      </w:r>
      <w:r>
        <w:tab/>
      </w:r>
      <w:r>
        <w:t xml:space="preserve">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[A8, A9]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43"/>
    <w:bookmarkStart w:id="44" w:name="healthcare-specific-challenges"/>
    <w:p>
      <w:pPr>
        <w:pStyle w:val="Heading3"/>
      </w:pPr>
      <w:r>
        <w:rPr>
          <w:rStyle w:val="SectionNumber"/>
        </w:rPr>
        <w:t xml:space="preserve">4.1.2</w:t>
      </w:r>
      <w:r>
        <w:tab/>
      </w:r>
      <w:r>
        <w:t xml:space="preserve">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44"/>
    <w:bookmarkStart w:id="45" w:name="promising-approaches-and-limitations"/>
    <w:p>
      <w:pPr>
        <w:pStyle w:val="Heading3"/>
      </w:pPr>
      <w:r>
        <w:rPr>
          <w:rStyle w:val="SectionNumber"/>
        </w:rPr>
        <w:t xml:space="preserve">4.1.3</w:t>
      </w:r>
      <w:r>
        <w:tab/>
      </w:r>
      <w:r>
        <w:t xml:space="preserve">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[A8, A9]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45"/>
    <w:bookmarkEnd w:id="46"/>
    <w:bookmarkStart w:id="50" w:name="state-of-healthcare-analytics-maturity"/>
    <w:p>
      <w:pPr>
        <w:pStyle w:val="Heading2"/>
      </w:pPr>
      <w:r>
        <w:rPr>
          <w:rStyle w:val="SectionNumber"/>
        </w:rPr>
        <w:t xml:space="preserve">4.2</w:t>
      </w:r>
      <w:r>
        <w:tab/>
      </w:r>
      <w:r>
        <w:t xml:space="preserve">State of Healthcare Analytics Maturity</w:t>
      </w:r>
    </w:p>
    <w:bookmarkStart w:id="47" w:name="low-organizational-maturity"/>
    <w:p>
      <w:pPr>
        <w:pStyle w:val="Heading3"/>
      </w:pPr>
      <w:r>
        <w:rPr>
          <w:rStyle w:val="SectionNumber"/>
        </w:rPr>
        <w:t xml:space="preserve">4.2.1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[A14]. Research confirms healthcare’s adoption of analytics often lags behind other sectors such as retail and banking, partly due to the complexity of implementing new technology in clinical environments. The newly revised AMAM model shifts focus from technical capabilities to outcomes, measuring the real impact of analytics on patient care, system-wide operations, and governance.</w:t>
      </w:r>
    </w:p>
    <w:bookmarkEnd w:id="47"/>
    <w:bookmarkStart w:id="48" w:name="barriers-to-analytics-adoption"/>
    <w:p>
      <w:pPr>
        <w:pStyle w:val="Heading3"/>
      </w:pPr>
      <w:r>
        <w:rPr>
          <w:rStyle w:val="SectionNumber"/>
        </w:rPr>
        <w:t xml:space="preserve">4.2.2</w:t>
      </w:r>
      <w:r>
        <w:tab/>
      </w:r>
      <w:r>
        <w:t xml:space="preserve">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a vendor-produced framework, corroborates these findings, documenting that most healthcare organizations remain at Stages 0-3, characterized by:</w:t>
      </w:r>
    </w:p>
    <w:p>
      <w:pPr>
        <w:pStyle w:val="Compact"/>
        <w:numPr>
          <w:ilvl w:val="0"/>
          <w:numId w:val="1013"/>
        </w:numPr>
      </w:pPr>
      <w:r>
        <w:t xml:space="preserve">Fragmented data sources without integration</w:t>
      </w:r>
    </w:p>
    <w:p>
      <w:pPr>
        <w:pStyle w:val="Compact"/>
        <w:numPr>
          <w:ilvl w:val="0"/>
          <w:numId w:val="1013"/>
        </w:numPr>
      </w:pPr>
      <w:r>
        <w:t xml:space="preserve">Limited automated reporting capabilities</w:t>
      </w:r>
    </w:p>
    <w:p>
      <w:pPr>
        <w:pStyle w:val="Compact"/>
        <w:numPr>
          <w:ilvl w:val="0"/>
          <w:numId w:val="1013"/>
        </w:numPr>
      </w:pPr>
      <w:r>
        <w:t xml:space="preserve">Lack of standardized data governance</w:t>
      </w:r>
    </w:p>
    <w:p>
      <w:pPr>
        <w:pStyle w:val="Compact"/>
        <w:numPr>
          <w:ilvl w:val="0"/>
          <w:numId w:val="1013"/>
        </w:numPr>
      </w:pPr>
      <w:r>
        <w:t xml:space="preserve">Minimal predictive or prescriptive analytics</w:t>
      </w:r>
    </w:p>
    <w:p>
      <w:pPr>
        <w:pStyle w:val="Compact"/>
        <w:numPr>
          <w:ilvl w:val="0"/>
          <w:numId w:val="1013"/>
        </w:numPr>
      </w:pPr>
      <w:r>
        <w:t xml:space="preserve">Absence of real-time decision support</w:t>
      </w:r>
    </w:p>
    <w:bookmarkEnd w:id="48"/>
    <w:bookmarkStart w:id="49" w:name="the-analytics-skills-gap"/>
    <w:p>
      <w:pPr>
        <w:pStyle w:val="Heading3"/>
      </w:pPr>
      <w:r>
        <w:rPr>
          <w:rStyle w:val="SectionNumber"/>
        </w:rPr>
        <w:t xml:space="preserve">4.2.3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There is an acknowledged problem in health services where organizations cannot make good use of available data due to a deficit in skilled analysts across all sectors and levels [A15]. Organizations face critical challenges in recruiting and retaining professionals with the right analytical skills, while the need for big data specialists with analytical capabilities continues to grow [A16]. Traditional approaches to analytics require extensive technical expertise that healthcare professionals typically lack, creating a fundamental barrier to analytics adoption [I11].</w:t>
      </w:r>
    </w:p>
    <w:bookmarkEnd w:id="49"/>
    <w:bookmarkEnd w:id="50"/>
    <w:bookmarkStart w:id="54" w:name="X033aaa01add75caa19416ed7b909f71ff5bd76d"/>
    <w:p>
      <w:pPr>
        <w:pStyle w:val="Heading2"/>
      </w:pPr>
      <w:r>
        <w:rPr>
          <w:rStyle w:val="SectionNumber"/>
        </w:rPr>
        <w:t xml:space="preserve">4.3</w:t>
      </w:r>
      <w:r>
        <w:tab/>
      </w:r>
      <w:r>
        <w:t xml:space="preserve">Healthcare Workforce Turnover and Knowledge Loss</w:t>
      </w:r>
    </w:p>
    <w:bookmarkStart w:id="51" w:name="turnover-rates-and-financial-impact"/>
    <w:p>
      <w:pPr>
        <w:pStyle w:val="Heading3"/>
      </w:pPr>
      <w:r>
        <w:rPr>
          <w:rStyle w:val="SectionNumber"/>
        </w:rPr>
        <w:t xml:space="preserve">4.3.1</w:t>
      </w:r>
      <w:r>
        <w:tab/>
      </w:r>
      <w:r>
        <w:t xml:space="preserve">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Massingham [A24] measured the impact of knowledge loss in a longitudinal study, finding that the total financial cost to address problems caused by knowledge loss reached three times the organization’s annual salary budget, including increased training costs, productivity losses, and project delays. Vendor analysis from Oracle [I6] corroborates these findings, documenting turnover costs at 0.5-2.0 times annual salary with knowledge-intensive positions reaching the higher end.</w:t>
      </w:r>
    </w:p>
    <w:p>
      <w:pPr>
        <w:pStyle w:val="BodyText"/>
      </w:pPr>
      <w:r>
        <w:t xml:space="preserve">Technical and analytics staff face even more severe turnover challenges. In their 2004 study, Ang and Slaughter [A10] found that IT professionals at healthcare provider institutions (where IT serves as a support function rather than core business) had average tenure of just 2.9 years, implying annual turnover of 34% (calculated as 1/2.9 years), the highest rate among all IT organization types studied at that time. This compared unfavorably to the 9.68-year average for IT managerial positions overall. While this data is now two decades old, recent surveys confirm workforce challenges persist: the 2023 AHIMA/NORC workforce survey found that 66% of health information professionals report persistent staffing shortages, with 83% witnessing increased unfilled positions over the past year [I11].</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 [A11]. International Medical Informatics Association recommendations specify a minimum of 1 year (60 ECTS credits) for biomedical and health informatics specialists [A12], with personalized EHR training programs requiring 6 months of blended instruction to achieve meaningful competency improvements [A13]. Combined with the 2.9-year average tenure, healthcare IT professionals may operate at full productivity for only approximately two years before departing, which creates a perpetual cycle where organizations lose experienced staff before fully recouping their training investment.</w:t>
      </w:r>
    </w:p>
    <w:bookmarkEnd w:id="51"/>
    <w:bookmarkStart w:id="52" w:name="institutional-memory-loss"/>
    <w:p>
      <w:pPr>
        <w:pStyle w:val="Heading3"/>
      </w:pPr>
      <w:r>
        <w:rPr>
          <w:rStyle w:val="SectionNumber"/>
        </w:rPr>
        <w:t xml:space="preserve">4.3.2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 [A17].</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52"/>
    <w:bookmarkStart w:id="53" w:name="inadequacy-of-traditional-approaches"/>
    <w:p>
      <w:pPr>
        <w:pStyle w:val="Heading3"/>
      </w:pPr>
      <w:r>
        <w:rPr>
          <w:rStyle w:val="SectionNumber"/>
        </w:rPr>
        <w:t xml:space="preserve">4.3.3</w:t>
      </w:r>
      <w:r>
        <w:tab/>
      </w:r>
      <w:r>
        <w:t xml:space="preserve">Inadequacy of Traditional Approaches</w:t>
      </w:r>
    </w:p>
    <w:p>
      <w:pPr>
        <w:pStyle w:val="FirstParagraph"/>
      </w:pPr>
      <w:r>
        <w:t xml:space="preserve">The literature demonstrates that conventional knowledge management approaches fail in healthcare contexts [A17, A18]:</w:t>
      </w:r>
    </w:p>
    <w:p>
      <w:pPr>
        <w:pStyle w:val="Compact"/>
        <w:numPr>
          <w:ilvl w:val="0"/>
          <w:numId w:val="1014"/>
        </w:numPr>
      </w:pPr>
      <w:r>
        <w:t xml:space="preserve">Traditional knowledge transfer mechanisms show limited effectiveness</w:t>
      </w:r>
    </w:p>
    <w:p>
      <w:pPr>
        <w:pStyle w:val="Compact"/>
        <w:numPr>
          <w:ilvl w:val="0"/>
          <w:numId w:val="1014"/>
        </w:numPr>
      </w:pPr>
      <w:r>
        <w:t xml:space="preserve">Organizations struggle to capture and maintain analytical expertise</w:t>
      </w:r>
    </w:p>
    <w:p>
      <w:pPr>
        <w:pStyle w:val="Compact"/>
        <w:numPr>
          <w:ilvl w:val="0"/>
          <w:numId w:val="1014"/>
        </w:numPr>
      </w:pPr>
      <w:r>
        <w:t xml:space="preserve">Security concerns and employee resistance to change slow the pace of information system acceptance [A18]</w:t>
      </w:r>
    </w:p>
    <w:p>
      <w:pPr>
        <w:pStyle w:val="Compact"/>
        <w:numPr>
          <w:ilvl w:val="0"/>
          <w:numId w:val="1014"/>
        </w:numPr>
      </w:pPr>
      <w:r>
        <w:t xml:space="preserve">Person-to-person knowledge transfer fails during rapid turnover cycles</w:t>
      </w:r>
    </w:p>
    <w:bookmarkEnd w:id="53"/>
    <w:bookmarkEnd w:id="54"/>
    <w:bookmarkStart w:id="58" w:name="X4fcdb465b5d130fc136a191f4ad96d06b004362"/>
    <w:p>
      <w:pPr>
        <w:pStyle w:val="Heading2"/>
      </w:pPr>
      <w:r>
        <w:rPr>
          <w:rStyle w:val="SectionNumber"/>
        </w:rPr>
        <w:t xml:space="preserve">4.4</w:t>
      </w:r>
      <w:r>
        <w:tab/>
      </w:r>
      <w:r>
        <w:t xml:space="preserve">Integration of Evidence: The Case for Conversational AI</w:t>
      </w:r>
    </w:p>
    <w:bookmarkStart w:id="55" w:name="bridging-technical-and-domain-expertise"/>
    <w:p>
      <w:pPr>
        <w:pStyle w:val="Heading3"/>
      </w:pPr>
      <w:r>
        <w:rPr>
          <w:rStyle w:val="SectionNumber"/>
        </w:rPr>
        <w:t xml:space="preserve">4.4.1</w:t>
      </w:r>
      <w:r>
        <w:tab/>
      </w:r>
      <w:r>
        <w:t xml:space="preserve">Bridging Technical and Domain Expertise</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platforms and conversational AI represent complementary approaches to reducing technical barriers in healthcare analytics.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bookmarkEnd w:id="55"/>
    <w:bookmarkStart w:id="56" w:name="knowledge-preservation-mechanisms"/>
    <w:p>
      <w:pPr>
        <w:pStyle w:val="Heading3"/>
      </w:pPr>
      <w:r>
        <w:rPr>
          <w:rStyle w:val="SectionNumber"/>
        </w:rPr>
        <w:t xml:space="preserve">4.4.2</w:t>
      </w:r>
      <w:r>
        <w:tab/>
      </w:r>
      <w:r>
        <w:t xml:space="preserve">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p>
    <w:p>
      <w:pPr>
        <w:pStyle w:val="Compact"/>
        <w:numPr>
          <w:ilvl w:val="0"/>
          <w:numId w:val="1015"/>
        </w:numPr>
      </w:pPr>
      <w:r>
        <w:t xml:space="preserve">Capturing decision-making patterns through usage</w:t>
      </w:r>
    </w:p>
    <w:p>
      <w:pPr>
        <w:pStyle w:val="Compact"/>
        <w:numPr>
          <w:ilvl w:val="0"/>
          <w:numId w:val="1015"/>
        </w:numPr>
      </w:pPr>
      <w:r>
        <w:t xml:space="preserve">Encoding best practices in accessible formats</w:t>
      </w:r>
    </w:p>
    <w:p>
      <w:pPr>
        <w:pStyle w:val="Compact"/>
        <w:numPr>
          <w:ilvl w:val="0"/>
          <w:numId w:val="1015"/>
        </w:numPr>
      </w:pPr>
      <w:r>
        <w:t xml:space="preserve">Providing context-aware guidance to new users</w:t>
      </w:r>
    </w:p>
    <w:p>
      <w:pPr>
        <w:pStyle w:val="Compact"/>
        <w:numPr>
          <w:ilvl w:val="0"/>
          <w:numId w:val="1015"/>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p>
    <w:bookmarkEnd w:id="56"/>
    <w:bookmarkStart w:id="57" w:name="X33defb0ba4308c2b324fedd90e429c7c8fc7e98"/>
    <w:p>
      <w:pPr>
        <w:pStyle w:val="Heading3"/>
      </w:pPr>
      <w:r>
        <w:rPr>
          <w:rStyle w:val="SectionNumber"/>
        </w:rPr>
        <w:t xml:space="preserve">4.4.3</w:t>
      </w:r>
      <w:r>
        <w:tab/>
      </w:r>
      <w:r>
        <w:t xml:space="preserve">Empirical Support for Barrier-Reducing Technologies</w:t>
      </w:r>
    </w:p>
    <w:p>
      <w:pPr>
        <w:pStyle w:val="FirstParagraph"/>
      </w:pPr>
      <w:r>
        <w:t xml:space="preserve">Academic research provides growing evidence for both conversational AI and low-code approaches in healthcare, technologies that share the goal of reducing technical barriers to data-driven decision making. On the conversational AI side, Sezgin et al. [A19] demonstrated that GPT-3-powered chatbots can reduce overhead at clinics, while Jiao et al. [A20] found AI adoption leads to cost savings through improved service delivery and shorter hospitalization lengths. Dai and Abramoff [A21] explain that AI generates predictions affordably, enabling earlier care that potentially prevents costly interventions.</w:t>
      </w:r>
    </w:p>
    <w:p>
      <w:pPr>
        <w:pStyle w:val="BodyText"/>
      </w:pPr>
      <w:r>
        <w:t xml:space="preserve">Low-code implementations provide parallel evidence for the benefits of barrier reduction.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 This evidence supports the broader principle that reducing technical barriers, whether through visual development or natural language interfaces, enables healthcare domain experts to leverage data directly. Industry-sponsored research from Forrester [I5] projects 206% three-year ROI from low-code implementations, though these figures should be interpreted with caution given vendor sponsorship.</w:t>
      </w:r>
    </w:p>
    <w:p>
      <w:pPr>
        <w:pStyle w:val="BodyText"/>
      </w:pPr>
      <w:r>
        <w:t xml:space="preserve">Healthcare-specific studies show concrete benefits across both approaches: Pennington [A22] found AI in revenue cycle management accelerated payment cycles from 90 days to 40 days, while Atobatele et al. [A23] documented how low-code platforms enable non-technical staff to build applications, leading to efficiency gains. These findings collectively demonstrate that technologies enabling non-technical users to interact with complex systems, whether through visual interfaces or natural language, produce measurable organizational benefits.</w:t>
      </w:r>
    </w:p>
    <w:bookmarkEnd w:id="57"/>
    <w:bookmarkEnd w:id="58"/>
    <w:bookmarkStart w:id="62" w:name="Xe532debb859e62ad2038db373f15ff8608a8c3a"/>
    <w:p>
      <w:pPr>
        <w:pStyle w:val="Heading2"/>
      </w:pPr>
      <w:r>
        <w:rPr>
          <w:rStyle w:val="SectionNumber"/>
        </w:rPr>
        <w:t xml:space="preserve">4.5</w:t>
      </w:r>
      <w:r>
        <w:tab/>
      </w:r>
      <w:r>
        <w:t xml:space="preserve">Implications for Healthcare Organizations</w:t>
      </w:r>
    </w:p>
    <w:bookmarkStart w:id="59" w:name="strategic-alignment-with-industry-trends"/>
    <w:p>
      <w:pPr>
        <w:pStyle w:val="Heading3"/>
      </w:pPr>
      <w:r>
        <w:rPr>
          <w:rStyle w:val="SectionNumber"/>
        </w:rPr>
        <w:t xml:space="preserve">4.5.1</w:t>
      </w:r>
      <w:r>
        <w:tab/>
      </w:r>
      <w:r>
        <w:t xml:space="preserve">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59"/>
    <w:bookmarkStart w:id="60" w:name="return-on-investment-evidence"/>
    <w:p>
      <w:pPr>
        <w:pStyle w:val="Heading3"/>
      </w:pPr>
      <w:r>
        <w:rPr>
          <w:rStyle w:val="SectionNumber"/>
        </w:rPr>
        <w:t xml:space="preserve">4.5.2</w:t>
      </w:r>
      <w:r>
        <w:tab/>
      </w:r>
      <w:r>
        <w:t xml:space="preserve">Return on Investment Evidence</w:t>
      </w:r>
    </w:p>
    <w:p>
      <w:pPr>
        <w:pStyle w:val="FirstParagraph"/>
      </w:pPr>
      <w:r>
        <w:t xml:space="preserve">Academic research documents multiple pathways to ROI for barrier-reducing technologies in healthcare. Conversational AI implementations show direct benefits: Jiao et al. [A20] found that AI-driven efficiency gains, including shorter hospitalization lengths, translate into financial and operational benefits for healthcare providers; Pennington [A22] documented that AI in revenue cycle management accelerated payment cycles from 90 to 40 days, improving cash flow; and Sezgin et al. [A19] proposed chatbot implementations that reduce clinic overhead.</w:t>
      </w:r>
    </w:p>
    <w:p>
      <w:pPr>
        <w:pStyle w:val="BodyText"/>
      </w:pPr>
      <w:r>
        <w:t xml:space="preserve">Low-code platform ROI provides analogous evidence for the value of technical barrier reduction. Industry-sponsored research from Forrester [I5] projects 206% three-year ROI from Power Platform implementations; however, these figures should be interpreted cautiously given vendor sponsorship.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 [I7] projects the healthcare analytics market to grow from $64.49 billion in 2025 to $369.66 billion by 2034 (21.41% CAGR).</w:t>
      </w:r>
    </w:p>
    <w:bookmarkEnd w:id="60"/>
    <w:bookmarkStart w:id="61" w:name="Xe6fa002d43c62898b44d68560b42a19c9fcb56d"/>
    <w:p>
      <w:pPr>
        <w:pStyle w:val="Heading3"/>
      </w:pPr>
      <w:r>
        <w:rPr>
          <w:rStyle w:val="SectionNumber"/>
        </w:rPr>
        <w:t xml:space="preserve">4.5.3</w:t>
      </w:r>
      <w:r>
        <w:tab/>
      </w:r>
      <w:r>
        <w:t xml:space="preserve">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6"/>
        </w:numPr>
      </w:pPr>
      <w:r>
        <w:rPr>
          <w:b/>
          <w:bCs/>
        </w:rPr>
        <w:t xml:space="preserve">Long-term outcomes</w:t>
      </w:r>
      <w:r>
        <w:t xml:space="preserve">: Most studies examine 6-24 month implementations; multi-year impacts remain understudied</w:t>
      </w:r>
    </w:p>
    <w:p>
      <w:pPr>
        <w:pStyle w:val="Compact"/>
        <w:numPr>
          <w:ilvl w:val="0"/>
          <w:numId w:val="1016"/>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6"/>
        </w:numPr>
      </w:pPr>
      <w:r>
        <w:rPr>
          <w:b/>
          <w:bCs/>
        </w:rPr>
        <w:t xml:space="preserve">Governance frameworks</w:t>
      </w:r>
      <w:r>
        <w:t xml:space="preserve">: Limited research on optimal governance models for democratized analytics</w:t>
      </w:r>
    </w:p>
    <w:p>
      <w:pPr>
        <w:pStyle w:val="Compact"/>
        <w:numPr>
          <w:ilvl w:val="0"/>
          <w:numId w:val="1016"/>
        </w:numPr>
      </w:pPr>
      <w:r>
        <w:rPr>
          <w:b/>
          <w:bCs/>
        </w:rPr>
        <w:t xml:space="preserve">Training methodologies</w:t>
      </w:r>
      <w:r>
        <w:t xml:space="preserve">: Best practices for transitioning from traditional to conversational analytics lack empirical validation</w:t>
      </w:r>
    </w:p>
    <w:p>
      <w:pPr>
        <w:pStyle w:val="Compact"/>
        <w:numPr>
          <w:ilvl w:val="0"/>
          <w:numId w:val="1016"/>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6"/>
        </w:numPr>
      </w:pPr>
      <w:r>
        <w:rPr>
          <w:b/>
          <w:bCs/>
        </w:rPr>
        <w:t xml:space="preserve">Quantitative efficiency metrics</w:t>
      </w:r>
      <w:r>
        <w:t xml:space="preserve">: While evidence from healthcare implementations suggests significant improvements in efficiency, peer-reviewed studies with rigorous methodology measuring time savings, task completion rates, and productivity gains for NL2SQL and low-code approaches (independent of vendor sponsorship) remain limited</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 [A26].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 [A27].</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 [A28]. At the institutional level, data fragmentation across different organizations creates barriers to linkage, access, and care continuity, while governance issues including unclear responsibilities and weak collaboration compound the problem [A29].</w:t>
      </w:r>
    </w:p>
    <w:p>
      <w:pPr>
        <w:pStyle w:val="BodyText"/>
      </w:pPr>
      <w:r>
        <w:t xml:space="preserve">High-profile industry events illustrate these documented challenges. IBM divested its Watson Health data and analytics assets in 2022 [I9], and the Haven healthcare venture (backed by Amazon, Berkshire Hathaway, and JPMorgan Chase) disbanded in 2021 after three years [I10].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88"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68" w:name="validated-benchmarking-data"/>
    <w:p>
      <w:pPr>
        <w:pStyle w:val="Heading3"/>
      </w:pPr>
      <w:r>
        <w:rPr>
          <w:rStyle w:val="SectionNumber"/>
        </w:rPr>
        <w:t xml:space="preserve">5.1.1</w:t>
      </w:r>
      <w:r>
        <w:tab/>
      </w:r>
      <w:r>
        <w:t xml:space="preserve">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[A8] and comprehensive medical LLM evaluations [A9] offer reproducible, quantitative performance metrics.</w:t>
      </w:r>
    </w:p>
    <w:bookmarkEnd w:id="68"/>
    <w:bookmarkStart w:id="69" w:name="real-world-implementation-evidence"/>
    <w:p>
      <w:pPr>
        <w:pStyle w:val="Heading3"/>
      </w:pPr>
      <w:r>
        <w:rPr>
          <w:rStyle w:val="SectionNumber"/>
        </w:rPr>
        <w:t xml:space="preserve">5.1.2</w:t>
      </w:r>
      <w:r>
        <w:tab/>
      </w:r>
      <w:r>
        <w:t xml:space="preserve">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69"/>
    <w:bookmarkStart w:id="70" w:name="X4bdb3f96981e95785fd307c52a030d26fb6f97c"/>
    <w:p>
      <w:pPr>
        <w:pStyle w:val="Heading3"/>
      </w:pPr>
      <w:r>
        <w:rPr>
          <w:rStyle w:val="SectionNumber"/>
        </w:rPr>
        <w:t xml:space="preserve">5.1.3</w:t>
      </w:r>
      <w:r>
        <w:tab/>
      </w:r>
      <w:r>
        <w:t xml:space="preserve">Addresses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70"/>
    <w:bookmarkStart w:id="71" w:name="strong-economic-justification"/>
    <w:p>
      <w:pPr>
        <w:pStyle w:val="Heading3"/>
      </w:pPr>
      <w:r>
        <w:rPr>
          <w:rStyle w:val="SectionNumber"/>
        </w:rPr>
        <w:t xml:space="preserve">5.1.4</w:t>
      </w:r>
      <w:r>
        <w:tab/>
      </w:r>
      <w:r>
        <w:t xml:space="preserve">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71"/>
    <w:bookmarkStart w:id="72" w:name="honest-assessment-of-limitations"/>
    <w:p>
      <w:pPr>
        <w:pStyle w:val="Heading3"/>
      </w:pPr>
      <w:r>
        <w:rPr>
          <w:rStyle w:val="SectionNumber"/>
        </w:rPr>
        <w:t xml:space="preserve">5.1.5</w:t>
      </w:r>
      <w:r>
        <w:tab/>
      </w:r>
      <w:r>
        <w:t xml:space="preserve">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72"/>
    <w:bookmarkEnd w:id="73"/>
    <w:bookmarkStart w:id="80" w:name="limitations-and-constraints"/>
    <w:p>
      <w:pPr>
        <w:pStyle w:val="Heading2"/>
      </w:pPr>
      <w:r>
        <w:rPr>
          <w:rStyle w:val="SectionNumber"/>
        </w:rPr>
        <w:t xml:space="preserve">5.2</w:t>
      </w:r>
      <w:r>
        <w:tab/>
      </w:r>
      <w:r>
        <w:t xml:space="preserve">Limitations and Constraints</w:t>
      </w:r>
    </w:p>
    <w:p>
      <w:pPr>
        <w:pStyle w:val="FirstParagraph"/>
      </w:pPr>
      <w:r>
        <w:t xml:space="preserve">Despite strong evidence supporting conversational AI adoption, several limitations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 [I8].</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78"/>
    <w:bookmarkStart w:id="79"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17"/>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17"/>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17"/>
        </w:numPr>
      </w:pPr>
      <w:r>
        <w:rPr>
          <w:b/>
          <w:bCs/>
        </w:rPr>
        <w:t xml:space="preserve">Governance Framework Development</w:t>
      </w:r>
      <w:r>
        <w:t xml:space="preserve">: Research on optimal governance models for democratized analytics</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18"/>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18"/>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18"/>
        </w:numPr>
      </w:pPr>
      <w:r>
        <w:rPr>
          <w:b/>
          <w:bCs/>
        </w:rPr>
        <w:t xml:space="preserve">Longitudinal Outcome Studies</w:t>
      </w:r>
      <w:r>
        <w:t xml:space="preserve">: Multi-year implementations to assess sustained benefits and organizational evolution</w:t>
      </w:r>
    </w:p>
    <w:p>
      <w:pPr>
        <w:pStyle w:val="Compact"/>
        <w:numPr>
          <w:ilvl w:val="0"/>
          <w:numId w:val="1018"/>
        </w:numPr>
      </w:pPr>
      <w:r>
        <w:rPr>
          <w:b/>
          <w:b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19"/>
        </w:numPr>
      </w:pPr>
      <w:r>
        <w:rPr>
          <w:b/>
          <w:bCs/>
        </w:rPr>
        <w:t xml:space="preserve">Organizational Transformation Studies</w:t>
      </w:r>
      <w:r>
        <w:t xml:space="preserve">: Research on how conversational AI platforms reshape healthcare organizational capabilities</w:t>
      </w:r>
    </w:p>
    <w:p>
      <w:pPr>
        <w:pStyle w:val="Compact"/>
        <w:numPr>
          <w:ilvl w:val="0"/>
          <w:numId w:val="1019"/>
        </w:numPr>
      </w:pPr>
      <w:r>
        <w:rPr>
          <w:b/>
          <w:bCs/>
        </w:rPr>
        <w:t xml:space="preserve">Clinical Outcome Impact Assessment</w:t>
      </w:r>
      <w:r>
        <w:t xml:space="preserve">: Studies linking improved analytics access to patient care outcomes</w:t>
      </w:r>
    </w:p>
    <w:p>
      <w:pPr>
        <w:pStyle w:val="Compact"/>
        <w:numPr>
          <w:ilvl w:val="0"/>
          <w:numId w:val="1019"/>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7" w:name="X655f7faf8ada965dcdcaa0e7f463cb4a3ee5bd1"/>
    <w:p>
      <w:pPr>
        <w:pStyle w:val="Heading2"/>
      </w:pPr>
      <w:r>
        <w:rPr>
          <w:rStyle w:val="SectionNumber"/>
        </w:rPr>
        <w:t xml:space="preserve">5.4</w:t>
      </w:r>
      <w:r>
        <w:tab/>
      </w:r>
      <w:r>
        <w:t xml:space="preserve">Implications for Healthcare Organizations</w:t>
      </w:r>
    </w:p>
    <w:p>
      <w:pPr>
        <w:pStyle w:val="FirstParagraph"/>
      </w:pPr>
      <w:r>
        <w:t xml:space="preserve">The evidence has implications for healthcare leaders considering analytics strategy:</w:t>
      </w:r>
    </w:p>
    <w:bookmarkStart w:id="85" w:name="X2f23efe7d260cae22651f913590ba1e30f02493"/>
    <w:p>
      <w:pPr>
        <w:pStyle w:val="Heading3"/>
      </w:pPr>
      <w:r>
        <w:rPr>
          <w:rStyle w:val="SectionNumber"/>
        </w:rPr>
        <w:t xml:space="preserve">5.4.1</w:t>
      </w:r>
      <w:r>
        <w:tab/>
      </w:r>
      <w:r>
        <w:t xml:space="preserve">Organizational Assessment Using the Three-Pillar Framework</w:t>
      </w:r>
    </w:p>
    <w:p>
      <w:pPr>
        <w:pStyle w:val="FirstParagraph"/>
      </w:pPr>
      <w:r>
        <w:t xml:space="preserve">The three-pillar framework provides a structured approach for organizational self-assessment:</w:t>
      </w:r>
    </w:p>
    <w:p>
      <w:pPr>
        <w:pStyle w:val="Compact"/>
        <w:numPr>
          <w:ilvl w:val="0"/>
          <w:numId w:val="1020"/>
        </w:numPr>
      </w:pPr>
      <w:r>
        <w:rPr>
          <w:b/>
          <w:bCs/>
        </w:rPr>
        <w:t xml:space="preserve">Analytics Maturity Assessment</w:t>
      </w:r>
      <w:r>
        <w:t xml:space="preserve">: Where does the organization currently stand on the HIMSS AMAM scale? What capabilities are needed to advance?</w:t>
      </w:r>
    </w:p>
    <w:p>
      <w:pPr>
        <w:pStyle w:val="Compact"/>
        <w:numPr>
          <w:ilvl w:val="0"/>
          <w:numId w:val="1020"/>
        </w:numPr>
      </w:pPr>
      <w:r>
        <w:rPr>
          <w:b/>
          <w:bCs/>
        </w:rPr>
        <w:t xml:space="preserve">Workforce Knowledge Audit</w:t>
      </w:r>
      <w:r>
        <w:t xml:space="preserve">: What tacit knowledge resides with individual staff members? How vulnerable is the organization to knowledge loss through turnover?</w:t>
      </w:r>
    </w:p>
    <w:p>
      <w:pPr>
        <w:pStyle w:val="Compact"/>
        <w:numPr>
          <w:ilvl w:val="0"/>
          <w:numId w:val="1020"/>
        </w:numPr>
      </w:pPr>
      <w:r>
        <w:rPr>
          <w:b/>
          <w:bCs/>
        </w:rPr>
        <w:t xml:space="preserve">Technical Barrier Inventory</w:t>
      </w:r>
      <w:r>
        <w:t xml:space="preserve">: What technical skills are currently required for data access? Which clinical questions go unanswered due to technical barriers?</w:t>
      </w:r>
    </w:p>
    <w:bookmarkEnd w:id="85"/>
    <w:bookmarkStart w:id="86" w:name="implementation-considerations"/>
    <w:p>
      <w:pPr>
        <w:pStyle w:val="Heading3"/>
      </w:pPr>
      <w:r>
        <w:rPr>
          <w:rStyle w:val="SectionNumber"/>
        </w:rPr>
        <w:t xml:space="preserve">5.4.2</w:t>
      </w:r>
      <w:r>
        <w:tab/>
      </w:r>
      <w:r>
        <w:t xml:space="preserve">Implementation Considerations</w:t>
      </w:r>
    </w:p>
    <w:p>
      <w:pPr>
        <w:pStyle w:val="FirstParagraph"/>
      </w:pPr>
      <w:r>
        <w:t xml:space="preserve">Evidence from healthcare implementations suggests several factors influence success:</w:t>
      </w:r>
    </w:p>
    <w:p>
      <w:pPr>
        <w:pStyle w:val="Compact"/>
        <w:numPr>
          <w:ilvl w:val="0"/>
          <w:numId w:val="1021"/>
        </w:numPr>
      </w:pPr>
      <w:r>
        <w:rPr>
          <w:b/>
          <w:bCs/>
        </w:rPr>
        <w:t xml:space="preserve">Governance Framework Development</w:t>
      </w:r>
      <w:r>
        <w:t xml:space="preserve">: New policies and procedures for democratized analytics</w:t>
      </w:r>
    </w:p>
    <w:p>
      <w:pPr>
        <w:pStyle w:val="Compact"/>
        <w:numPr>
          <w:ilvl w:val="0"/>
          <w:numId w:val="1021"/>
        </w:numPr>
      </w:pPr>
      <w:r>
        <w:rPr>
          <w:b/>
          <w:bCs/>
        </w:rPr>
        <w:t xml:space="preserve">Change Management</w:t>
      </w:r>
      <w:r>
        <w:t xml:space="preserve">: Training and support programs to ensure user adoption</w:t>
      </w:r>
    </w:p>
    <w:p>
      <w:pPr>
        <w:pStyle w:val="Compact"/>
        <w:numPr>
          <w:ilvl w:val="0"/>
          <w:numId w:val="1021"/>
        </w:numPr>
      </w:pPr>
      <w:r>
        <w:rPr>
          <w:b/>
          <w:bCs/>
        </w:rPr>
        <w:t xml:space="preserve">Phased Deployment</w:t>
      </w:r>
      <w:r>
        <w:t xml:space="preserve">: Gradual rollout beginning with analytics-savvy early adopters</w:t>
      </w:r>
    </w:p>
    <w:p>
      <w:pPr>
        <w:pStyle w:val="Compact"/>
        <w:numPr>
          <w:ilvl w:val="0"/>
          <w:numId w:val="1021"/>
        </w:numPr>
      </w:pPr>
      <w:r>
        <w:rPr>
          <w:b/>
          <w:bCs/>
        </w:rPr>
        <w:t xml:space="preserve">Human Oversight</w:t>
      </w:r>
      <w:r>
        <w:t xml:space="preserve">: Current NL2SQL limitations require maintaining human review of AI-generated outputs [A6]</w:t>
      </w:r>
    </w:p>
    <w:bookmarkEnd w:id="86"/>
    <w:bookmarkEnd w:id="87"/>
    <w:bookmarkEnd w:id="88"/>
    <w:bookmarkStart w:id="9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findings illuminate a tension central to healthcare’s approach to emerging technologies, a tension captured in the ancient principle</w:t>
      </w:r>
      <w:r>
        <w:t xml:space="preserve"> </w:t>
      </w:r>
      <w:r>
        <w:rPr>
          <w:i/>
          <w:iCs/>
        </w:rPr>
        <w:t xml:space="preserve">primum non nocere</w:t>
      </w:r>
      <w:r>
        <w:t xml:space="preserve">:</w:t>
      </w:r>
      <w:r>
        <w:t xml:space="preserve"> </w:t>
      </w:r>
      <w:r>
        <w:t xml:space="preserve">“</w:t>
      </w:r>
      <w:r>
        <w:t xml:space="preserve">First, do no harm.</w:t>
      </w:r>
      <w:r>
        <w:t xml:space="preserve">”</w:t>
      </w:r>
    </w:p>
    <w:bookmarkStart w:id="89" w:name="the-dual-dimensions-of-harm"/>
    <w:p>
      <w:pPr>
        <w:pStyle w:val="Heading2"/>
      </w:pPr>
      <w:r>
        <w:rPr>
          <w:rStyle w:val="SectionNumber"/>
        </w:rPr>
        <w:t xml:space="preserve">6.1</w:t>
      </w:r>
      <w:r>
        <w:tab/>
      </w:r>
      <w:r>
        <w:t xml:space="preserve">The Dual Dimensions of Harm</w:t>
      </w:r>
    </w:p>
    <w:p>
      <w:pPr>
        <w:pStyle w:val="FirstParagraph"/>
      </w:pPr>
      <w:r>
        <w:t xml:space="preserve">Healthcare’s traditional interpretation of</w:t>
      </w:r>
      <w:r>
        <w:t xml:space="preserve"> </w:t>
      </w:r>
      <w:r>
        <w:rPr>
          <w:i/>
          <w:iCs/>
        </w:rPr>
        <w:t xml:space="preserve">primum non nocere</w:t>
      </w:r>
      <w:r>
        <w:t xml:space="preserve"> </w:t>
      </w:r>
      <w:r>
        <w:t xml:space="preserve">counsels caution: new technologies should be thoroughly validated before clinical deployment, and governance frameworks should default to rejection until safety is established. This principle has served healthcare well, protecting patients from unproven interventions and maintaining professional standards.</w:t>
      </w:r>
    </w:p>
    <w:p>
      <w:pPr>
        <w:pStyle w:val="BodyText"/>
      </w:pPr>
      <w:r>
        <w:t xml:space="preserve">However, the evidence reviewed in this paper suggests that</w:t>
      </w:r>
      <w:r>
        <w:t xml:space="preserve"> </w:t>
      </w:r>
      <w:r>
        <w:rPr>
          <w:i/>
          <w:iCs/>
        </w:rPr>
        <w:t xml:space="preserve">primum non nocere</w:t>
      </w:r>
      <w:r>
        <w:t xml:space="preserve"> </w:t>
      </w:r>
      <w:r>
        <w:t xml:space="preserve">must be applied bidirectionally. The three-pillar analysis reveals substantial harms from</w:t>
      </w:r>
      <w:r>
        <w:t xml:space="preserve"> </w:t>
      </w:r>
      <w:r>
        <w:rPr>
          <w:b/>
          <w:bCs/>
        </w:rPr>
        <w:t xml:space="preserve">inaction</w:t>
      </w:r>
      <w:r>
        <w:t xml:space="preserve">:</w:t>
      </w:r>
    </w:p>
    <w:p>
      <w:pPr>
        <w:pStyle w:val="Compact"/>
        <w:numPr>
          <w:ilvl w:val="0"/>
          <w:numId w:val="1022"/>
        </w:numPr>
      </w:pPr>
      <w:r>
        <w:rPr>
          <w:b/>
          <w:bCs/>
        </w:rPr>
        <w:t xml:space="preserve">Analytics maturity gaps</w:t>
      </w:r>
      <w:r>
        <w:t xml:space="preserve"> </w:t>
      </w:r>
      <w:r>
        <w:t xml:space="preserve">leave clinical decisions unsupported by available data, directly impacting patient care quality and safety</w:t>
      </w:r>
    </w:p>
    <w:p>
      <w:pPr>
        <w:pStyle w:val="Compact"/>
        <w:numPr>
          <w:ilvl w:val="0"/>
          <w:numId w:val="1022"/>
        </w:numPr>
      </w:pPr>
      <w:r>
        <w:rPr>
          <w:b/>
          <w:bCs/>
        </w:rPr>
        <w:t xml:space="preserve">Workforce turnover</w:t>
      </w:r>
      <w:r>
        <w:t xml:space="preserve"> </w:t>
      </w:r>
      <w:r>
        <w:t xml:space="preserve">(34% annually for healthcare IT staff as of 2004 [A10]) causes institutional memory loss that disrupts care continuity and erodes the knowledge base essential for quality improvement</w:t>
      </w:r>
    </w:p>
    <w:p>
      <w:pPr>
        <w:pStyle w:val="Compact"/>
        <w:numPr>
          <w:ilvl w:val="0"/>
          <w:numId w:val="1022"/>
        </w:numPr>
      </w:pPr>
      <w:r>
        <w:rPr>
          <w:b/>
          <w:bCs/>
        </w:rPr>
        <w:t xml:space="preserve">Technical barriers</w:t>
      </w:r>
      <w:r>
        <w:t xml:space="preserve"> </w:t>
      </w:r>
      <w:r>
        <w:t xml:space="preserve">disconnect clinical experts from data insights, preventing evidence-based practice improvements that could benefit patients</w:t>
      </w:r>
    </w:p>
    <w:p>
      <w:pPr>
        <w:pStyle w:val="FirstParagraph"/>
      </w:pPr>
      <w:r>
        <w:t xml:space="preserve">These findings do not argue that healthcare organizations should abandon caution. Rather, they suggest that a complete application of</w:t>
      </w:r>
      <w:r>
        <w:t xml:space="preserve"> </w:t>
      </w:r>
      <w:r>
        <w:rPr>
          <w:i/>
          <w:iCs/>
        </w:rPr>
        <w:t xml:space="preserve">primum non nocere</w:t>
      </w:r>
      <w:r>
        <w:t xml:space="preserve"> </w:t>
      </w:r>
      <w:r>
        <w:t xml:space="preserve">requires evaluating</w:t>
      </w:r>
      <w:r>
        <w:t xml:space="preserve"> </w:t>
      </w:r>
      <w:r>
        <w:rPr>
          <w:b/>
          <w:bCs/>
        </w:rPr>
        <w:t xml:space="preserve">both</w:t>
      </w:r>
      <w:r>
        <w:t xml:space="preserve"> </w:t>
      </w:r>
      <w:r>
        <w:t xml:space="preserve">the risks of premature technology adoption</w:t>
      </w:r>
      <w:r>
        <w:t xml:space="preserve"> </w:t>
      </w:r>
      <w:r>
        <w:rPr>
          <w:b/>
          <w:bCs/>
        </w:rPr>
        <w:t xml:space="preserve">and</w:t>
      </w:r>
      <w:r>
        <w:t xml:space="preserve"> </w:t>
      </w:r>
      <w:r>
        <w:t xml:space="preserve">the ongoing harms of maintaining current approaches. The three-pillar framework presented in this review provides a structured approach for this dual evaluation.</w:t>
      </w:r>
    </w:p>
    <w:bookmarkEnd w:id="89"/>
    <w:bookmarkStart w:id="90"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3"/>
        </w:numPr>
      </w:pPr>
      <w:r>
        <w:rPr>
          <w:b/>
          <w:bCs/>
        </w:rPr>
        <w:t xml:space="preserve">Novel Analytical Framework</w:t>
      </w:r>
      <w:r>
        <w:t xml:space="preserve">: The three-pillar framework synthesizes previously disconnected evidence from healthcare analytics maturity, workforce management, and natural language processing research, revealing how these challenges interconnect and compound each other.</w:t>
      </w:r>
    </w:p>
    <w:p>
      <w:pPr>
        <w:numPr>
          <w:ilvl w:val="0"/>
          <w:numId w:val="1023"/>
        </w:numPr>
      </w:pPr>
      <w:r>
        <w:rPr>
          <w:b/>
          <w:bCs/>
        </w:rPr>
        <w:t xml:space="preserve">Knowledge Portal Application</w:t>
      </w:r>
      <w:r>
        <w:t xml:space="preserve">: By applying established knowledge portal theory [A25, A26] to healthcare conversational AI, we provide a conceptual foundation for institutional memory preservation systems that embed organizational expertise within AI platforms rather than individual staff.</w:t>
      </w:r>
    </w:p>
    <w:p>
      <w:pPr>
        <w:numPr>
          <w:ilvl w:val="0"/>
          <w:numId w:val="1023"/>
        </w:numPr>
      </w:pPr>
      <w:r>
        <w:rPr>
          <w:b/>
          <w:bCs/>
        </w:rPr>
        <w:t xml:space="preserve">Convergence Thesis</w:t>
      </w:r>
      <w:r>
        <w:t xml:space="preserve">: The simultaneous occurrence of technical advances in NL2SQL, organizational analytics challenges, and workforce dynamics creates conditions requiring active organizational assessment. This convergence transforms the technology adoption question from a matter of preference to one with institutional knowledge preservation implications, warranting structured evaluation using frameworks such as the three-pillar model.</w:t>
      </w:r>
    </w:p>
    <w:bookmarkEnd w:id="90"/>
    <w:bookmarkStart w:id="91"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4"/>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24"/>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24"/>
        </w:numPr>
      </w:pPr>
      <w:r>
        <w:rPr>
          <w:b/>
          <w:bCs/>
        </w:rPr>
        <w:t xml:space="preserve">Workforce Impact</w:t>
      </w:r>
      <w:r>
        <w:t xml:space="preserve">: Healthcare IT staff turnover was measured at 34% in 2004 [A10], the highest among IT sectors at that time, and workforce challenges persist today [I11]. Knowledge loss costs can reach three times annual salary budgets [A24], creating need for knowledge preservation approaches.</w:t>
      </w:r>
    </w:p>
    <w:p>
      <w:pPr>
        <w:numPr>
          <w:ilvl w:val="0"/>
          <w:numId w:val="1024"/>
        </w:numPr>
      </w:pPr>
      <w:r>
        <w:rPr>
          <w:b/>
          <w:bCs/>
        </w:rPr>
        <w:t xml:space="preserve">Implementation Evidence</w:t>
      </w:r>
      <w:r>
        <w:t xml:space="preserve">: Real-world implementations like Berkshire Healthcare NHS Trust [I4] demonstrate that low-code platforms can enable 800+ citizen developers in healthcare settings, with academic research documenting significant efficiency improvements and cost reductions [A19, A20].</w:t>
      </w:r>
    </w:p>
    <w:bookmarkEnd w:id="91"/>
    <w:bookmarkStart w:id="92"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5"/>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5"/>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[A6]), governance requirements, and implementation complexity</w:t>
      </w:r>
    </w:p>
    <w:p>
      <w:pPr>
        <w:numPr>
          <w:ilvl w:val="0"/>
          <w:numId w:val="1025"/>
        </w:numPr>
      </w:pPr>
      <w:r>
        <w:rPr>
          <w:b/>
          <w:bCs/>
        </w:rPr>
        <w:t xml:space="preserve">Apply the three-pillar framework</w:t>
      </w:r>
      <w:r>
        <w:t xml:space="preserve">: Use the analytics maturity, workforce turnover, and technical barrier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92"/>
    <w:bookmarkStart w:id="93" w:name="future-research-directions-1"/>
    <w:p>
      <w:pPr>
        <w:pStyle w:val="Heading2"/>
      </w:pPr>
      <w:r>
        <w:rPr>
          <w:rStyle w:val="SectionNumber"/>
        </w:rPr>
        <w:t xml:space="preserve">6.5</w:t>
      </w:r>
      <w:r>
        <w:tab/>
      </w:r>
      <w:r>
        <w:t xml:space="preserve">Future Research Directions</w:t>
      </w:r>
    </w:p>
    <w:p>
      <w:pPr>
        <w:pStyle w:val="FirstParagraph"/>
      </w:pPr>
      <w:r>
        <w:t xml:space="preserve">Several research gaps limit the ability to provide definitive organizational guidance:</w:t>
      </w:r>
    </w:p>
    <w:p>
      <w:pPr>
        <w:numPr>
          <w:ilvl w:val="0"/>
          <w:numId w:val="1026"/>
        </w:numPr>
      </w:pPr>
      <w:r>
        <w:rPr>
          <w:b/>
          <w:bCs/>
        </w:rPr>
        <w:t xml:space="preserve">Reference implementation validation</w:t>
      </w:r>
      <w:r>
        <w:t xml:space="preserve">: Empirical validation using synthetic data (Synthea) and healthcare-specific benchmarks (EHRSQL, MIMICSQL) would establish reproducible baselines for NL2SQL accuracy in clinical contexts</w:t>
      </w:r>
    </w:p>
    <w:p>
      <w:pPr>
        <w:numPr>
          <w:ilvl w:val="0"/>
          <w:numId w:val="1026"/>
        </w:numPr>
      </w:pPr>
      <w:r>
        <w:rPr>
          <w:b/>
          <w:bCs/>
        </w:rPr>
        <w:t xml:space="preserve">Healthcare terminology and schema mapping</w:t>
      </w:r>
      <w:r>
        <w:t xml:space="preserve">: Programmatic integration with standardized vocabularies (SNOMED CT, LOINC, RxNorm) and interoperability standards (FHIR, OMOP CDM) requires systematic investigation to reduce implementation burden</w:t>
      </w:r>
    </w:p>
    <w:p>
      <w:pPr>
        <w:numPr>
          <w:ilvl w:val="0"/>
          <w:numId w:val="1026"/>
        </w:numPr>
      </w:pPr>
      <w:r>
        <w:rPr>
          <w:b/>
          <w:bCs/>
        </w:rPr>
        <w:t xml:space="preserve">Longitudinal outcomes</w:t>
      </w:r>
      <w:r>
        <w:t xml:space="preserve">: Most implementation studies span 6-24 months; multi-year institutional knowledge preservation effects remain understudied</w:t>
      </w:r>
    </w:p>
    <w:p>
      <w:pPr>
        <w:numPr>
          <w:ilvl w:val="0"/>
          <w:numId w:val="1026"/>
        </w:numPr>
      </w:pPr>
      <w:r>
        <w:rPr>
          <w:b/>
          <w:bCs/>
        </w:rPr>
        <w:t xml:space="preserve">Governance frameworks</w:t>
      </w:r>
      <w:r>
        <w:t xml:space="preserve">: Optimal approaches for balancing analytics democratization with data quality and clinical safety standards need development</w:t>
      </w:r>
    </w:p>
    <w:bookmarkEnd w:id="93"/>
    <w:bookmarkStart w:id="94" w:name="closing-reflection"/>
    <w:p>
      <w:pPr>
        <w:pStyle w:val="Heading2"/>
      </w:pPr>
      <w:r>
        <w:rPr>
          <w:rStyle w:val="SectionNumber"/>
        </w:rPr>
        <w:t xml:space="preserve">6.6</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94"/>
    <w:bookmarkEnd w:id="95"/>
    <w:bookmarkStart w:id="96" w:name="acknowledgments"/>
    <w:p>
      <w:pPr>
        <w:pStyle w:val="Heading1"/>
      </w:pPr>
      <w:r>
        <w:rPr>
          <w:rStyle w:val="SectionNumber"/>
        </w:rPr>
        <w:t xml:space="preserve">7</w:t>
      </w:r>
      <w:r>
        <w:tab/>
      </w:r>
      <w:r>
        <w:t xml:space="preserve">Acknowledgments</w:t>
      </w:r>
    </w:p>
    <w:p>
      <w:pPr>
        <w:pStyle w:val="FirstParagraph"/>
      </w:pPr>
      <w:r>
        <w:t xml:space="preserve">This manuscript was prepared with assistance from Claude Code (Claude Opus 4.5, Anthropic). Claude Code assisted with manuscript editing and refinement, reference verification (including identification of fabricated citations that were removed per Issue #261), validation script development, and documentation workflow automation. In accordance with Nature Portfolio editorial policy, Claude does not meet authorship criteria; the author (S.T.H.) takes full responsibility for the final content, conducted the research, and verified all claims and citations. Figure 1 was created with assistance from Google Gemini, as noted in the figure caption.</w:t>
      </w:r>
    </w:p>
    <w:bookmarkEnd w:id="96"/>
    <w:bookmarkStart w:id="9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97"/>
    <w:bookmarkStart w:id="98" w:name="competing-interests"/>
    <w:p>
      <w:pPr>
        <w:pStyle w:val="Heading1"/>
      </w:pPr>
      <w:r>
        <w:rPr>
          <w:rStyle w:val="SectionNumber"/>
        </w:rPr>
        <w:t xml:space="preserve">9</w:t>
      </w:r>
      <w:r>
        <w:tab/>
      </w:r>
      <w:r>
        <w:t xml:space="preserve">Competing Interests</w:t>
      </w:r>
    </w:p>
    <w:p>
      <w:pPr>
        <w:pStyle w:val="FirstParagraph"/>
      </w:pPr>
      <w:r>
        <w:t xml:space="preserve">The author declares the following competing interests: Samuel T Harrold is a contract product advisor at Yuimedi Corp.,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Corp. This research was conducted independently without funding from any affiliated organization.</w:t>
      </w:r>
    </w:p>
    <w:bookmarkEnd w:id="98"/>
    <w:bookmarkStart w:id="9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99"/>
    <w:bookmarkStart w:id="10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00"/>
    <w:bookmarkStart w:id="10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1"/>
    <w:bookmarkStart w:id="104" w:name="references"/>
    <w:p>
      <w:pPr>
        <w:pStyle w:val="Heading1"/>
      </w:pPr>
      <w:r>
        <w:rPr>
          <w:rStyle w:val="SectionNumber"/>
        </w:rPr>
        <w:t xml:space="preserve">13</w:t>
      </w:r>
      <w:r>
        <w:tab/>
      </w:r>
      <w:r>
        <w:t xml:space="preserve">References</w:t>
      </w:r>
    </w:p>
    <w:bookmarkStart w:id="102" w:name="academic-sources"/>
    <w:p>
      <w:pPr>
        <w:pStyle w:val="Heading2"/>
      </w:pPr>
      <w:r>
        <w:rPr>
          <w:rStyle w:val="SectionNumber"/>
        </w:rPr>
        <w:t xml:space="preserve">13.1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[A9]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p>
      <w:pPr>
        <w:pStyle w:val="BodyText"/>
      </w:pPr>
      <w:r>
        <w:t xml:space="preserve">[A10] Ang, S., &amp; Slaughter, S. (2004). Turnover of information technology professionals: The effects of internal labor market strategies.</w:t>
      </w:r>
      <w:r>
        <w:t xml:space="preserve"> </w:t>
      </w:r>
      <w:r>
        <w:rPr>
          <w:i/>
          <w:iCs/>
        </w:rPr>
        <w:t xml:space="preserve">ACM SIGMIS Database: The DATABASE for Advances in Information Systems</w:t>
      </w:r>
      <w:r>
        <w:t xml:space="preserve">, 35(3), 11-27. DOI: 10.1145/1017114.1017118. https://dl.acm.org/doi/10.1145/1017114.1017118</w:t>
      </w:r>
    </w:p>
    <w:p>
      <w:pPr>
        <w:pStyle w:val="BodyText"/>
      </w:pPr>
      <w:r>
        <w:t xml:space="preserve">[A11] Ledikwe, J. H., Reason, L. L., Burnett, S. M., Busang, L., Bodika, S., Lebelonyane, R., Ludick, S., Matshediso, E., Mawandia, S., Mmelesi, M., Sento, B., &amp; Semo, B.-W. (2013). Establishing a health information workforce: Innovation for low- and middle-income countries.</w:t>
      </w:r>
      <w:r>
        <w:t xml:space="preserve"> </w:t>
      </w:r>
      <w:r>
        <w:rPr>
          <w:i/>
          <w:iCs/>
        </w:rPr>
        <w:t xml:space="preserve">Human Resources for Health</w:t>
      </w:r>
      <w:r>
        <w:t xml:space="preserve">, 11, 35. DOI: 10.1186/1478-4491-11-35. https://human-resources-health.biomedcentral.com/articles/10.1186/1478-4491-11-35</w:t>
      </w:r>
    </w:p>
    <w:p>
      <w:pPr>
        <w:pStyle w:val="BodyText"/>
      </w:pPr>
      <w:r>
        <w:t xml:space="preserve">[A12] Mantas, J., Ammenwerth, E., Demiris, G., Hasman, A., Haux, R., Hersh, W., Hovenga, E., Lun, K. C., Marin, H., Martin-Sanchez, F., &amp; Wright, G. (2010). Recommendations of the International Medical Informatics Association (IMIA) on education in biomedical and health informatics: First revision.</w:t>
      </w:r>
      <w:r>
        <w:t xml:space="preserve"> </w:t>
      </w:r>
      <w:r>
        <w:rPr>
          <w:i/>
          <w:iCs/>
        </w:rPr>
        <w:t xml:space="preserve">Methods of Information in Medicine</w:t>
      </w:r>
      <w:r>
        <w:t xml:space="preserve">, 49(2), 105-120. DOI: 10.3414/ME5119. https://pubmed.ncbi.nlm.nih.gov/20054502/</w:t>
      </w:r>
    </w:p>
    <w:p>
      <w:pPr>
        <w:pStyle w:val="BodyText"/>
      </w:pPr>
      <w:r>
        <w:t xml:space="preserve">[A13] Musa, S., Dergaa, I., Al Shekh Yasin, R., &amp; Singh, R. (2023). The impact of training on electronic health records related knowledge, practical competencies, and staff satisfaction: A pre-post intervention study among wellness center providers in a primary health-care facility.</w:t>
      </w:r>
      <w:r>
        <w:t xml:space="preserve"> </w:t>
      </w:r>
      <w:r>
        <w:rPr>
          <w:i/>
          <w:iCs/>
        </w:rPr>
        <w:t xml:space="preserve">Journal of Multidisciplinary Healthcare</w:t>
      </w:r>
      <w:r>
        <w:t xml:space="preserve">, 16, 1551-1563. DOI: 10.2147/JMDH.S414200. https://pmc.ncbi.nlm.nih.gov/articles/PMC10243608/</w:t>
      </w:r>
    </w:p>
    <w:p>
      <w:pPr>
        <w:pStyle w:val="BodyText"/>
      </w:pPr>
      <w:r>
        <w:t xml:space="preserve">[A14] Wang, Y., Kung, L. A., &amp; Byrd, T. A. (2018). Big data analytics: Understanding its capabilities and potential benefits for healthcare organizations.</w:t>
      </w:r>
      <w:r>
        <w:t xml:space="preserve"> </w:t>
      </w:r>
      <w:r>
        <w:rPr>
          <w:i/>
          <w:iCs/>
        </w:rPr>
        <w:t xml:space="preserve">Technological Forecasting and Social Change</w:t>
      </w:r>
      <w:r>
        <w:t xml:space="preserve">, 126, 3-13. DOI: 10.1016/j.techfore.2016.08.019. https://www.sciencedirect.com/science/article/pii/S0040162516302244</w:t>
      </w:r>
    </w:p>
    <w:p>
      <w:pPr>
        <w:pStyle w:val="BodyText"/>
      </w:pPr>
      <w:r>
        <w:t xml:space="preserve">[A15] Bardsley, M. (2016). Understanding analytical capability in health care: Do we have more data than insight? The Health Foundation. https://www.health.org.uk/publications/understanding-analytical-capability-in-health-care</w:t>
      </w:r>
    </w:p>
    <w:p>
      <w:pPr>
        <w:pStyle w:val="BodyText"/>
      </w:pPr>
      <w:r>
        <w:t xml:space="preserve">[A16] Pesqueira, A., Sousa, M. J., &amp; Rocha, Á. (2020). Big data skills sustainable development in healthcare and pharmaceuticals.</w:t>
      </w:r>
      <w:r>
        <w:t xml:space="preserve"> </w:t>
      </w:r>
      <w:r>
        <w:rPr>
          <w:i/>
          <w:iCs/>
        </w:rPr>
        <w:t xml:space="preserve">Journal of Medical Systems</w:t>
      </w:r>
      <w:r>
        <w:t xml:space="preserve">, 44, 197. DOI: 10.1007/s10916-020-01665-9. https://link.springer.com/article/10.1007/s10916-020-01665-9</w:t>
      </w:r>
    </w:p>
    <w:p>
      <w:pPr>
        <w:pStyle w:val="BodyText"/>
      </w:pPr>
      <w:r>
        <w:t xml:space="preserve">[A17] Mayo, C. S., Deasy, J. O., Chera, B. S., &amp; Freymann, J. (2016). How can we effect culture change toward data-driven medicine?</w:t>
      </w:r>
      <w:r>
        <w:t xml:space="preserve"> </w:t>
      </w:r>
      <w:r>
        <w:rPr>
          <w:i/>
          <w:iCs/>
        </w:rPr>
        <w:t xml:space="preserve">International Journal of Radiation Oncology, Biology, Physics</w:t>
      </w:r>
      <w:r>
        <w:t xml:space="preserve">, 95(3), 916-921. DOI: 10.1016/j.ijrobp.2016.03.003. https://www.redjournal.org/article/S0360-3016(16)00260-1/fulltext</w:t>
      </w:r>
    </w:p>
    <w:p>
      <w:pPr>
        <w:pStyle w:val="BodyText"/>
      </w:pPr>
      <w:r>
        <w:t xml:space="preserve">[A18] Shahbaz, M., Gao, C., Zhai, L. L., Shahzad, F., &amp; Hu, Y. (2019). Investigating the adoption of big data analytics in healthcare: The moderating role of resistance to change.</w:t>
      </w:r>
      <w:r>
        <w:t xml:space="preserve"> </w:t>
      </w:r>
      <w:r>
        <w:rPr>
          <w:i/>
          <w:iCs/>
        </w:rPr>
        <w:t xml:space="preserve">Journal of Big Data</w:t>
      </w:r>
      <w:r>
        <w:t xml:space="preserve">, 6, 6. DOI: 10.1186/s40537-019-0170-y. https://journalofbigdata.springeropen.com/articles/10.1186/s40537-019-0170-y</w:t>
      </w:r>
    </w:p>
    <w:p>
      <w:pPr>
        <w:pStyle w:val="BodyText"/>
      </w:pPr>
      <w:r>
        <w:t xml:space="preserve">[A19] Sezgin, E., Sirrianni, J., &amp; Linwood, S. L. (2022). Operationalizing and implementing pretrained, large artificial intelligence linguistic models in the US health care system: Outlook of generative pretrained transformer 3 (GPT-3) as a service model.</w:t>
      </w:r>
      <w:r>
        <w:t xml:space="preserve"> </w:t>
      </w:r>
      <w:r>
        <w:rPr>
          <w:i/>
          <w:iCs/>
        </w:rPr>
        <w:t xml:space="preserve">JMIR Medical Informatics</w:t>
      </w:r>
      <w:r>
        <w:t xml:space="preserve">, 10(2), e32875. DOI: 10.2196/32875. https://medinform.jmir.org/2022/2/e32875</w:t>
      </w:r>
    </w:p>
    <w:p>
      <w:pPr>
        <w:pStyle w:val="BodyText"/>
      </w:pPr>
      <w:r>
        <w:t xml:space="preserve">[A20] Jiao, W., Zhang, X., &amp; D’Souza, F. (2023). The economic value and clinical impact of artificial intelligence in healthcare: A scoping literature review.</w:t>
      </w:r>
      <w:r>
        <w:t xml:space="preserve"> </w:t>
      </w:r>
      <w:r>
        <w:rPr>
          <w:i/>
          <w:iCs/>
        </w:rPr>
        <w:t xml:space="preserve">IEEE Access</w:t>
      </w:r>
      <w:r>
        <w:t xml:space="preserve">, 11, 108134-108149. DOI: 10.1109/ACCESS.2023.3327905. https://ieeexplore.ieee.org/document/10297311</w:t>
      </w:r>
    </w:p>
    <w:p>
      <w:pPr>
        <w:pStyle w:val="BodyText"/>
      </w:pPr>
      <w:r>
        <w:t xml:space="preserve">[A21] Dai, T., &amp; Abramoff, M. D. (2023). Incorporating artificial intelligence into healthcare workflows: Models and insights. In</w:t>
      </w:r>
      <w:r>
        <w:t xml:space="preserve"> </w:t>
      </w:r>
      <w:r>
        <w:rPr>
          <w:i/>
          <w:iCs/>
        </w:rPr>
        <w:t xml:space="preserve">Tutorials in Operations Research: Advancing the Frontiers of OR/MS</w:t>
      </w:r>
      <w:r>
        <w:t xml:space="preserve">. INFORMS. DOI: 10.1287/educ.2023.0257. https://pubsonline.informs.org/doi/abs/10.1287/educ.2023.0257</w:t>
      </w:r>
    </w:p>
    <w:p>
      <w:pPr>
        <w:pStyle w:val="BodyText"/>
      </w:pPr>
      <w:r>
        <w:t xml:space="preserve">[A22] Pennington, R. (2023). Artificial intelligence (AI) and its opportunity in healthcare organizations revenue cycle management (RCM).</w:t>
      </w:r>
      <w:r>
        <w:t xml:space="preserve"> </w:t>
      </w:r>
      <w:r>
        <w:rPr>
          <w:i/>
          <w:iCs/>
        </w:rPr>
        <w:t xml:space="preserve">Master’s Thesis</w:t>
      </w:r>
      <w:r>
        <w:t xml:space="preserve">, Marshall University. https://mds.marshall.edu/etd/1824/</w:t>
      </w:r>
    </w:p>
    <w:p>
      <w:pPr>
        <w:pStyle w:val="BodyText"/>
      </w:pPr>
      <w:r>
        <w:t xml:space="preserve">[A23] Atobatele, O. K., Ajayi, O. O., &amp; Hungbo, A. Q. (2023). Transforming digital health information systems with Microsoft Dynamics, SharePoint, and low-code automation platforms.</w:t>
      </w:r>
      <w:r>
        <w:t xml:space="preserve"> </w:t>
      </w:r>
      <w:r>
        <w:rPr>
          <w:i/>
          <w:iCs/>
        </w:rPr>
        <w:t xml:space="preserve">Gyanshauryam International Scientific Refereed Research Journal</w:t>
      </w:r>
      <w:r>
        <w:t xml:space="preserve">, 6(4), 26. https://gisrrj.com/paper/GISRRJ236426.pdf</w:t>
      </w:r>
    </w:p>
    <w:p>
      <w:pPr>
        <w:pStyle w:val="BodyText"/>
      </w:pPr>
      <w:r>
        <w:t xml:space="preserve">[A24] Massingham, P. R. (2018). Measuring the impact of knowledge loss: A longitudinal study.</w:t>
      </w:r>
      <w:r>
        <w:t xml:space="preserve"> </w:t>
      </w:r>
      <w:r>
        <w:rPr>
          <w:i/>
          <w:iCs/>
        </w:rPr>
        <w:t xml:space="preserve">Journal of Knowledge Management</w:t>
      </w:r>
      <w:r>
        <w:t xml:space="preserve">, 22(4), 721-758. DOI: 10.1108/JKM-08-2016-0338. https://doi.org/10.1108/JKM-08-2016-0338</w:t>
      </w:r>
    </w:p>
    <w:p>
      <w:pPr>
        <w:pStyle w:val="BodyText"/>
      </w:pPr>
      <w:r>
        <w:t xml:space="preserve">[A25] Benbya, H., Passiante, G., &amp; Belbaly, N. A. (2004). Corporate portal: A tool for knowledge management synchronization.</w:t>
      </w:r>
      <w:r>
        <w:t xml:space="preserve"> </w:t>
      </w:r>
      <w:r>
        <w:rPr>
          <w:i/>
          <w:iCs/>
        </w:rPr>
        <w:t xml:space="preserve">International Journal of Information Management</w:t>
      </w:r>
      <w:r>
        <w:t xml:space="preserve">, 24(3), 201-220. DOI: 10.1016/j.ijinfomgt.2003.12.012. https://doi.org/10.1016/j.ijinfomgt.2003.12.012</w:t>
      </w:r>
    </w:p>
    <w:p>
      <w:pPr>
        <w:pStyle w:val="BodyText"/>
      </w:pPr>
      <w:r>
        <w:t xml:space="preserve">[A26] Richesson, R. L., &amp; Krischer, J. P. (2007). Data standards in clinical research: Gaps, overlaps, challenges and future directions.</w:t>
      </w:r>
      <w:r>
        <w:t xml:space="preserve"> </w:t>
      </w:r>
      <w:r>
        <w:rPr>
          <w:i/>
          <w:iCs/>
        </w:rPr>
        <w:t xml:space="preserve">Journal of the American Medical Informatics Association</w:t>
      </w:r>
      <w:r>
        <w:t xml:space="preserve">, 14(6), 687-696. DOI: 10.1197/jamia.M2470. https://academic.oup.com/jamia/article/14/6/687/750453</w:t>
      </w:r>
    </w:p>
    <w:p>
      <w:pPr>
        <w:pStyle w:val="BodyText"/>
      </w:pPr>
      <w:r>
        <w:t xml:space="preserve">[A27] Gal, M. S., &amp; Rubinfeld, D. L. (2019). Data standardization.</w:t>
      </w:r>
      <w:r>
        <w:t xml:space="preserve"> </w:t>
      </w:r>
      <w:r>
        <w:rPr>
          <w:i/>
          <w:iCs/>
        </w:rPr>
        <w:t xml:space="preserve">New York University Law Review</w:t>
      </w:r>
      <w:r>
        <w:t xml:space="preserve">, 94(4), 737-770. https://www.nyulawreview.org/issues/volume-94-number-4/data-standardization/</w:t>
      </w:r>
    </w:p>
    <w:p>
      <w:pPr>
        <w:pStyle w:val="BodyText"/>
      </w:pPr>
      <w:r>
        <w:t xml:space="preserve">[A28] Zheng, K., Ratwani, R. M., &amp; Adler-Milstein, J. (2020). Studying workflow and workarounds in electronic health record-supported work to improve health system performance.</w:t>
      </w:r>
      <w:r>
        <w:t xml:space="preserve"> </w:t>
      </w:r>
      <w:r>
        <w:rPr>
          <w:i/>
          <w:iCs/>
        </w:rPr>
        <w:t xml:space="preserve">Annals of Internal Medicine</w:t>
      </w:r>
      <w:r>
        <w:t xml:space="preserve">, 172(11 Suppl), S116-S122. DOI: 10.7326/M19-0871. https://www.acpjournals.org/doi/10.7326/M19-0871</w:t>
      </w:r>
    </w:p>
    <w:p>
      <w:pPr>
        <w:pStyle w:val="BodyText"/>
      </w:pPr>
      <w:r>
        <w:t xml:space="preserve">[A29] Bogaert, P., Verschuuren, M., Van Oyen, H., &amp; Van Oers, H. (2021). Identifying common enablers and barriers in European health information systems.</w:t>
      </w:r>
      <w:r>
        <w:t xml:space="preserve"> </w:t>
      </w:r>
      <w:r>
        <w:rPr>
          <w:i/>
          <w:iCs/>
        </w:rPr>
        <w:t xml:space="preserve">Health Policy</w:t>
      </w:r>
      <w:r>
        <w:t xml:space="preserve">, 125(12), 1517-1526. DOI: 10.1016/j.healthpol.2021.09.006. https://www.sciencedirect.com/science/article/pii/S0168851021002396</w:t>
      </w:r>
    </w:p>
    <w:p>
      <w:pPr>
        <w:pStyle w:val="BodyText"/>
      </w:pPr>
      <w:r>
        <w:t xml:space="preserve">[A30] Tyndall, J. (2010). AACODS Checklist. Flinders University. https://dspace.flinders.edu.au/jspui/bitstream/2328/3326/4/AACODS_Checklist.pdf</w:t>
      </w:r>
    </w:p>
    <w:bookmarkEnd w:id="102"/>
    <w:bookmarkStart w:id="103" w:name="industry-sources"/>
    <w:p>
      <w:pPr>
        <w:pStyle w:val="Heading2"/>
      </w:pPr>
      <w:r>
        <w:rPr>
          <w:rStyle w:val="SectionNumber"/>
        </w:rPr>
        <w:t xml:space="preserve">13.2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p>
      <w:pPr>
        <w:pStyle w:val="BodyText"/>
      </w:pPr>
      <w:r>
        <w:t xml:space="preserve">[I9] IBM. (2022). Francisco Partners to Acquire IBM’s Healthcare Data and Analytics Assets.</w:t>
      </w:r>
      <w:r>
        <w:t xml:space="preserve"> </w:t>
      </w:r>
      <w:r>
        <w:rPr>
          <w:i/>
          <w:iCs/>
        </w:rPr>
        <w:t xml:space="preserve">IBM Newsroom</w:t>
      </w:r>
      <w:r>
        <w:t xml:space="preserve">. https://newsroom.ibm.com/2022-01-21-Francisco-Partners-to-Acquire-IBMs-Healthcare-Data-and-Analytics-Assets</w:t>
      </w:r>
    </w:p>
    <w:p>
      <w:pPr>
        <w:pStyle w:val="BodyText"/>
      </w:pPr>
      <w:r>
        <w:t xml:space="preserve">[I10] LaVito, A. (2021). Haven, the Amazon-Berkshire-JPMorgan venture to disrupt healthcare, is disbanding after 3 years.</w:t>
      </w:r>
      <w:r>
        <w:t xml:space="preserve"> </w:t>
      </w:r>
      <w:r>
        <w:rPr>
          <w:i/>
          <w:iCs/>
        </w:rPr>
        <w:t xml:space="preserve">CNBC</w:t>
      </w:r>
      <w:r>
        <w:t xml:space="preserve">. https://www.cnbc.com/2021/01/04/haven-the-amazon-berkshire-jpmorgan-venture-to-disrupt-healthcare-is-disbanding-after-3-years.html</w:t>
      </w:r>
    </w:p>
    <w:p>
      <w:pPr>
        <w:pStyle w:val="BodyText"/>
      </w:pPr>
      <w:r>
        <w:t xml:space="preserve">[I11] American Health Information Management Association &amp; NORC at the University of Chicago. (2023). Health information workforce survey report. https://www.ahima.org/news-publications/press-room-press-releases/2023-press-releases/health-information-workforce-shortages-persist-as-ai-shows-promise-ahima-survey-reveals/</w:t>
      </w:r>
    </w:p>
    <w:bookmarkEnd w:id="103"/>
    <w:bookmarkEnd w:id="104"/>
    <w:bookmarkStart w:id="111" w:name="appendices"/>
    <w:p>
      <w:pPr>
        <w:pStyle w:val="Heading1"/>
      </w:pPr>
      <w:r>
        <w:rPr>
          <w:rStyle w:val="SectionNumber"/>
        </w:rPr>
        <w:t xml:space="preserve">14</w:t>
      </w:r>
      <w:r>
        <w:tab/>
      </w:r>
      <w:r>
        <w:t xml:space="preserve">Appendices</w:t>
      </w:r>
    </w:p>
    <w:bookmarkStart w:id="105" w:name="appendix-a-healthcare-analytics-glossary"/>
    <w:p>
      <w:pPr>
        <w:pStyle w:val="Heading2"/>
      </w:pPr>
      <w:r>
        <w:rPr>
          <w:rStyle w:val="SectionNumber"/>
        </w:rPr>
        <w:t xml:space="preserve">14.1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5"/>
    <w:bookmarkStart w:id="106" w:name="Xda282ad3909d53d8ac6252a99a3daf0ffe2dfbb"/>
    <w:p>
      <w:pPr>
        <w:pStyle w:val="Heading2"/>
      </w:pPr>
      <w:r>
        <w:rPr>
          <w:rStyle w:val="SectionNumber"/>
        </w:rPr>
        <w:t xml:space="preserve">14.2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6"/>
    <w:bookmarkStart w:id="110" w:name="Xbfd30549e6247e2f3e5132a039875af0e2849bb"/>
    <w:p>
      <w:pPr>
        <w:pStyle w:val="Heading2"/>
      </w:pPr>
      <w:r>
        <w:rPr>
          <w:rStyle w:val="SectionNumber"/>
        </w:rPr>
        <w:t xml:space="preserve">14.3</w:t>
      </w:r>
      <w:r>
        <w:tab/>
      </w:r>
      <w:r>
        <w:t xml:space="preserve">Appendix C: Healthcare NL2SQL Query Examples</w:t>
      </w:r>
    </w:p>
    <w:bookmarkStart w:id="107" w:name="patient-population-analysis"/>
    <w:p>
      <w:pPr>
        <w:pStyle w:val="Heading3"/>
      </w:pPr>
      <w:r>
        <w:rPr>
          <w:rStyle w:val="SectionNumber"/>
        </w:rPr>
        <w:t xml:space="preserve">14.3.1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07"/>
    <w:bookmarkStart w:id="108" w:name="operational-metrics"/>
    <w:p>
      <w:pPr>
        <w:pStyle w:val="Heading3"/>
      </w:pPr>
      <w:r>
        <w:rPr>
          <w:rStyle w:val="SectionNumber"/>
        </w:rPr>
        <w:t xml:space="preserve">14.3.2</w:t>
      </w:r>
      <w:r>
        <w:tab/>
      </w:r>
      <w:r>
        <w:t xml:space="preserve">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08"/>
    <w:bookmarkStart w:id="109" w:name="quality-metrics"/>
    <w:p>
      <w:pPr>
        <w:pStyle w:val="Heading3"/>
      </w:pPr>
      <w:r>
        <w:rPr>
          <w:rStyle w:val="SectionNumber"/>
        </w:rPr>
        <w:t xml:space="preserve">14.3.3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https://us.yuimedi.com/contact-us/ (include</w:t>
      </w:r>
      <w:r>
        <w:rPr>
          <w:i/>
          <w:iCs/>
        </w:rPr>
        <w:t xml:space="preserve"> </w:t>
      </w:r>
      <w:r>
        <w:rPr>
          <w:i/>
          <w:iCs/>
        </w:rPr>
        <w:t xml:space="preserve">“</w:t>
      </w:r>
      <w:r>
        <w:rPr>
          <w:i/>
          <w:iCs/>
        </w:rPr>
        <w:t xml:space="preserve">NL2SQL paper</w:t>
      </w:r>
      <w:r>
        <w:rPr>
          <w:i/>
          <w:iCs/>
        </w:rPr>
        <w:t xml:space="preserve">”</w:t>
      </w:r>
      <w:r>
        <w:rPr>
          <w:i/>
          <w:iCs/>
        </w:rPr>
        <w:t xml:space="preserve"> </w:t>
      </w:r>
      <w:r>
        <w:rPr>
          <w:i/>
          <w:iCs/>
        </w:rPr>
        <w:t xml:space="preserve">in message)</w:t>
      </w:r>
    </w:p>
    <w:bookmarkEnd w:id="109"/>
    <w:bookmarkEnd w:id="110"/>
    <w:bookmarkEnd w:id="1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2025-12-21T00:30:46Z</dcterms:created>
  <dcterms:modified xsi:type="dcterms:W3CDTF">2025-12-21T00:30:46Z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IT staff turnover of ~34% (as of 2004), the highest among IT sectors at that time, creates institutional memory loss, while low-code implementations demonstrate significant efficiency gains and cost savings. The convergence of technical advances in NL2SQL generation, analytics maturity challenges in healthcare organizations, and workforce turnover creates conditions warranting organizational assessment of conversational AI platforms with appropriate governance. This paper contributes a three-pillar analytical framework (analytics maturity, workforce turnover, technical barriers) and positions healthcare conversational AI as a knowledge portal architecture for institutional memory preservation.</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date">
    <vt:lpwstr>December 2025</vt:lpwstr>
  </property>
  <property fmtid="{D5CDD505-2E9C-101B-9397-08002B2CF9AE}" pid="10" name="documentclass">
    <vt:lpwstr>article</vt:lpwstr>
  </property>
  <property fmtid="{D5CDD505-2E9C-101B-9397-08002B2CF9AE}" pid="11" name="fontsize">
    <vt:lpwstr>11pt</vt:lpwstr>
  </property>
  <property fmtid="{D5CDD505-2E9C-101B-9397-08002B2CF9AE}" pid="12" name="footer-center">
    <vt:lpwstr/>
  </property>
  <property fmtid="{D5CDD505-2E9C-101B-9397-08002B2CF9AE}" pid="13" name="footer-left">
    <vt:lpwstr/>
  </property>
  <property fmtid="{D5CDD505-2E9C-101B-9397-08002B2CF9AE}" pid="14" name="footer-right">
    <vt:lpwstr/>
  </property>
  <property fmtid="{D5CDD505-2E9C-101B-9397-08002B2CF9AE}" pid="15" name="geometry">
    <vt:lpwstr>margin=1in</vt:lpwstr>
  </property>
  <property fmtid="{D5CDD505-2E9C-101B-9397-08002B2CF9AE}" pid="16" name="header-includes">
    <vt:lpwstr/>
  </property>
  <property fmtid="{D5CDD505-2E9C-101B-9397-08002B2CF9AE}" pid="17" name="header-left">
    <vt:lpwstr>NL2SQL in Healthcare</vt:lpwstr>
  </property>
  <property fmtid="{D5CDD505-2E9C-101B-9397-08002B2CF9AE}" pid="18" name="header-right">
    <vt:lpwstr>December 2025</vt:lpwstr>
  </property>
  <property fmtid="{D5CDD505-2E9C-101B-9397-08002B2CF9AE}" pid="19" name="license">
    <vt:lpwstr>CC BY 4.0</vt:lpwstr>
  </property>
  <property fmtid="{D5CDD505-2E9C-101B-9397-08002B2CF9AE}" pid="20" name="license-url">
    <vt:lpwstr>https://creativecommons.org/licenses/by/4.0/</vt:lpwstr>
  </property>
  <property fmtid="{D5CDD505-2E9C-101B-9397-08002B2CF9AE}" pid="21" name="linestretch">
    <vt:lpwstr>1.15</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mainfont">
    <vt:lpwstr>DejaVu Serif</vt:lpwstr>
  </property>
  <property fmtid="{D5CDD505-2E9C-101B-9397-08002B2CF9AE}" pid="26" name="monofont">
    <vt:lpwstr>DejaVu Sans Mono</vt:lpwstr>
  </property>
  <property fmtid="{D5CDD505-2E9C-101B-9397-08002B2CF9AE}" pid="27" name="numbersections">
    <vt:lpwstr>True</vt:lpwstr>
  </property>
  <property fmtid="{D5CDD505-2E9C-101B-9397-08002B2CF9AE}" pid="28" name="papersize">
    <vt:lpwstr>letter</vt:lpwstr>
  </property>
  <property fmtid="{D5CDD505-2E9C-101B-9397-08002B2CF9AE}" pid="29" name="prevent-widows">
    <vt:lpwstr>True</vt:lpwstr>
  </property>
  <property fmtid="{D5CDD505-2E9C-101B-9397-08002B2CF9AE}" pid="30" name="sansfont">
    <vt:lpwstr>DejaVu Sans</vt:lpwstr>
  </property>
  <property fmtid="{D5CDD505-2E9C-101B-9397-08002B2CF9AE}" pid="31" name="titlepage">
    <vt:lpwstr>True</vt:lpwstr>
  </property>
  <property fmtid="{D5CDD505-2E9C-101B-9397-08002B2CF9AE}" pid="32" name="titlepage-color">
    <vt:lpwstr>FFFFFF</vt:lpwstr>
  </property>
  <property fmtid="{D5CDD505-2E9C-101B-9397-08002B2CF9AE}" pid="33" name="titlepage-rule-color">
    <vt:lpwstr>000000</vt:lpwstr>
  </property>
  <property fmtid="{D5CDD505-2E9C-101B-9397-08002B2CF9AE}" pid="34" name="titlepage-rule-height">
    <vt:lpwstr>2</vt:lpwstr>
  </property>
  <property fmtid="{D5CDD505-2E9C-101B-9397-08002B2CF9AE}" pid="35" name="titlepage-text-color">
    <vt:lpwstr>000000</vt:lpwstr>
  </property>
  <property fmtid="{D5CDD505-2E9C-101B-9397-08002B2CF9AE}" pid="36" name="toc">
    <vt:lpwstr>True</vt:lpwstr>
  </property>
  <property fmtid="{D5CDD505-2E9C-101B-9397-08002B2CF9AE}" pid="37" name="toc-depth">
    <vt:lpwstr>3</vt:lpwstr>
  </property>
  <property fmtid="{D5CDD505-2E9C-101B-9397-08002B2CF9AE}" pid="38" name="urlcolor">
    <vt:lpwstr>blue</vt:lpwstr>
  </property>
  <property fmtid="{D5CDD505-2E9C-101B-9397-08002B2CF9AE}" pid="39" name="version">
    <vt:lpwstr>1.0.0</vt:lpwstr>
  </property>
</Properties>
</file>