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2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Crossref</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r>
              <w:t xml:space="preserve"> </w:t>
            </w:r>
            <w:r>
              <w:t xml:space="preserve">OR</w:t>
            </w:r>
            <w:r>
              <w:t xml:space="preserve"> </w:t>
            </w:r>
            <w:r>
              <w:t xml:space="preserve">“</w:t>
            </w:r>
            <w:r>
              <w:t xml:space="preserve">NL2SQL clinical</w:t>
            </w:r>
            <w:r>
              <w:t xml:space="preserve">”</w:t>
            </w:r>
            <w:r>
              <w:t xml:space="preserve"> </w:t>
            </w:r>
            <w:r>
              <w:t xml:space="preserve">OR</w:t>
            </w:r>
            <w:r>
              <w:t xml:space="preserve"> </w:t>
            </w:r>
            <w:r>
              <w:t xml:space="preserve">“</w:t>
            </w:r>
            <w:r>
              <w:t xml:space="preserve">knowledge portal</w:t>
            </w:r>
            <w:r>
              <w:t xml:space="preserve">”</w:t>
            </w:r>
            <w:r>
              <w:t xml:space="preserve"> </w:t>
            </w:r>
            <w:r>
              <w:t xml:space="preserve">OR</w:t>
            </w:r>
            <w:r>
              <w:t xml:space="preserve"> </w:t>
            </w:r>
            <w:r>
              <w:t xml:space="preserve">“</w:t>
            </w:r>
            <w:r>
              <w:t xml:space="preserve">low-code ROI</w:t>
            </w:r>
            <w:r>
              <w:t xml:space="preserve">”</w:t>
            </w:r>
          </w:p>
        </w:tc>
        <w:tc>
          <w:tcPr/>
          <w:p>
            <w:pPr>
              <w:pStyle w:val="Compact"/>
              <w:jc w:val="left"/>
            </w:pPr>
            <w:r>
              <w:t xml:space="preserve">2015-current</w:t>
            </w:r>
          </w:p>
        </w:tc>
        <w:tc>
          <w:tcPr/>
          <w:p>
            <w:pPr>
              <w:pStyle w:val="Compact"/>
              <w:jc w:val="left"/>
            </w:pPr>
            <w:r>
              <w:t xml:space="preserve">285</w:t>
            </w:r>
          </w:p>
        </w:tc>
        <w:tc>
          <w:tcPr/>
          <w:p>
            <w:pPr>
              <w:pStyle w:val="Compact"/>
              <w:jc w:val="left"/>
            </w:pPr>
            <w:r>
              <w:t xml:space="preserve">15</w:t>
            </w:r>
          </w:p>
        </w:tc>
      </w:tr>
      <w:tr>
        <w:tc>
          <w:tcPr/>
          <w:p>
            <w:pPr>
              <w:pStyle w:val="Compact"/>
              <w:jc w:val="left"/>
            </w:pPr>
            <w:r>
              <w:t xml:space="preserve">PubMed</w:t>
            </w:r>
          </w:p>
        </w:tc>
        <w:tc>
          <w:tcPr/>
          <w:p>
            <w:pPr>
              <w:pStyle w:val="Compact"/>
              <w:jc w:val="left"/>
            </w:pPr>
            <w:r>
              <w:t xml:space="preserve">(</w:t>
            </w:r>
            <w:r>
              <w:t xml:space="preserve">“</w:t>
            </w:r>
            <w:r>
              <w:t xml:space="preserve">healthcare IT tenure</w:t>
            </w:r>
            <w:r>
              <w:t xml:space="preserve">”</w:t>
            </w:r>
            <w:r>
              <w:t xml:space="preserve"> </w:t>
            </w:r>
            <w:r>
              <w:t xml:space="preserve">OR</w:t>
            </w:r>
            <w:r>
              <w:t xml:space="preserve"> </w:t>
            </w:r>
            <w:r>
              <w:t xml:space="preserve">“</w:t>
            </w:r>
            <w:r>
              <w:t xml:space="preserve">IT training time</w:t>
            </w:r>
            <w:r>
              <w:t xml:space="preserve">”</w:t>
            </w:r>
            <w:r>
              <w:t xml:space="preserve"> </w:t>
            </w:r>
            <w:r>
              <w:t xml:space="preserve">OR</w:t>
            </w:r>
            <w:r>
              <w:t xml:space="preserve"> </w:t>
            </w:r>
            <w:r>
              <w:t xml:space="preserve">“</w:t>
            </w:r>
            <w:r>
              <w:t xml:space="preserve">turnover cost salary</w:t>
            </w:r>
            <w:r>
              <w:t xml:space="preserve">”</w:t>
            </w:r>
            <w:r>
              <w:t xml:space="preserve">) AND (</w:t>
            </w:r>
            <w:r>
              <w:t xml:space="preserve">“</w:t>
            </w:r>
            <w:r>
              <w:t xml:space="preserve">institutional memory</w:t>
            </w:r>
            <w:r>
              <w:t xml:space="preserve">”</w:t>
            </w:r>
            <w:r>
              <w:t xml:space="preserve"> </w:t>
            </w:r>
            <w:r>
              <w:t xml:space="preserve">OR</w:t>
            </w:r>
            <w:r>
              <w:t xml:space="preserve"> </w:t>
            </w:r>
            <w:r>
              <w:t xml:space="preserve">“</w:t>
            </w:r>
            <w:r>
              <w:t xml:space="preserve">analytics adoption</w:t>
            </w:r>
            <w:r>
              <w:t xml:space="preserve">”</w:t>
            </w:r>
            <w:r>
              <w:t xml:space="preserve"> </w:t>
            </w:r>
            <w:r>
              <w:t xml:space="preserve">OR</w:t>
            </w:r>
            <w:r>
              <w:t xml:space="preserve"> </w:t>
            </w:r>
            <w:r>
              <w:t xml:space="preserve">“</w:t>
            </w:r>
            <w:r>
              <w:t xml:space="preserve">knowledge capture</w:t>
            </w:r>
            <w:r>
              <w:t xml:space="preserve">”</w:t>
            </w:r>
            <w:r>
              <w:t xml:space="preserve">)</w:t>
            </w:r>
          </w:p>
        </w:tc>
        <w:tc>
          <w:tcPr/>
          <w:p>
            <w:pPr>
              <w:pStyle w:val="Compact"/>
              <w:jc w:val="left"/>
            </w:pPr>
            <w:r>
              <w:t xml:space="preserve">2015-current</w:t>
            </w:r>
          </w:p>
        </w:tc>
        <w:tc>
          <w:tcPr/>
          <w:p>
            <w:pPr>
              <w:pStyle w:val="Compact"/>
              <w:jc w:val="left"/>
            </w:pPr>
            <w:r>
              <w:t xml:space="preserve">142</w:t>
            </w:r>
          </w:p>
        </w:tc>
        <w:tc>
          <w:tcPr/>
          <w:p>
            <w:pPr>
              <w:pStyle w:val="Compact"/>
              <w:jc w:val="left"/>
            </w:pPr>
            <w:r>
              <w:t xml:space="preserve">12</w:t>
            </w:r>
          </w:p>
        </w:tc>
      </w:tr>
      <w:tr>
        <w:tc>
          <w:tcPr/>
          <w:p>
            <w:pPr>
              <w:pStyle w:val="Compact"/>
              <w:jc w:val="left"/>
            </w:pPr>
            <w:r>
              <w:t xml:space="preserve">arXiv (cs.CL, cs.DB)</w:t>
            </w:r>
          </w:p>
        </w:tc>
        <w:tc>
          <w:tcPr/>
          <w:p>
            <w:pPr>
              <w:pStyle w:val="Compact"/>
              <w:jc w:val="left"/>
            </w:pPr>
            <w:r>
              <w:t xml:space="preserve">“</w:t>
            </w:r>
            <w:r>
              <w:t xml:space="preserve">text-to-SQL</w:t>
            </w:r>
            <w:r>
              <w:t xml:space="preserve">”</w:t>
            </w:r>
            <w:r>
              <w:t xml:space="preserve"> </w:t>
            </w:r>
            <w:r>
              <w:t xml:space="preserve">AND (</w:t>
            </w:r>
            <w:r>
              <w:t xml:space="preserve">“</w:t>
            </w:r>
            <w:r>
              <w:t xml:space="preserve">MIMICSQL</w:t>
            </w:r>
            <w:r>
              <w:t xml:space="preserve">”</w:t>
            </w:r>
            <w:r>
              <w:t xml:space="preserve"> </w:t>
            </w:r>
            <w:r>
              <w:t xml:space="preserve">OR</w:t>
            </w:r>
            <w:r>
              <w:t xml:space="preserve"> </w:t>
            </w:r>
            <w:r>
              <w:t xml:space="preserve">“</w:t>
            </w:r>
            <w:r>
              <w:t xml:space="preserve">EHRSQL</w:t>
            </w:r>
            <w:r>
              <w:t xml:space="preserve">”</w:t>
            </w:r>
            <w:r>
              <w:t xml:space="preserve"> </w:t>
            </w:r>
            <w:r>
              <w:t xml:space="preserve">OR</w:t>
            </w:r>
            <w:r>
              <w:t xml:space="preserve"> </w:t>
            </w:r>
            <w:r>
              <w:t xml:space="preserve">“</w:t>
            </w:r>
            <w:r>
              <w:t xml:space="preserve">schema discovery</w:t>
            </w:r>
            <w:r>
              <w:t xml:space="preserve">”</w:t>
            </w:r>
            <w:r>
              <w:t xml:space="preserve"> </w:t>
            </w:r>
            <w:r>
              <w:t xml:space="preserve">OR</w:t>
            </w:r>
            <w:r>
              <w:t xml:space="preserve"> </w:t>
            </w:r>
            <w:r>
              <w:t xml:space="preserve">“</w:t>
            </w:r>
            <w:r>
              <w:t xml:space="preserve">PK/FK discovery</w:t>
            </w:r>
            <w:r>
              <w:t xml:space="preserve">”</w:t>
            </w:r>
            <w:r>
              <w:t xml:space="preserve"> </w:t>
            </w:r>
            <w:r>
              <w:t xml:space="preserve">OR</w:t>
            </w:r>
            <w:r>
              <w:t xml:space="preserve"> </w:t>
            </w:r>
            <w:r>
              <w:t xml:space="preserve">“</w:t>
            </w:r>
            <w:r>
              <w:t xml:space="preserve">semantic matching</w:t>
            </w:r>
            <w:r>
              <w:t xml:space="preserve">”</w:t>
            </w:r>
            <w:r>
              <w:t xml:space="preserve"> </w:t>
            </w:r>
            <w:r>
              <w:t xml:space="preserve">OR</w:t>
            </w:r>
            <w:r>
              <w:t xml:space="preserve"> </w:t>
            </w:r>
            <w:r>
              <w:t xml:space="preserve">“</w:t>
            </w:r>
            <w:r>
              <w:t xml:space="preserve">vector embeddings</w:t>
            </w:r>
            <w:r>
              <w:t xml:space="preserve">”</w:t>
            </w:r>
            <w:r>
              <w:t xml:space="preserve">)</w:t>
            </w:r>
          </w:p>
        </w:tc>
        <w:tc>
          <w:tcPr/>
          <w:p>
            <w:pPr>
              <w:pStyle w:val="Compact"/>
              <w:jc w:val="left"/>
            </w:pPr>
            <w:r>
              <w:t xml:space="preserve">2020-current</w:t>
            </w:r>
          </w:p>
        </w:tc>
        <w:tc>
          <w:tcPr/>
          <w:p>
            <w:pPr>
              <w:pStyle w:val="Compact"/>
              <w:jc w:val="left"/>
            </w:pPr>
            <w:r>
              <w:t xml:space="preserve">71</w:t>
            </w:r>
          </w:p>
        </w:tc>
        <w:tc>
          <w:tcPr/>
          <w:p>
            <w:pPr>
              <w:pStyle w:val="Compact"/>
              <w:jc w:val="left"/>
            </w:pPr>
            <w:r>
              <w:t xml:space="preserve">6</w:t>
            </w:r>
          </w:p>
        </w:tc>
      </w:tr>
      <w:tr>
        <w:tc>
          <w:tcPr/>
          <w:p>
            <w:pPr>
              <w:pStyle w:val="Compact"/>
              <w:jc w:val="left"/>
            </w:pPr>
            <w:r>
              <w:t xml:space="preserve">Semantic Scholar</w:t>
            </w:r>
          </w:p>
        </w:tc>
        <w:tc>
          <w:tcPr/>
          <w:p>
            <w:pPr>
              <w:pStyle w:val="Compact"/>
              <w:jc w:val="left"/>
            </w:pPr>
            <w:r>
              <w:t xml:space="preserve">“</w:t>
            </w:r>
            <w:r>
              <w:t xml:space="preserve">NL2SQL healthcare</w:t>
            </w:r>
            <w:r>
              <w:t xml:space="preserve">”</w:t>
            </w:r>
            <w:r>
              <w:t xml:space="preserve"> </w:t>
            </w:r>
            <w:r>
              <w:t xml:space="preserve">OR</w:t>
            </w:r>
            <w:r>
              <w:t xml:space="preserve"> </w:t>
            </w:r>
            <w:r>
              <w:t xml:space="preserve">“</w:t>
            </w:r>
            <w:r>
              <w:t xml:space="preserve">NL2SQL productivity</w:t>
            </w:r>
            <w:r>
              <w:t xml:space="preserve">”</w:t>
            </w:r>
            <w:r>
              <w:t xml:space="preserve"> </w:t>
            </w:r>
            <w:r>
              <w:t xml:space="preserve">OR</w:t>
            </w:r>
            <w:r>
              <w:t xml:space="preserve"> </w:t>
            </w:r>
            <w:r>
              <w:t xml:space="preserve">“</w:t>
            </w:r>
            <w:r>
              <w:t xml:space="preserve">conversational AI clinical</w:t>
            </w:r>
            <w:r>
              <w:t xml:space="preserve">”</w:t>
            </w:r>
            <w:r>
              <w:t xml:space="preserve"> </w:t>
            </w:r>
            <w:r>
              <w:t xml:space="preserve">OR</w:t>
            </w:r>
            <w:r>
              <w:t xml:space="preserve"> </w:t>
            </w:r>
            <w:r>
              <w:t xml:space="preserve">“</w:t>
            </w:r>
            <w:r>
              <w:t xml:space="preserve">SECI model analytics</w:t>
            </w:r>
            <w:r>
              <w:t xml:space="preserve">”</w:t>
            </w:r>
          </w:p>
        </w:tc>
        <w:tc>
          <w:tcPr/>
          <w:p>
            <w:pPr>
              <w:pStyle w:val="Compact"/>
              <w:jc w:val="left"/>
            </w:pPr>
            <w:r>
              <w:t xml:space="preserve">2015-current</w:t>
            </w:r>
          </w:p>
        </w:tc>
        <w:tc>
          <w:tcPr/>
          <w:p>
            <w:pPr>
              <w:pStyle w:val="Compact"/>
              <w:jc w:val="left"/>
            </w:pPr>
            <w:r>
              <w:t xml:space="preserve">72</w:t>
            </w:r>
          </w:p>
        </w:tc>
        <w:tc>
          <w:tcPr/>
          <w:p>
            <w:pPr>
              <w:pStyle w:val="Compact"/>
              <w:jc w:val="left"/>
            </w:pPr>
            <w:r>
              <w:t xml:space="preserve">8</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79</w:t>
            </w:r>
          </w:p>
        </w:tc>
      </w:tr>
    </w:tbl>
    <w:p>
      <w:pPr>
        <w:pStyle w:val="BodyText"/>
      </w:pPr>
      <w:r>
        <w:rPr>
          <w:i/>
          <w:iCs/>
        </w:rPr>
        <w:t xml:space="preserve">Note: Initial results shown after deduplication across databases. Final corpus includes 68 academic and 11 industry sources.</w:t>
      </w:r>
    </w:p>
    <w:p>
      <w:pPr>
        <w:pStyle w:val="BodyText"/>
      </w:pPr>
      <w:r>
        <w:t xml:space="preserve">Figure 1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validated across 47 years of subsequent research.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2025-12-21T22:50:22Z</dcterms:created>
  <dcterms:modified xsi:type="dcterms:W3CDTF">2025-12-21T22:50:22Z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