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Mitigating</w:t>
      </w:r>
      <w:r>
        <w:t xml:space="preserve"> </w:t>
      </w:r>
      <w:r>
        <w:t xml:space="preserve">Institutional</w:t>
      </w:r>
      <w:r>
        <w:t xml:space="preserve"> </w:t>
      </w:r>
      <w:r>
        <w:t xml:space="preserve">Amnesia:</w:t>
      </w:r>
      <w:r>
        <w:t xml:space="preserve"> </w:t>
      </w:r>
      <w:r>
        <w:t xml:space="preserve">A</w:t>
      </w:r>
      <w:r>
        <w:t xml:space="preserve"> </w:t>
      </w:r>
      <w:r>
        <w:t xml:space="preserve">Design</w:t>
      </w:r>
      <w:r>
        <w:t xml:space="preserve"> </w:t>
      </w:r>
      <w:r>
        <w:t xml:space="preserve">Science</w:t>
      </w:r>
      <w:r>
        <w:t xml:space="preserve"> </w:t>
      </w:r>
      <w:r>
        <w:t xml:space="preserve">Framework</w:t>
      </w:r>
      <w:r>
        <w:t xml:space="preserve"> </w:t>
      </w:r>
      <w:r>
        <w:t xml:space="preserve">for</w:t>
      </w:r>
      <w:r>
        <w:t xml:space="preserve"> </w:t>
      </w:r>
      <w:r>
        <w:t xml:space="preserve">Socio-Technical</w:t>
      </w:r>
      <w:r>
        <w:t xml:space="preserve"> </w:t>
      </w:r>
      <w:r>
        <w:t xml:space="preserve">Query</w:t>
      </w:r>
      <w:r>
        <w:t xml:space="preserve"> </w:t>
      </w:r>
      <w:r>
        <w:t xml:space="preserve">Governance</w:t>
      </w:r>
      <w:r>
        <w:t xml:space="preserve"> </w:t>
      </w:r>
      <w:r>
        <w:t xml:space="preserve">in</w:t>
      </w:r>
      <w:r>
        <w:t xml:space="preserve"> </w:t>
      </w:r>
      <w:r>
        <w:t xml:space="preserve">Healthcare</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Recent</w:t>
      </w:r>
      <w:r>
        <w:t xml:space="preserve"> </w:t>
      </w:r>
      <w:r>
        <w:t xml:space="preserve">data</w:t>
      </w:r>
      <w:r>
        <w:t xml:space="preserve"> </w:t>
      </w:r>
      <w:r>
        <w:t xml:space="preserve">reveals</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where</w:t>
      </w:r>
      <w:r>
        <w:t xml:space="preserve"> </w:t>
      </w:r>
      <w:r>
        <w:t xml:space="preserve">53%</w:t>
      </w:r>
      <w:r>
        <w:t xml:space="preserve"> </w:t>
      </w:r>
      <w:r>
        <w:t xml:space="preserve">of</w:t>
      </w:r>
      <w:r>
        <w:t xml:space="preserve"> </w:t>
      </w:r>
      <w:r>
        <w:t xml:space="preserve">healthcare</w:t>
      </w:r>
      <w:r>
        <w:t xml:space="preserve"> </w:t>
      </w:r>
      <w:r>
        <w:t xml:space="preserve">CIOs</w:t>
      </w:r>
      <w:r>
        <w:t xml:space="preserve"> </w:t>
      </w:r>
      <w:r>
        <w:t xml:space="preserve">have</w:t>
      </w:r>
      <w:r>
        <w:t xml:space="preserve"> </w:t>
      </w:r>
      <w:r>
        <w:t xml:space="preserve">less</w:t>
      </w:r>
      <w:r>
        <w:t xml:space="preserve"> </w:t>
      </w:r>
      <w:r>
        <w:t xml:space="preserve">than</w:t>
      </w:r>
      <w:r>
        <w:t xml:space="preserve"> </w:t>
      </w:r>
      <w:r>
        <w:t xml:space="preserve">three</w:t>
      </w:r>
      <w:r>
        <w:t xml:space="preserve"> </w:t>
      </w:r>
      <w:r>
        <w:t xml:space="preserve">years’</w:t>
      </w:r>
      <w:r>
        <w:t xml:space="preserve"> </w:t>
      </w:r>
      <w:r>
        <w:t xml:space="preserve">tenure</w:t>
      </w:r>
      <w:r>
        <w:t xml:space="preserve"> </w:t>
      </w:r>
      <w:r>
        <w:t xml:space="preserve">and</w:t>
      </w:r>
      <w:r>
        <w:t xml:space="preserve"> </w:t>
      </w:r>
      <w:r>
        <w:t xml:space="preserve">55%</w:t>
      </w:r>
      <w:r>
        <w:t xml:space="preserve"> </w:t>
      </w:r>
      <w:r>
        <w:t xml:space="preserve">of</w:t>
      </w:r>
      <w:r>
        <w:t xml:space="preserve"> </w:t>
      </w:r>
      <w:r>
        <w:t xml:space="preserve">informatics</w:t>
      </w:r>
      <w:r>
        <w:t xml:space="preserve"> </w:t>
      </w:r>
      <w:r>
        <w:t xml:space="preserve">specialists</w:t>
      </w:r>
      <w:r>
        <w:t xml:space="preserve"> </w:t>
      </w:r>
      <w:r>
        <w:t xml:space="preserve">intend</w:t>
      </w:r>
      <w:r>
        <w:t xml:space="preserve"> </w:t>
      </w:r>
      <w:r>
        <w:t xml:space="preserve">to</w:t>
      </w:r>
      <w:r>
        <w:t xml:space="preserve"> </w:t>
      </w:r>
      <w:r>
        <w:t xml:space="preserve">leave</w:t>
      </w:r>
      <w:r>
        <w:t xml:space="preserve"> </w:t>
      </w:r>
      <w:r>
        <w:t xml:space="preserve">their</w:t>
      </w:r>
      <w:r>
        <w:t xml:space="preserve"> </w:t>
      </w:r>
      <w:r>
        <w:t xml:space="preserve">roles.</w:t>
      </w:r>
      <w:r>
        <w:t xml:space="preserve"> </w:t>
      </w:r>
      <w:r>
        <w:t xml:space="preserve">This</w:t>
      </w:r>
      <w:r>
        <w:t xml:space="preserve"> </w:t>
      </w:r>
      <w:r>
        <w:t xml:space="preserve">churn</w:t>
      </w:r>
      <w:r>
        <w:t xml:space="preserve"> </w:t>
      </w:r>
      <w:r>
        <w:t xml:space="preserve">erases</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p>
    <w:p>
      <w:pPr>
        <w:pStyle w:val="Abstract"/>
      </w:pPr>
      <w:r>
        <w:rPr>
          <w:b/>
          <w:bCs/>
        </w:rPr>
        <w:t xml:space="preserve">Objective:</w:t>
      </w:r>
      <w:r>
        <w:t xml:space="preserve"> </w:t>
      </w:r>
      <w:r>
        <w:t xml:space="preserve">This</w:t>
      </w:r>
      <w:r>
        <w:t xml:space="preserve"> </w:t>
      </w:r>
      <w:r>
        <w:t xml:space="preserve">article</w:t>
      </w:r>
      <w:r>
        <w:t xml:space="preserve"> </w:t>
      </w:r>
      <w:r>
        <w:t xml:space="preserve">proposes</w:t>
      </w:r>
      <w:r>
        <w:t xml:space="preserve"> </w:t>
      </w:r>
      <w:r>
        <w:t xml:space="preserve">a</w:t>
      </w:r>
      <w:r>
        <w:t xml:space="preserve"> </w:t>
      </w:r>
      <w:r>
        <w:t xml:space="preserve">socio-technical</w:t>
      </w:r>
      <w:r>
        <w:t xml:space="preserve"> </w:t>
      </w:r>
      <w:r>
        <w:t xml:space="preserve">framework</w:t>
      </w:r>
      <w:r>
        <w:t xml:space="preserve"> </w:t>
      </w:r>
      <w:r>
        <w:t xml:space="preserve">to</w:t>
      </w:r>
      <w:r>
        <w:t xml:space="preserve"> </w:t>
      </w:r>
      <w:r>
        <w:t xml:space="preserve">mitigate</w:t>
      </w:r>
      <w:r>
        <w:t xml:space="preserve"> </w:t>
      </w:r>
      <w:r>
        <w:t xml:space="preserve">institutional</w:t>
      </w:r>
      <w:r>
        <w:t xml:space="preserve"> </w:t>
      </w:r>
      <w:r>
        <w:t xml:space="preserve">amnesia</w:t>
      </w:r>
      <w:r>
        <w:t xml:space="preserve"> </w:t>
      </w:r>
      <w:r>
        <w:t xml:space="preserve">by</w:t>
      </w:r>
      <w:r>
        <w:t xml:space="preserve"> </w:t>
      </w:r>
      <w:r>
        <w:t xml:space="preserve">decoupling</w:t>
      </w:r>
      <w:r>
        <w:t xml:space="preserve"> </w:t>
      </w:r>
      <w:r>
        <w:t xml:space="preserve">organizational</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staff</w:t>
      </w:r>
      <w:r>
        <w:t xml:space="preserve"> </w:t>
      </w:r>
      <w:r>
        <w:t xml:space="preserve">tenure.</w:t>
      </w:r>
      <w:r>
        <w:t xml:space="preserve"> </w:t>
      </w:r>
      <w:r>
        <w:t xml:space="preserve">We</w:t>
      </w:r>
      <w:r>
        <w:t xml:space="preserve"> </w:t>
      </w:r>
      <w:r>
        <w:t xml:space="preserve">aim</w:t>
      </w:r>
      <w:r>
        <w:t xml:space="preserve"> </w:t>
      </w:r>
      <w:r>
        <w:t xml:space="preserve">to</w:t>
      </w:r>
      <w:r>
        <w:t xml:space="preserve"> </w:t>
      </w:r>
      <w:r>
        <w:t xml:space="preserve">answer</w:t>
      </w:r>
      <w:r>
        <w:t xml:space="preserve"> </w:t>
      </w:r>
      <w:r>
        <w:t xml:space="preserve">the</w:t>
      </w:r>
      <w:r>
        <w:t xml:space="preserve"> </w:t>
      </w:r>
      <w:r>
        <w:t xml:space="preserve">research</w:t>
      </w:r>
      <w:r>
        <w:t xml:space="preserve"> </w:t>
      </w:r>
      <w:r>
        <w:t xml:space="preserve">question:</w:t>
      </w:r>
      <w:r>
        <w:t xml:space="preserve"> </w:t>
      </w:r>
      <w:r>
        <w:rPr>
          <w:i/>
          <w:iCs/>
        </w:rPr>
        <w:t xml:space="preserve">How</w:t>
      </w:r>
      <w:r>
        <w:rPr>
          <w:i/>
          <w:iCs/>
        </w:rPr>
        <w:t xml:space="preserve"> </w:t>
      </w:r>
      <w:r>
        <w:rPr>
          <w:i/>
          <w:iCs/>
        </w:rPr>
        <w:t xml:space="preserve">can</w:t>
      </w:r>
      <w:r>
        <w:rPr>
          <w:i/>
          <w:iCs/>
        </w:rPr>
        <w:t xml:space="preserve"> </w:t>
      </w:r>
      <w:r>
        <w:rPr>
          <w:i/>
          <w:iCs/>
        </w:rPr>
        <w:t xml:space="preserve">health</w:t>
      </w:r>
      <w:r>
        <w:rPr>
          <w:i/>
          <w:iCs/>
        </w:rPr>
        <w:t xml:space="preserve"> </w:t>
      </w:r>
      <w:r>
        <w:rPr>
          <w:i/>
          <w:iCs/>
        </w:rPr>
        <w:t xml:space="preserve">systems</w:t>
      </w:r>
      <w:r>
        <w:rPr>
          <w:i/>
          <w:iCs/>
        </w:rPr>
        <w:t xml:space="preserve"> </w:t>
      </w:r>
      <w:r>
        <w:rPr>
          <w:i/>
          <w:iCs/>
        </w:rPr>
        <w:t xml:space="preserve">maintain</w:t>
      </w:r>
      <w:r>
        <w:rPr>
          <w:i/>
          <w:iCs/>
        </w:rPr>
        <w:t xml:space="preserve"> </w:t>
      </w:r>
      <w:r>
        <w:rPr>
          <w:i/>
          <w:iCs/>
        </w:rPr>
        <w:t xml:space="preserve">analytics</w:t>
      </w:r>
      <w:r>
        <w:rPr>
          <w:i/>
          <w:iCs/>
        </w:rPr>
        <w:t xml:space="preserve"> </w:t>
      </w:r>
      <w:r>
        <w:rPr>
          <w:i/>
          <w:iCs/>
        </w:rPr>
        <w:t xml:space="preserve">maturity</w:t>
      </w:r>
      <w:r>
        <w:rPr>
          <w:i/>
          <w:iCs/>
        </w:rPr>
        <w:t xml:space="preserve"> </w:t>
      </w:r>
      <w:r>
        <w:rPr>
          <w:i/>
          <w:iCs/>
        </w:rPr>
        <w:t xml:space="preserve">when</w:t>
      </w:r>
      <w:r>
        <w:rPr>
          <w:i/>
          <w:iCs/>
        </w:rPr>
        <w:t xml:space="preserve"> </w:t>
      </w:r>
      <w:r>
        <w:rPr>
          <w:i/>
          <w:iCs/>
        </w:rPr>
        <w:t xml:space="preserve">workforce</w:t>
      </w:r>
      <w:r>
        <w:rPr>
          <w:i/>
          <w:iCs/>
        </w:rPr>
        <w:t xml:space="preserve"> </w:t>
      </w:r>
      <w:r>
        <w:rPr>
          <w:i/>
          <w:iCs/>
        </w:rPr>
        <w:t xml:space="preserve">turnover</w:t>
      </w:r>
      <w:r>
        <w:rPr>
          <w:i/>
          <w:iCs/>
        </w:rPr>
        <w:t xml:space="preserve"> </w:t>
      </w:r>
      <w:r>
        <w:rPr>
          <w:i/>
          <w:iCs/>
        </w:rPr>
        <w:t xml:space="preserve">exceeds</w:t>
      </w:r>
      <w:r>
        <w:rPr>
          <w:i/>
          <w:iCs/>
        </w:rPr>
        <w:t xml:space="preserve"> </w:t>
      </w:r>
      <w:r>
        <w:rPr>
          <w:i/>
          <w:iCs/>
        </w:rPr>
        <w:t xml:space="preserve">the</w:t>
      </w:r>
      <w:r>
        <w:rPr>
          <w:i/>
          <w:iCs/>
        </w:rPr>
        <w:t xml:space="preserve"> </w:t>
      </w:r>
      <w:r>
        <w:rPr>
          <w:i/>
          <w:iCs/>
        </w:rPr>
        <w:t xml:space="preserve">speed</w:t>
      </w:r>
      <w:r>
        <w:rPr>
          <w:i/>
          <w:iCs/>
        </w:rPr>
        <w:t xml:space="preserve"> </w:t>
      </w:r>
      <w:r>
        <w:rPr>
          <w:i/>
          <w:iCs/>
        </w:rPr>
        <w:t xml:space="preserve">of</w:t>
      </w:r>
      <w:r>
        <w:rPr>
          <w:i/>
          <w:iCs/>
        </w:rPr>
        <w:t xml:space="preserve"> </w:t>
      </w:r>
      <w:r>
        <w:rPr>
          <w:i/>
          <w:iCs/>
        </w:rPr>
        <w:t xml:space="preserve">documentation?</w:t>
      </w:r>
    </w:p>
    <w:p>
      <w:pPr>
        <w:pStyle w:val="Abstract"/>
      </w:pPr>
      <w:r>
        <w:rPr>
          <w:b/>
          <w:bCs/>
        </w:rPr>
        <w:t xml:space="preserve">Methods:</w:t>
      </w:r>
      <w:r>
        <w:t xml:space="preserve"> </w:t>
      </w:r>
      <w:r>
        <w:t xml:space="preserve">We</w:t>
      </w:r>
      <w:r>
        <w:t xml:space="preserve"> </w:t>
      </w:r>
      <w:r>
        <w:t xml:space="preserve">employed</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The</w:t>
      </w:r>
      <w:r>
        <w:t xml:space="preserve"> </w:t>
      </w:r>
      <w:r>
        <w:t xml:space="preserve">framework</w:t>
      </w:r>
      <w:r>
        <w:t xml:space="preserve"> </w:t>
      </w:r>
      <w:r>
        <w:t xml:space="preserve">is</w:t>
      </w:r>
      <w:r>
        <w:t xml:space="preserve"> </w:t>
      </w:r>
      <w:r>
        <w:t xml:space="preserve">grounded</w:t>
      </w:r>
      <w:r>
        <w:t xml:space="preserve"> </w:t>
      </w:r>
      <w:r>
        <w:t xml:space="preserve">in</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reinterpreting</w:t>
      </w:r>
      <w:r>
        <w:t xml:space="preserve"> </w:t>
      </w:r>
      <w:r>
        <w:t xml:space="preserve">“</w:t>
      </w:r>
      <w:r>
        <w:t xml:space="preserve">Socialization</w:t>
      </w:r>
      <w:r>
        <w:t xml:space="preserve">”</w:t>
      </w:r>
      <w:r>
        <w:t xml:space="preserve"> </w:t>
      </w:r>
      <w:r>
        <w:t xml:space="preserve">vulnerabilities</w:t>
      </w:r>
      <w:r>
        <w:t xml:space="preserve"> </w:t>
      </w:r>
      <w:r>
        <w:t xml:space="preserve">through</w:t>
      </w:r>
      <w:r>
        <w:t xml:space="preserve"> </w:t>
      </w:r>
      <w:r>
        <w:t xml:space="preserve">the</w:t>
      </w:r>
      <w:r>
        <w:t xml:space="preserve"> </w:t>
      </w:r>
      <w:r>
        <w:t xml:space="preserve">lens</w:t>
      </w:r>
      <w:r>
        <w:t xml:space="preserve"> </w:t>
      </w:r>
      <w:r>
        <w:t xml:space="preserve">of</w:t>
      </w:r>
      <w:r>
        <w:t xml:space="preserve"> </w:t>
      </w:r>
      <w:r>
        <w:t xml:space="preserve">workforce</w:t>
      </w:r>
      <w:r>
        <w:t xml:space="preserve"> </w:t>
      </w:r>
      <w:r>
        <w:t xml:space="preserve">turnover</w:t>
      </w:r>
      <w:r>
        <w:t xml:space="preserve"> </w:t>
      </w:r>
      <w:r>
        <w:t xml:space="preserve">data</w:t>
      </w:r>
      <w:r>
        <w:t xml:space="preserve"> </w:t>
      </w:r>
      <w:r>
        <w:t xml:space="preserve">(2024-2025).</w:t>
      </w:r>
    </w:p>
    <w:p>
      <w:pPr>
        <w:pStyle w:val="Abstract"/>
      </w:pPr>
      <w:r>
        <w:rPr>
          <w:b/>
          <w:bCs/>
        </w:rPr>
        <w:t xml:space="preserve">Results:</w:t>
      </w:r>
      <w:r>
        <w:t xml:space="preserve"> </w:t>
      </w:r>
      <w:r>
        <w:t xml:space="preserve">We</w:t>
      </w:r>
      <w:r>
        <w:t xml:space="preserve"> </w:t>
      </w:r>
      <w:r>
        <w:t xml:space="preserve">present</w:t>
      </w:r>
      <w:r>
        <w:t xml:space="preserve"> </w:t>
      </w:r>
      <w:r>
        <w:t xml:space="preserve">the</w:t>
      </w:r>
      <w:r>
        <w:t xml:space="preserve"> </w:t>
      </w:r>
      <w:r>
        <w:t xml:space="preserve">“</w:t>
      </w:r>
      <w:r>
        <w:t xml:space="preserve">Human-in-the-Loop</w:t>
      </w:r>
      <w:r>
        <w:t xml:space="preserve"> </w:t>
      </w:r>
      <w:r>
        <w:t xml:space="preserve">Semantic</w:t>
      </w:r>
      <w:r>
        <w:t xml:space="preserve"> </w:t>
      </w:r>
      <w:r>
        <w:t xml:space="preserve">Governance</w:t>
      </w:r>
      <w:r>
        <w:t xml:space="preserve">”</w:t>
      </w:r>
      <w:r>
        <w:t xml:space="preserve"> </w:t>
      </w:r>
      <w:r>
        <w:t xml:space="preserve">(HiL-SG)</w:t>
      </w:r>
      <w:r>
        <w:t xml:space="preserve"> </w:t>
      </w:r>
      <w:r>
        <w:t xml:space="preserve">framework.</w:t>
      </w:r>
      <w:r>
        <w:t xml:space="preserve"> </w:t>
      </w:r>
      <w:r>
        <w:t xml:space="preserve">This</w:t>
      </w:r>
      <w:r>
        <w:t xml:space="preserve"> </w:t>
      </w:r>
      <w:r>
        <w:t xml:space="preserve">architecture</w:t>
      </w:r>
      <w:r>
        <w:t xml:space="preserve"> </w:t>
      </w:r>
      <w:r>
        <w:t xml:space="preserve">functions</w:t>
      </w:r>
      <w:r>
        <w:t xml:space="preserve"> </w:t>
      </w:r>
      <w:r>
        <w:t xml:space="preserve">as</w:t>
      </w:r>
      <w:r>
        <w:t xml:space="preserve"> </w:t>
      </w:r>
      <w:r>
        <w:t xml:space="preserve">a</w:t>
      </w:r>
      <w:r>
        <w:t xml:space="preserve"> </w:t>
      </w:r>
      <w:r>
        <w:t xml:space="preserve">socio-technical</w:t>
      </w:r>
      <w:r>
        <w:t xml:space="preserve"> </w:t>
      </w:r>
      <w:r>
        <w:t xml:space="preserve">artifact</w:t>
      </w:r>
      <w:r>
        <w:t xml:space="preserve"> </w:t>
      </w:r>
      <w:r>
        <w:t xml:space="preserve">that</w:t>
      </w:r>
      <w:r>
        <w:t xml:space="preserve"> </w:t>
      </w:r>
      <w:r>
        <w:t xml:space="preserve">converts</w:t>
      </w:r>
      <w:r>
        <w:t xml:space="preserve"> </w:t>
      </w:r>
      <w:r>
        <w:t xml:space="preserve">tacit</w:t>
      </w:r>
      <w:r>
        <w:t xml:space="preserve"> </w:t>
      </w:r>
      <w:r>
        <w:t xml:space="preserve">domain</w:t>
      </w:r>
      <w:r>
        <w:t xml:space="preserve"> </w:t>
      </w:r>
      <w:r>
        <w:t xml:space="preserve">expertise</w:t>
      </w:r>
      <w:r>
        <w:t xml:space="preserve"> </w:t>
      </w:r>
      <w:r>
        <w:t xml:space="preserve">into</w:t>
      </w:r>
      <w:r>
        <w:t xml:space="preserve"> </w:t>
      </w:r>
      <w:r>
        <w:t xml:space="preserve">explicit,</w:t>
      </w:r>
      <w:r>
        <w:t xml:space="preserve"> </w:t>
      </w:r>
      <w:r>
        <w:t xml:space="preserve">executable</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(Natural</w:t>
      </w:r>
      <w:r>
        <w:t xml:space="preserve"> </w:t>
      </w:r>
      <w:r>
        <w:t xml:space="preserve">Language</w:t>
      </w:r>
      <w:r>
        <w:t xml:space="preserve"> </w:t>
      </w:r>
      <w:r>
        <w:t xml:space="preserve">+</w:t>
      </w:r>
      <w:r>
        <w:t xml:space="preserve"> </w:t>
      </w:r>
      <w:r>
        <w:t xml:space="preserve">SQL</w:t>
      </w:r>
      <w:r>
        <w:t xml:space="preserve"> </w:t>
      </w:r>
      <w:r>
        <w:t xml:space="preserve">+</w:t>
      </w:r>
      <w:r>
        <w:t xml:space="preserve"> </w:t>
      </w:r>
      <w:r>
        <w:t xml:space="preserve">Rationale).</w:t>
      </w:r>
      <w:r>
        <w:t xml:space="preserve"> </w:t>
      </w:r>
      <w:r>
        <w:t xml:space="preserve">By</w:t>
      </w:r>
      <w:r>
        <w:t xml:space="preserve"> </w:t>
      </w:r>
      <w:r>
        <w:t xml:space="preserve">shifting</w:t>
      </w:r>
      <w:r>
        <w:t xml:space="preserve"> </w:t>
      </w:r>
      <w:r>
        <w:t xml:space="preserve">the</w:t>
      </w:r>
      <w:r>
        <w:t xml:space="preserve"> </w:t>
      </w:r>
      <w:r>
        <w:t xml:space="preserve">locus</w:t>
      </w:r>
      <w:r>
        <w:t xml:space="preserve"> </w:t>
      </w:r>
      <w:r>
        <w:t xml:space="preserve">of</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the</w:t>
      </w:r>
      <w:r>
        <w:t xml:space="preserve"> </w:t>
      </w:r>
      <w:r>
        <w:t xml:space="preserve">framework</w:t>
      </w:r>
      <w:r>
        <w:t xml:space="preserve"> </w:t>
      </w:r>
      <w:r>
        <w:t xml:space="preserve">enables</w:t>
      </w:r>
      <w:r>
        <w:t xml:space="preserve"> </w:t>
      </w:r>
      <w:r>
        <w:t xml:space="preserve">an</w:t>
      </w:r>
      <w:r>
        <w:t xml:space="preserve"> </w:t>
      </w:r>
      <w:r>
        <w:t xml:space="preserve">“</w:t>
      </w:r>
      <w:r>
        <w:t xml:space="preserve">Analytics</w:t>
      </w:r>
      <w:r>
        <w:t xml:space="preserve"> </w:t>
      </w:r>
      <w:r>
        <w:t xml:space="preserve">Resilience</w:t>
      </w:r>
      <w:r>
        <w:t xml:space="preserve"> </w:t>
      </w:r>
      <w:r>
        <w:t xml:space="preserve">Index</w:t>
      </w:r>
      <w:r>
        <w:t xml:space="preserve">”</w:t>
      </w:r>
      <w:r>
        <w:t xml:space="preserve"> </w:t>
      </w:r>
      <w:r>
        <w:t xml:space="preserve">(ARI)</w:t>
      </w:r>
      <w:r>
        <w:t xml:space="preserve"> </w:t>
      </w:r>
      <w:r>
        <w:t xml:space="preserve">that</w:t>
      </w:r>
      <w:r>
        <w:t xml:space="preserve"> </w:t>
      </w:r>
      <w:r>
        <w:t xml:space="preserve">measures</w:t>
      </w:r>
      <w:r>
        <w:t xml:space="preserve"> </w:t>
      </w:r>
      <w:r>
        <w:t xml:space="preserve">an</w:t>
      </w:r>
      <w:r>
        <w:t xml:space="preserve"> </w:t>
      </w:r>
      <w:r>
        <w:t xml:space="preserve">organization’s</w:t>
      </w:r>
      <w:r>
        <w:t xml:space="preserve"> </w:t>
      </w:r>
      <w:r>
        <w:t xml:space="preserve">ability</w:t>
      </w:r>
      <w:r>
        <w:t xml:space="preserve"> </w:t>
      </w:r>
      <w:r>
        <w:t xml:space="preserve">to</w:t>
      </w:r>
      <w:r>
        <w:t xml:space="preserve"> </w:t>
      </w:r>
      <w:r>
        <w:t xml:space="preserve">sustain</w:t>
      </w:r>
      <w:r>
        <w:t xml:space="preserve"> </w:t>
      </w:r>
      <w:r>
        <w:t xml:space="preserve">insights</w:t>
      </w:r>
      <w:r>
        <w:t xml:space="preserve"> </w:t>
      </w:r>
      <w:r>
        <w:t xml:space="preserve">despite</w:t>
      </w:r>
      <w:r>
        <w:t xml:space="preserve"> </w:t>
      </w:r>
      <w:r>
        <w:t xml:space="preserve">staff</w:t>
      </w:r>
      <w:r>
        <w:t xml:space="preserve"> </w:t>
      </w:r>
      <w:r>
        <w:t xml:space="preserve">churn.</w:t>
      </w:r>
    </w:p>
    <w:p>
      <w:pPr>
        <w:pStyle w:val="Abstract"/>
      </w:pPr>
      <w:r>
        <w:rPr>
          <w:b/>
          <w:bCs/>
        </w:rPr>
        <w:t xml:space="preserve">Conclusions:</w:t>
      </w:r>
      <w:r>
        <w:t xml:space="preserve"> </w:t>
      </w:r>
      <w:r>
        <w:t xml:space="preserve">The</w:t>
      </w:r>
      <w:r>
        <w:t xml:space="preserve"> </w:t>
      </w:r>
      <w:r>
        <w:t xml:space="preserve">“</w:t>
      </w:r>
      <w:r>
        <w:t xml:space="preserve">Validator</w:t>
      </w:r>
      <w:r>
        <w:t xml:space="preserve"> </w:t>
      </w:r>
      <w:r>
        <w:t xml:space="preserve">Paradox</w:t>
      </w:r>
      <w:r>
        <w:t xml:space="preserve">”</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leave?—is</w:t>
      </w:r>
      <w:r>
        <w:t xml:space="preserve"> </w:t>
      </w:r>
      <w:r>
        <w:t xml:space="preserve">resolved</w:t>
      </w:r>
      <w:r>
        <w:t xml:space="preserve"> </w:t>
      </w:r>
      <w:r>
        <w:t xml:space="preserve">by</w:t>
      </w:r>
      <w:r>
        <w:t xml:space="preserve"> </w:t>
      </w:r>
      <w:r>
        <w:t xml:space="preserve">treating</w:t>
      </w:r>
      <w:r>
        <w:t xml:space="preserve"> </w:t>
      </w:r>
      <w:r>
        <w:t xml:space="preserve">validation</w:t>
      </w:r>
      <w:r>
        <w:t xml:space="preserve"> </w:t>
      </w:r>
      <w:r>
        <w:t xml:space="preserve">as</w:t>
      </w:r>
      <w:r>
        <w:t xml:space="preserve"> </w:t>
      </w:r>
      <w:r>
        <w:t xml:space="preserve">“</w:t>
      </w:r>
      <w:r>
        <w:t xml:space="preserve">standard</w:t>
      </w:r>
      <w:r>
        <w:t xml:space="preserve"> </w:t>
      </w:r>
      <w:r>
        <w:t xml:space="preserve">work</w:t>
      </w:r>
      <w:r>
        <w:t xml:space="preserve">”</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healthcare</w:t>
      </w:r>
      <w:r>
        <w:t xml:space="preserve"> </w:t>
      </w:r>
      <w:r>
        <w:t xml:space="preserve">systems</w:t>
      </w:r>
      <w:r>
        <w:t xml:space="preserve"> </w:t>
      </w:r>
      <w:r>
        <w:t xml:space="preserve">can</w:t>
      </w:r>
      <w:r>
        <w:t xml:space="preserve"> </w:t>
      </w:r>
      <w:r>
        <w:t xml:space="preserve">build</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the</w:t>
      </w:r>
      <w:r>
        <w:t xml:space="preserve"> </w:t>
      </w:r>
      <w:r>
        <w:t xml:space="preserve">regression</w:t>
      </w:r>
      <w:r>
        <w:t xml:space="preserve"> </w:t>
      </w:r>
      <w:r>
        <w:t xml:space="preserve">of</w:t>
      </w:r>
      <w:r>
        <w:t xml:space="preserve"> </w:t>
      </w:r>
      <w:r>
        <w:t xml:space="preserve">capabilities,</w:t>
      </w:r>
      <w:r>
        <w:t xml:space="preserve"> </w:t>
      </w:r>
      <w:r>
        <w:t xml:space="preserve">ensuring</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
    <w:p>
      <w:pPr>
        <w:pStyle w:val="Heading1"/>
      </w:pPr>
      <w:r>
        <w:rPr>
          <w:rStyle w:val="SectionNumber"/>
        </w:rPr>
        <w:t xml:space="preserve">1</w:t>
      </w:r>
      <w:r>
        <w:tab/>
      </w:r>
      <w:r>
        <w:t xml:space="preserve">Introduction</w:t>
      </w:r>
    </w:p>
    <w:bookmarkStart w:id="20" w:name="Xfec3e249c041ad48e3405310ad2782fd43bbc9d"/>
    <w:p>
      <w:pPr>
        <w:pStyle w:val="Heading2"/>
      </w:pPr>
      <w:r>
        <w:rPr>
          <w:rStyle w:val="SectionNumber"/>
        </w:rPr>
        <w:t xml:space="preserve">1.1</w:t>
      </w:r>
      <w:r>
        <w:tab/>
      </w:r>
      <w:r>
        <w:t xml:space="preserve">The Triple Threat: A Crisis of Institutional Amnesia</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b/>
          <w:bCs/>
        </w:rPr>
        <w:t xml:space="preserve">Low Analytics Maturity</w:t>
      </w:r>
      <w:r>
        <w:t xml:space="preserve">, where despite decades of investment, only 39 organizations globally have achieved HIMSS AMAM Stage 6-7</w:t>
      </w:r>
      <w:r>
        <w:t xml:space="preserve"> </w:t>
      </w:r>
      <w:r>
        <w:t xml:space="preserve">(</w:t>
      </w:r>
      <w:hyperlink w:anchor="ref-himss2024">
        <w:r>
          <w:rPr>
            <w:rStyle w:val="Hyperlink"/>
          </w:rPr>
          <w:t xml:space="preserve">1</w:t>
        </w:r>
      </w:hyperlink>
      <w:r>
        <w:t xml:space="preserve">)</w:t>
      </w:r>
      <w:r>
        <w:t xml:space="preserve">; (2) a</w:t>
      </w:r>
      <w:r>
        <w:t xml:space="preserve"> </w:t>
      </w:r>
      <w:r>
        <w:rPr>
          <w:b/>
          <w:b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b/>
          <w:b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b/>
          <w:b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bookmarkEnd w:id="20"/>
    <w:bookmarkStart w:id="21" w:name="gap-analysis-the-speed-of-forgetting"/>
    <w:p>
      <w:pPr>
        <w:pStyle w:val="Heading2"/>
      </w:pPr>
      <w:r>
        <w:rPr>
          <w:rStyle w:val="SectionNumber"/>
        </w:rPr>
        <w:t xml:space="preserve">1.2</w:t>
      </w:r>
      <w:r>
        <w:tab/>
      </w:r>
      <w:r>
        <w:t xml:space="preserve">Gap Analysis: The Speed of Forgetting</w:t>
      </w:r>
    </w:p>
    <w:p>
      <w:pPr>
        <w:pStyle w:val="FirstParagraph"/>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strategies—wikis, data dictionaries, and documentation—have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average 2.9-year tenure</w:t>
      </w:r>
      <w:r>
        <w:t xml:space="preserve"> </w:t>
      </w:r>
      <w:r>
        <w:t xml:space="preserve">(</w:t>
      </w:r>
      <w:hyperlink w:anchor="ref-ang2004">
        <w:r>
          <w:rPr>
            <w:rStyle w:val="Hyperlink"/>
          </w:rPr>
          <w:t xml:space="preserve">13</w:t>
        </w:r>
      </w:hyperlink>
      <w:r>
        <w:t xml:space="preserve">)</w:t>
      </w:r>
      <w:r>
        <w:t xml:space="preserve"> </w:t>
      </w:r>
      <w:r>
        <w:t xml:space="preserve">relearning the same institutional secrets, only to leave just as they become productive</w:t>
      </w:r>
      <w:r>
        <w:t xml:space="preserve"> </w:t>
      </w:r>
      <w:r>
        <w:t xml:space="preserve">(</w:t>
      </w:r>
      <w:hyperlink w:anchor="ref-ledikwe2013">
        <w:r>
          <w:rPr>
            <w:rStyle w:val="Hyperlink"/>
          </w:rPr>
          <w:t xml:space="preserve">14</w:t>
        </w:r>
      </w:hyperlink>
      <w:r>
        <w:t xml:space="preserve">,</w:t>
      </w:r>
      <w:hyperlink w:anchor="ref-mantas2010">
        <w:r>
          <w:rPr>
            <w:rStyle w:val="Hyperlink"/>
          </w:rPr>
          <w:t xml:space="preserve">15</w:t>
        </w:r>
      </w:hyperlink>
      <w:r>
        <w:t xml:space="preserve">)</w:t>
      </w:r>
      <w:r>
        <w:t xml:space="preserve">.</w:t>
      </w:r>
    </w:p>
    <w:bookmarkEnd w:id="21"/>
    <w:bookmarkStart w:id="22" w:name="research-question"/>
    <w:p>
      <w:pPr>
        <w:pStyle w:val="Heading2"/>
      </w:pPr>
      <w:r>
        <w:rPr>
          <w:rStyle w:val="SectionNumber"/>
        </w:rPr>
        <w:t xml:space="preserve">1.3</w:t>
      </w:r>
      <w:r>
        <w:tab/>
      </w:r>
      <w:r>
        <w:t xml:space="preserve">Research Question</w:t>
      </w:r>
    </w:p>
    <w:p>
      <w:pPr>
        <w:pStyle w:val="FirstParagraph"/>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b/>
          <w:bCs/>
        </w:rPr>
        <w:t xml:space="preserve">Human-in-the-Loop Semantic Governance (HiL-SG)</w:t>
      </w:r>
      <w:r>
        <w:t xml:space="preserve">.</w:t>
      </w:r>
    </w:p>
    <w:bookmarkEnd w:id="22"/>
    <w:bookmarkEnd w:id="23"/>
    <w:bookmarkStart w:id="24" w:name="methods"/>
    <w:p>
      <w:pPr>
        <w:pStyle w:val="Heading1"/>
      </w:pPr>
      <w:r>
        <w:rPr>
          <w:rStyle w:val="SectionNumber"/>
        </w:rPr>
        <w:t xml:space="preserve">2</w:t>
      </w:r>
      <w:r>
        <w:tab/>
      </w:r>
      <w:r>
        <w:t xml:space="preserve">Methods</w:t>
      </w:r>
    </w:p>
    <w:p>
      <w:pPr>
        <w:pStyle w:val="FirstParagraph"/>
      </w:pPr>
      <w:r>
        <w:t xml:space="preserve">We employed a Design Science Research (DSR) approach to develop the HiL-SG framework. DSR involves the creation and evaluation of innovative artifacts (constructs, models, methods, and instantiations) to solve identified organizational problems.</w:t>
      </w:r>
    </w:p>
    <w:p>
      <w:pPr>
        <w:pStyle w:val="BodyText"/>
      </w:pPr>
      <w:r>
        <w:t xml:space="preserve">Our methodology followed three steps:</w:t>
      </w:r>
      <w:r>
        <w:t xml:space="preserve"> </w:t>
      </w:r>
      <w:r>
        <w:t xml:space="preserve">1.</w:t>
      </w:r>
      <w:r>
        <w:t xml:space="preserve"> </w:t>
      </w:r>
      <w:r>
        <w:rPr>
          <w:b/>
          <w:bCs/>
        </w:rPr>
        <w:t xml:space="preserve">Problem Identification</w:t>
      </w:r>
      <w:r>
        <w:t xml:space="preserve">: We conducted a narrative review of the literature (n=139 sources) across three domains: healthcare analytics maturity, workforce turnover dynamics, and natural language processing. Grey literature was assessed using the AACODS checklist</w:t>
      </w:r>
      <w:r>
        <w:t xml:space="preserve"> </w:t>
      </w:r>
      <w:r>
        <w:t xml:space="preserve">(</w:t>
      </w:r>
      <w:hyperlink w:anchor="ref-tyndall2010">
        <w:r>
          <w:rPr>
            <w:rStyle w:val="Hyperlink"/>
          </w:rPr>
          <w:t xml:space="preserve">16</w:t>
        </w:r>
      </w:hyperlink>
      <w:r>
        <w:t xml:space="preserve">)</w:t>
      </w:r>
      <w:r>
        <w:t xml:space="preserve">.</w:t>
      </w:r>
      <w:r>
        <w:t xml:space="preserve"> </w:t>
      </w:r>
      <w:r>
        <w:t xml:space="preserve">2.</w:t>
      </w:r>
      <w:r>
        <w:t xml:space="preserve"> </w:t>
      </w:r>
      <w:r>
        <w:rPr>
          <w:b/>
          <w:bCs/>
        </w:rPr>
        <w:t xml:space="preserve">Theoretical Grounding</w:t>
      </w:r>
      <w:r>
        <w:t xml:space="preserve">: We analyzed the identified problem (</w:t>
      </w:r>
      <w:r>
        <w:t xml:space="preserve">“</w:t>
      </w:r>
      <w:r>
        <w:t xml:space="preserve">Institutional Amnesia</w:t>
      </w:r>
      <w:r>
        <w:t xml:space="preserve">”</w:t>
      </w:r>
      <w:r>
        <w:t xml:space="preserve">) through the lens of Nonaka’s SECI model of knowledge creation</w:t>
      </w:r>
      <w:r>
        <w:t xml:space="preserve"> </w:t>
      </w:r>
      <w:r>
        <w:t xml:space="preserve">(</w:t>
      </w:r>
      <w:hyperlink w:anchor="ref-farnese2019">
        <w:r>
          <w:rPr>
            <w:rStyle w:val="Hyperlink"/>
          </w:rPr>
          <w:t xml:space="preserve">17</w:t>
        </w:r>
      </w:hyperlink>
      <w:r>
        <w:t xml:space="preserve">)</w:t>
      </w:r>
      <w:r>
        <w:t xml:space="preserve">, mapping workforce turnover data to specific failure modes in knowledge transfer.</w:t>
      </w:r>
      <w:r>
        <w:t xml:space="preserve"> </w:t>
      </w:r>
      <w:r>
        <w:t xml:space="preserve">3.</w:t>
      </w:r>
      <w:r>
        <w:t xml:space="preserve"> </w:t>
      </w:r>
      <w:r>
        <w:rPr>
          <w:b/>
          <w:bCs/>
        </w:rPr>
        <w:t xml:space="preserve">Artifact Design</w:t>
      </w:r>
      <w:r>
        <w:t xml:space="preserve">: We designed the HiL-SG framework and the</w:t>
      </w:r>
      <w:r>
        <w:t xml:space="preserve"> </w:t>
      </w:r>
      <w:r>
        <w:t xml:space="preserve">“</w:t>
      </w:r>
      <w:r>
        <w:t xml:space="preserve">Validated Query Triple</w:t>
      </w:r>
      <w:r>
        <w:t xml:space="preserve">”</w:t>
      </w:r>
      <w:r>
        <w:t xml:space="preserve"> </w:t>
      </w:r>
      <w:r>
        <w:t xml:space="preserve">artifact as socio-technical solutions to the identified</w:t>
      </w:r>
      <w:r>
        <w:t xml:space="preserve"> </w:t>
      </w:r>
      <w:r>
        <w:t xml:space="preserve">“</w:t>
      </w:r>
      <w:r>
        <w:t xml:space="preserve">Socialization Failure,</w:t>
      </w:r>
      <w:r>
        <w:t xml:space="preserve">”</w:t>
      </w:r>
      <w:r>
        <w:t xml:space="preserve"> </w:t>
      </w:r>
      <w:r>
        <w:t xml:space="preserve">adhering to</w:t>
      </w:r>
      <w:r>
        <w:t xml:space="preserve"> </w:t>
      </w:r>
      <w:r>
        <w:t xml:space="preserve">“</w:t>
      </w:r>
      <w:r>
        <w:t xml:space="preserve">Human-on-the-Loop</w:t>
      </w:r>
      <w:r>
        <w:t xml:space="preserve">”</w:t>
      </w:r>
      <w:r>
        <w:t xml:space="preserve"> </w:t>
      </w:r>
      <w:r>
        <w:t xml:space="preserve">principles for AI safety</w:t>
      </w:r>
      <w:r>
        <w:t xml:space="preserve"> </w:t>
      </w:r>
      <w:r>
        <w:t xml:space="preserve">(</w:t>
      </w:r>
      <w:hyperlink w:anchor="ref-bravorocca2023">
        <w:r>
          <w:rPr>
            <w:rStyle w:val="Hyperlink"/>
          </w:rPr>
          <w:t xml:space="preserve">18</w:t>
        </w:r>
      </w:hyperlink>
      <w:r>
        <w:t xml:space="preserve">)</w:t>
      </w:r>
      <w:r>
        <w:t xml:space="preserve">.</w:t>
      </w:r>
    </w:p>
    <w:bookmarkEnd w:id="24"/>
    <w:bookmarkStart w:id="39" w:name="results"/>
    <w:p>
      <w:pPr>
        <w:pStyle w:val="Heading1"/>
      </w:pPr>
      <w:r>
        <w:rPr>
          <w:rStyle w:val="SectionNumber"/>
        </w:rPr>
        <w:t xml:space="preserve">3</w:t>
      </w:r>
      <w:r>
        <w:tab/>
      </w:r>
      <w:r>
        <w:t xml:space="preserve">Results</w:t>
      </w:r>
    </w:p>
    <w:bookmarkStart w:id="27" w:name="X8c12260936f021464010a467560da616bfc02c8"/>
    <w:p>
      <w:pPr>
        <w:pStyle w:val="Heading2"/>
      </w:pPr>
      <w:r>
        <w:rPr>
          <w:rStyle w:val="SectionNumber"/>
        </w:rPr>
        <w:t xml:space="preserve">3.1</w:t>
      </w:r>
      <w:r>
        <w:tab/>
      </w:r>
      <w:r>
        <w:t xml:space="preserve">Theoretical Framework: SECI for the Unstable Workforce</w:t>
      </w:r>
    </w:p>
    <w:p>
      <w:pPr>
        <w:pStyle w:val="FirstParagraph"/>
      </w:pPr>
      <w:r>
        <w:t xml:space="preserve">We ground our approach in Nonaka’s SECI Model of knowledge creation (Socialization, Externalization, Combination, Internalization), reinterpreted for the crisis of the modern healthcare workforce.</w:t>
      </w:r>
    </w:p>
    <w:bookmarkStart w:id="25" w:name="the-broken-cycle-socialization-failure"/>
    <w:p>
      <w:pPr>
        <w:pStyle w:val="Heading3"/>
      </w:pPr>
      <w:r>
        <w:rPr>
          <w:rStyle w:val="SectionNumber"/>
        </w:rPr>
        <w:t xml:space="preserve">3.1.1</w:t>
      </w:r>
      <w:r>
        <w:tab/>
      </w:r>
      <w:r>
        <w:t xml:space="preserve">The Broken Cycle: Socialization Failure</w:t>
      </w:r>
    </w:p>
    <w:p>
      <w:pPr>
        <w:pStyle w:val="FirstParagraph"/>
      </w:pPr>
      <w:r>
        <w:t xml:space="preserve">In Nonaka’s model,</w:t>
      </w:r>
      <w:r>
        <w:t xml:space="preserve"> </w:t>
      </w:r>
      <w:r>
        <w:rPr>
          <w:b/>
          <w:bCs/>
        </w:rPr>
        <w:t xml:space="preserve">Socialization</w:t>
      </w:r>
      <w:r>
        <w:t xml:space="preserve"> </w:t>
      </w:r>
      <w:r>
        <w:t xml:space="preserve">is the transfer of tacit knowledge (experience, context) between individuals through shared experience</w:t>
      </w:r>
      <w:r>
        <w:t xml:space="preserve"> </w:t>
      </w:r>
      <w:r>
        <w:t xml:space="preserve">(</w:t>
      </w:r>
      <w:hyperlink w:anchor="ref-farnese2019">
        <w:r>
          <w:rPr>
            <w:rStyle w:val="Hyperlink"/>
          </w:rPr>
          <w:t xml:space="preserve">17</w:t>
        </w:r>
      </w:hyperlink>
      <w:r>
        <w:t xml:space="preserve">)</w:t>
      </w:r>
      <w:r>
        <w:t xml:space="preserve">. In the current healthcare environment, this mechanism has collapsed. High turnover rates fracture the social networks required for mentorship</w:t>
      </w:r>
      <w:r>
        <w:t xml:space="preserve"> </w:t>
      </w:r>
      <w:r>
        <w:t xml:space="preserve">(</w:t>
      </w:r>
      <w:hyperlink w:anchor="ref-wu2024">
        <w:r>
          <w:rPr>
            <w:rStyle w:val="Hyperlink"/>
          </w:rPr>
          <w:t xml:space="preserve">19</w:t>
        </w:r>
      </w:hyperlink>
      <w:r>
        <w:t xml:space="preserve">,</w:t>
      </w:r>
      <w:hyperlink w:anchor="ref-ren2024">
        <w:r>
          <w:rPr>
            <w:rStyle w:val="Hyperlink"/>
          </w:rPr>
          <w:t xml:space="preserve">20</w:t>
        </w:r>
      </w:hyperlink>
      <w:r>
        <w:t xml:space="preserve">)</w:t>
      </w:r>
      <w:r>
        <w:t xml:space="preserve">. When a senior analyst leaves every 3 years, the</w:t>
      </w:r>
      <w:r>
        <w:t xml:space="preserve"> </w:t>
      </w:r>
      <w:r>
        <w:t xml:space="preserve">“</w:t>
      </w:r>
      <w:r>
        <w:t xml:space="preserve">apprenticeship</w:t>
      </w:r>
      <w:r>
        <w:t xml:space="preserve">”</w:t>
      </w:r>
      <w:r>
        <w:t xml:space="preserve"> </w:t>
      </w:r>
      <w:r>
        <w:t xml:space="preserve">model of informatics breaks down. Socialization is no longer a viable strategy for resilience</w:t>
      </w:r>
      <w:r>
        <w:t xml:space="preserve"> </w:t>
      </w:r>
      <w:r>
        <w:t xml:space="preserve">(</w:t>
      </w:r>
      <w:hyperlink w:anchor="ref-massingham2018">
        <w:r>
          <w:rPr>
            <w:rStyle w:val="Hyperlink"/>
          </w:rPr>
          <w:t xml:space="preserve">21</w:t>
        </w:r>
      </w:hyperlink>
      <w:r>
        <w:t xml:space="preserve">)</w:t>
      </w:r>
      <w:r>
        <w:t xml:space="preserve">.</w:t>
      </w:r>
    </w:p>
    <w:bookmarkEnd w:id="25"/>
    <w:bookmarkStart w:id="26" w:name="Xf458f350ef8764fcb7ec571ecbc945d28921a42"/>
    <w:p>
      <w:pPr>
        <w:pStyle w:val="Heading3"/>
      </w:pPr>
      <w:r>
        <w:rPr>
          <w:rStyle w:val="SectionNumber"/>
        </w:rPr>
        <w:t xml:space="preserve">3.1.2</w:t>
      </w:r>
      <w:r>
        <w:tab/>
      </w:r>
      <w:r>
        <w:t xml:space="preserve">The Solution: Externalization via Socio-Technical Artifacts</w:t>
      </w:r>
    </w:p>
    <w:p>
      <w:pPr>
        <w:pStyle w:val="FirstParagraph"/>
      </w:pPr>
      <w:r>
        <w:t xml:space="preserve">To survive, organizations must shift reliance from Socialization to</w:t>
      </w:r>
      <w:r>
        <w:t xml:space="preserve"> </w:t>
      </w:r>
      <w:r>
        <w:rPr>
          <w:b/>
          <w:bCs/>
        </w:rPr>
        <w:t xml:space="preserve">Externalization</w:t>
      </w:r>
      <w:r>
        <w:t xml:space="preserve">: converting tacit knowledge into explicit, durable artifacts</w:t>
      </w:r>
      <w:r>
        <w:t xml:space="preserve"> </w:t>
      </w:r>
      <w:r>
        <w:t xml:space="preserve">(</w:t>
      </w:r>
      <w:hyperlink w:anchor="ref-zhang2025">
        <w:r>
          <w:rPr>
            <w:rStyle w:val="Hyperlink"/>
          </w:rPr>
          <w:t xml:space="preserve">22</w:t>
        </w:r>
      </w:hyperlink>
      <w:r>
        <w:t xml:space="preserve">)</w:t>
      </w:r>
      <w:r>
        <w:t xml:space="preserve">. However, traditional externalization (writing reports) is too slow and low-fidelity</w:t>
      </w:r>
      <w:r>
        <w:t xml:space="preserve"> </w:t>
      </w:r>
      <w:r>
        <w:t xml:space="preserve">(</w:t>
      </w:r>
      <w:hyperlink w:anchor="ref-goffin2011">
        <w:r>
          <w:rPr>
            <w:rStyle w:val="Hyperlink"/>
          </w:rPr>
          <w:t xml:space="preserve">23</w:t>
        </w:r>
      </w:hyperlink>
      <w:r>
        <w:t xml:space="preserve">,</w:t>
      </w:r>
      <w:hyperlink w:anchor="ref-foos2006">
        <w:r>
          <w:rPr>
            <w:rStyle w:val="Hyperlink"/>
          </w:rPr>
          <w:t xml:space="preserve">24</w:t>
        </w:r>
      </w:hyperlink>
      <w:r>
        <w:t xml:space="preserve">)</w:t>
      </w:r>
      <w:r>
        <w:t xml:space="preserve">.</w:t>
      </w:r>
    </w:p>
    <w:p>
      <w:pPr>
        <w:pStyle w:val="BodyText"/>
      </w:pPr>
      <w:r>
        <w:t xml:space="preserve">We propose a new socio-technical artifact: the</w:t>
      </w:r>
      <w:r>
        <w:t xml:space="preserve"> </w:t>
      </w:r>
      <w:r>
        <w:rPr>
          <w:b/>
          <w:bCs/>
        </w:rPr>
        <w:t xml:space="preserve">Validated Query Triple</w:t>
      </w:r>
      <w:r>
        <w:t xml:space="preserve">.</w:t>
      </w:r>
      <w:r>
        <w:t xml:space="preserve"> </w:t>
      </w:r>
      <w:r>
        <w:t xml:space="preserve">This artifact consists of:</w:t>
      </w:r>
      <w:r>
        <w:t xml:space="preserve"> </w:t>
      </w:r>
      <w:r>
        <w:t xml:space="preserve">1.</w:t>
      </w:r>
      <w:r>
        <w:t xml:space="preserve"> </w:t>
      </w:r>
      <w:r>
        <w:rPr>
          <w:b/>
          <w:b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b/>
          <w:bCs/>
        </w:rPr>
        <w:t xml:space="preserve">Executable SQL</w:t>
      </w:r>
      <w:r>
        <w:t xml:space="preserve">: The technical implementation.</w:t>
      </w:r>
      <w:r>
        <w:t xml:space="preserve"> </w:t>
      </w:r>
      <w:r>
        <w:t xml:space="preserve">3.</w:t>
      </w:r>
      <w:r>
        <w:t xml:space="preserve"> </w:t>
      </w:r>
      <w:r>
        <w:rPr>
          <w:b/>
          <w:b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25</w:t>
        </w:r>
      </w:hyperlink>
      <w:r>
        <w:t xml:space="preserve">)</w:t>
      </w:r>
      <w:r>
        <w:t xml:space="preserve">.</w:t>
      </w:r>
    </w:p>
    <w:bookmarkEnd w:id="26"/>
    <w:bookmarkEnd w:id="27"/>
    <w:bookmarkStart w:id="33" w:name="X2578c12eceeb8a90cc0ab211145bf64a93b2846"/>
    <w:p>
      <w:pPr>
        <w:pStyle w:val="Heading2"/>
      </w:pPr>
      <w:r>
        <w:rPr>
          <w:rStyle w:val="SectionNumber"/>
        </w:rPr>
        <w:t xml:space="preserve">3.2</w:t>
      </w:r>
      <w:r>
        <w:tab/>
      </w:r>
      <w:r>
        <w:t xml:space="preserve">Human-in-the-Loop Semantic Governance (HiL-SG)</w:t>
      </w:r>
    </w:p>
    <w:p>
      <w:pPr>
        <w:pStyle w:val="FirstParagraph"/>
      </w:pPr>
      <w:r>
        <w:t xml:space="preserve">We rename the traditional</w:t>
      </w:r>
      <w:r>
        <w:t xml:space="preserve"> </w:t>
      </w:r>
      <w:r>
        <w:t xml:space="preserve">“</w:t>
      </w:r>
      <w:r>
        <w:t xml:space="preserve">Validated Query Cycle</w:t>
      </w:r>
      <w:r>
        <w:t xml:space="preserve">”</w:t>
      </w:r>
      <w:r>
        <w:t xml:space="preserve"> </w:t>
      </w:r>
      <w:r>
        <w:t xml:space="preserve">to</w:t>
      </w:r>
      <w:r>
        <w:t xml:space="preserve"> </w:t>
      </w:r>
      <w:r>
        <w:rPr>
          <w:b/>
          <w:bCs/>
        </w:rPr>
        <w:t xml:space="preserve">Human-in-the-Loop Semantic Governance (HiL-SG)</w:t>
      </w:r>
      <w:r>
        <w:t xml:space="preserve"> </w:t>
      </w:r>
      <w:r>
        <w:t xml:space="preserve">to reflect its role as a governance mechanism rather than just a productivity tool.</w:t>
      </w:r>
    </w:p>
    <w:bookmarkStart w:id="31" w:name="the-hil-sg-architecture"/>
    <w:p>
      <w:pPr>
        <w:pStyle w:val="Heading3"/>
      </w:pPr>
      <w:r>
        <w:rPr>
          <w:rStyle w:val="SectionNumber"/>
        </w:rPr>
        <w:t xml:space="preserve">3.2.1</w:t>
      </w:r>
      <w:r>
        <w:tab/>
      </w:r>
      <w:r>
        <w:t xml:space="preserve">The HiL-SG Architecture</w:t>
      </w:r>
    </w:p>
    <w:p>
      <w:pPr>
        <w:pStyle w:val="FirstParagraph"/>
      </w:pPr>
      <w:r>
        <w:t xml:space="preserve">The HiL-SG architecture (Figure 1) functions as a</w:t>
      </w:r>
      <w:r>
        <w:t xml:space="preserve"> </w:t>
      </w:r>
      <w:r>
        <w:rPr>
          <w:b/>
          <w:b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5067300" cy="4936394"/>
            <wp:effectExtent b="0" l="0" r="0" t="0"/>
            <wp:docPr descr="Healthcare Analytics Architecture as a Socio-Technical System. The architecture flows from Clinical Users through a Conversational AI interface to a healthcare NLP engine for context-aware SQL generation. Bi-directional arrows represent the iterative ‘Query &amp; Refine’ loop. The critical validation step (dotted line) shows domain experts confirming SQL before results flow to ‘Organizational Memory’ (dashed line), where they persist independent of staff tenure."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as a Socio-Technical System. The architecture flows from Clinical Users through a Conversational AI interface to a healthcare NLP engine for context-aware SQL generation. Bi-directional arrows represent the iterative</w:t>
      </w:r>
      <w:r>
        <w:t xml:space="preserve"> </w:t>
      </w:r>
      <w:r>
        <w:t xml:space="preserve">‘</w:t>
      </w:r>
      <w:r>
        <w:t xml:space="preserve">Query &amp; Refine</w:t>
      </w:r>
      <w:r>
        <w:t xml:space="preserve">’</w:t>
      </w:r>
      <w:r>
        <w:t xml:space="preserve"> </w:t>
      </w:r>
      <w:r>
        <w:t xml:space="preserve">loop. The critical validation step (dotted line) shows domain experts confirming SQL before results flow to</w:t>
      </w:r>
      <w:r>
        <w:t xml:space="preserve"> </w:t>
      </w:r>
      <w:r>
        <w:t xml:space="preserve">‘</w:t>
      </w:r>
      <w:r>
        <w:t xml:space="preserve">Organizational Memory</w:t>
      </w:r>
      <w:r>
        <w:t xml:space="preserve">’</w:t>
      </w:r>
      <w:r>
        <w:t xml:space="preserve"> </w:t>
      </w:r>
      <w:r>
        <w:t xml:space="preserve">(dashed line), where they persist independent of staff tenure.</w:t>
      </w:r>
    </w:p>
    <w:bookmarkEnd w:id="31"/>
    <w:bookmarkStart w:id="32" w:name="the-process-of-externalization"/>
    <w:p>
      <w:pPr>
        <w:pStyle w:val="Heading3"/>
      </w:pPr>
      <w:r>
        <w:rPr>
          <w:rStyle w:val="SectionNumber"/>
        </w:rPr>
        <w:t xml:space="preserve">3.2.2</w:t>
      </w:r>
      <w:r>
        <w:tab/>
      </w:r>
      <w:r>
        <w:t xml:space="preserve">The Process of Externalization</w:t>
      </w:r>
    </w:p>
    <w:p>
      <w:pPr>
        <w:pStyle w:val="Compact"/>
        <w:numPr>
          <w:ilvl w:val="0"/>
          <w:numId w:val="1001"/>
        </w:numPr>
      </w:pPr>
      <w:r>
        <w:rPr>
          <w:b/>
          <w:bCs/>
        </w:rPr>
        <w:t xml:space="preserve">Query Generation</w:t>
      </w:r>
      <w:r>
        <w:t xml:space="preserve">: A user asks a question. The AI proposes SQL based on schema knowledge</w:t>
      </w:r>
      <w:r>
        <w:t xml:space="preserve"> </w:t>
      </w:r>
      <w:r>
        <w:t xml:space="preserve">(</w:t>
      </w:r>
      <w:hyperlink w:anchor="ref-wang2020">
        <w:r>
          <w:rPr>
            <w:rStyle w:val="Hyperlink"/>
          </w:rPr>
          <w:t xml:space="preserve">10</w:t>
        </w:r>
      </w:hyperlink>
      <w:r>
        <w:t xml:space="preserve">,</w:t>
      </w:r>
      <w:hyperlink w:anchor="ref-lee2023">
        <w:r>
          <w:rPr>
            <w:rStyle w:val="Hyperlink"/>
          </w:rPr>
          <w:t xml:space="preserve">26</w:t>
        </w:r>
      </w:hyperlink>
      <w:r>
        <w:t xml:space="preserve">)</w:t>
      </w:r>
      <w:r>
        <w:t xml:space="preserve">.</w:t>
      </w:r>
    </w:p>
    <w:p>
      <w:pPr>
        <w:pStyle w:val="Compact"/>
        <w:numPr>
          <w:ilvl w:val="0"/>
          <w:numId w:val="1001"/>
        </w:numPr>
      </w:pPr>
      <w:r>
        <w:rPr>
          <w:b/>
          <w:bCs/>
        </w:rPr>
        <w:t xml:space="preserve">Semantic Translation</w:t>
      </w:r>
      <w:r>
        <w:t xml:space="preserve">: The AI translates the SQL back into a natural language explanation</w:t>
      </w:r>
      <w:r>
        <w:t xml:space="preserve"> </w:t>
      </w:r>
      <w:r>
        <w:t xml:space="preserve">(</w:t>
      </w:r>
      <w:hyperlink w:anchor="ref-ziletti2024">
        <w:r>
          <w:rPr>
            <w:rStyle w:val="Hyperlink"/>
          </w:rPr>
          <w:t xml:space="preserve">27</w:t>
        </w:r>
      </w:hyperlink>
      <w:r>
        <w:t xml:space="preserve">)</w:t>
      </w:r>
      <w:r>
        <w:t xml:space="preserve">.</w:t>
      </w:r>
    </w:p>
    <w:p>
      <w:pPr>
        <w:pStyle w:val="Compact"/>
        <w:numPr>
          <w:ilvl w:val="0"/>
          <w:numId w:val="1001"/>
        </w:numPr>
      </w:pPr>
      <w:r>
        <w:rPr>
          <w:b/>
          <w:b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w:t>
      </w:r>
      <w:r>
        <w:t xml:space="preserve">Human-on-the-Loop</w:t>
      </w:r>
      <w:r>
        <w:t xml:space="preserve">”</w:t>
      </w:r>
      <w:r>
        <w:t xml:space="preserve"> </w:t>
      </w:r>
      <w:r>
        <w:t xml:space="preserve">(HotL) step transforms validation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28</w:t>
        </w:r>
      </w:hyperlink>
      <w:r>
        <w:t xml:space="preserve">)</w:t>
      </w:r>
      <w:r>
        <w:t xml:space="preserve">.</w:t>
      </w:r>
    </w:p>
    <w:p>
      <w:pPr>
        <w:pStyle w:val="Compact"/>
        <w:numPr>
          <w:ilvl w:val="0"/>
          <w:numId w:val="1001"/>
        </w:numPr>
      </w:pPr>
      <w:r>
        <w:rPr>
          <w:b/>
          <w:bCs/>
        </w:rPr>
        <w:t xml:space="preserve">Artifact Storage</w:t>
      </w:r>
      <w:r>
        <w:t xml:space="preserve">: The validated triple is hashed and stored in organizational memory</w:t>
      </w:r>
      <w:r>
        <w:t xml:space="preserve"> </w:t>
      </w:r>
      <w:r>
        <w:t xml:space="preserve">(</w:t>
      </w:r>
      <w:hyperlink w:anchor="ref-benbya2004">
        <w:r>
          <w:rPr>
            <w:rStyle w:val="Hyperlink"/>
          </w:rPr>
          <w:t xml:space="preserve">29</w:t>
        </w:r>
      </w:hyperlink>
      <w:r>
        <w:t xml:space="preserve">)</w:t>
      </w:r>
      <w:r>
        <w:t xml:space="preserve">.</w:t>
      </w:r>
    </w:p>
    <w:p>
      <w:pPr>
        <w:pStyle w:val="Compact"/>
        <w:numPr>
          <w:ilvl w:val="0"/>
          <w:numId w:val="1001"/>
        </w:numPr>
      </w:pPr>
      <w:r>
        <w:rPr>
          <w:b/>
          <w:b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r>
        <w:t xml:space="preserve"> </w:t>
      </w:r>
      <w:r>
        <w:t xml:space="preserve">(</w:t>
      </w:r>
      <w:hyperlink w:anchor="ref-whittaker2008">
        <w:r>
          <w:rPr>
            <w:rStyle w:val="Hyperlink"/>
          </w:rPr>
          <w:t xml:space="preserve">30</w:t>
        </w:r>
      </w:hyperlink>
      <w:r>
        <w:t xml:space="preserve">)</w:t>
      </w:r>
      <w:r>
        <w:t xml:space="preserve">.</w:t>
      </w:r>
    </w:p>
    <w:bookmarkEnd w:id="32"/>
    <w:bookmarkEnd w:id="33"/>
    <w:bookmarkStart w:id="37" w:name="empirical-grounding-the-evidence-base"/>
    <w:p>
      <w:pPr>
        <w:pStyle w:val="Heading2"/>
      </w:pPr>
      <w:r>
        <w:rPr>
          <w:rStyle w:val="SectionNumber"/>
        </w:rPr>
        <w:t xml:space="preserve">3.3</w:t>
      </w:r>
      <w:r>
        <w:tab/>
      </w:r>
      <w:r>
        <w:t xml:space="preserve">Empirical Grounding: The Evidence Base</w:t>
      </w:r>
    </w:p>
    <w:p>
      <w:pPr>
        <w:pStyle w:val="FirstParagraph"/>
      </w:pPr>
      <w:r>
        <w:t xml:space="preserve">The HiL-SG framework is supported by three pillars of empirical evidence synthesized from over 130 sources.</w:t>
      </w:r>
    </w:p>
    <w:bookmarkStart w:id="34" w:name="pillar-1-analytics-maturity-evidence"/>
    <w:p>
      <w:pPr>
        <w:pStyle w:val="Heading3"/>
      </w:pPr>
      <w:r>
        <w:rPr>
          <w:rStyle w:val="SectionNumber"/>
        </w:rPr>
        <w:t xml:space="preserve">3.3.1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31</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32</w:t>
        </w:r>
      </w:hyperlink>
      <w:r>
        <w:t xml:space="preserve">)</w:t>
      </w:r>
      <w:r>
        <w:t xml:space="preserve">. However, maturity is not merely an IT metric; it is a clinical safety predictor. EMRAM levels 6-7 correlate with 3.25 times higher odds of better Leapfrog Safety Grades</w:t>
      </w:r>
      <w:r>
        <w:t xml:space="preserve"> </w:t>
      </w:r>
      <w:r>
        <w:t xml:space="preserve">(</w:t>
      </w:r>
      <w:hyperlink w:anchor="ref-snowdon2024">
        <w:r>
          <w:rPr>
            <w:rStyle w:val="Hyperlink"/>
          </w:rPr>
          <w:t xml:space="preserve">33</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issues—such as the 39-71% missing data rates in cancer databases</w:t>
      </w:r>
      <w:r>
        <w:t xml:space="preserve"> </w:t>
      </w:r>
      <w:r>
        <w:t xml:space="preserve">(</w:t>
      </w:r>
      <w:hyperlink w:anchor="ref-yang2021">
        <w:r>
          <w:rPr>
            <w:rStyle w:val="Hyperlink"/>
          </w:rPr>
          <w:t xml:space="preserve">34</w:t>
        </w:r>
      </w:hyperlink>
      <w:r>
        <w:t xml:space="preserve">)</w:t>
      </w:r>
      <w:r>
        <w:t xml:space="preserve">—remain uncorrected because the experts who understand the context are leaving.</w:t>
      </w:r>
    </w:p>
    <w:bookmarkEnd w:id="34"/>
    <w:bookmarkStart w:id="35" w:name="pillar-2-workforce-agility-evidence"/>
    <w:p>
      <w:pPr>
        <w:pStyle w:val="Heading3"/>
      </w:pPr>
      <w:r>
        <w:rPr>
          <w:rStyle w:val="SectionNumber"/>
        </w:rPr>
        <w:t xml:space="preserve">3.3.2</w:t>
      </w:r>
      <w:r>
        <w:tab/>
      </w:r>
      <w:r>
        <w:t xml:space="preserve">Pillar 2: Workforce Agility Evidence</w:t>
      </w:r>
    </w:p>
    <w:p>
      <w:pPr>
        <w:pStyle w:val="FirstParagraph"/>
      </w:pPr>
      <w:r>
        <w:t xml:space="preserve">The cost of turnover in informatics is higher than standard IT. Knowledge loss can cost up to three times annual salary</w:t>
      </w:r>
      <w:r>
        <w:t xml:space="preserve"> </w:t>
      </w:r>
      <w:r>
        <w:t xml:space="preserve">(</w:t>
      </w:r>
      <w:hyperlink w:anchor="ref-massingham2018">
        <w:r>
          <w:rPr>
            <w:rStyle w:val="Hyperlink"/>
          </w:rPr>
          <w:t xml:space="preserve">21</w:t>
        </w:r>
      </w:hyperlink>
      <w:r>
        <w:t xml:space="preserve">,</w:t>
      </w:r>
      <w:hyperlink w:anchor="ref-oracle2024">
        <w:r>
          <w:rPr>
            <w:rStyle w:val="Hyperlink"/>
          </w:rPr>
          <w:t xml:space="preserve">35</w:t>
        </w:r>
      </w:hyperlink>
      <w:r>
        <w:t xml:space="preserve">)</w:t>
      </w:r>
      <w:r>
        <w:t xml:space="preserve">. With 30% of new employees leaving within their first year</w:t>
      </w:r>
      <w:r>
        <w:t xml:space="preserve"> </w:t>
      </w:r>
      <w:r>
        <w:t xml:space="preserve">(</w:t>
      </w:r>
      <w:hyperlink w:anchor="ref-nsi2025">
        <w:r>
          <w:rPr>
            <w:rStyle w:val="Hyperlink"/>
          </w:rPr>
          <w:t xml:space="preserve">36</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14</w:t>
        </w:r>
      </w:hyperlink>
      <w:r>
        <w:t xml:space="preserve">,</w:t>
      </w:r>
      <w:hyperlink w:anchor="ref-konrad2022">
        <w:r>
          <w:rPr>
            <w:rStyle w:val="Hyperlink"/>
          </w:rPr>
          <w:t xml:space="preserve">37</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bookmarkEnd w:id="35"/>
    <w:bookmarkStart w:id="36" w:name="pillar-3-technical-enablement-evidence"/>
    <w:p>
      <w:pPr>
        <w:pStyle w:val="Heading3"/>
      </w:pPr>
      <w:r>
        <w:rPr>
          <w:rStyle w:val="SectionNumber"/>
        </w:rPr>
        <w:t xml:space="preserve">3.3.3</w:t>
      </w:r>
      <w:r>
        <w:tab/>
      </w:r>
      <w:r>
        <w:t xml:space="preserve">Pillar 3: Technical Enablement Evidence</w:t>
      </w:r>
    </w:p>
    <w:p>
      <w:pPr>
        <w:pStyle w:val="FirstParagraph"/>
      </w:pPr>
      <w:r>
        <w:t xml:space="preserve">NL2SQL has reached a productivity tipping point. Natural language interfaces report a 63% increase in self-service adoption and 37% reduction in retrieval time</w:t>
      </w:r>
      <w:r>
        <w:t xml:space="preserve"> </w:t>
      </w:r>
      <w:r>
        <w:t xml:space="preserve">(</w:t>
      </w:r>
      <w:hyperlink w:anchor="ref-dadi2025">
        <w:r>
          <w:rPr>
            <w:rStyle w:val="Hyperlink"/>
          </w:rPr>
          <w:t xml:space="preserve">38</w:t>
        </w:r>
      </w:hyperlink>
      <w:r>
        <w:t xml:space="preserve">)</w:t>
      </w:r>
      <w:r>
        <w:t xml:space="preserve">. Precision medicine platforms achieve 92.5% accuracy in parsing complex queries</w:t>
      </w:r>
      <w:r>
        <w:t xml:space="preserve"> </w:t>
      </w:r>
      <w:r>
        <w:t xml:space="preserve">(</w:t>
      </w:r>
      <w:hyperlink w:anchor="ref-yang2025">
        <w:r>
          <w:rPr>
            <w:rStyle w:val="Hyperlink"/>
          </w:rPr>
          <w:t xml:space="preserve">39</w:t>
        </w:r>
      </w:hyperlink>
      <w:r>
        <w:t xml:space="preserve">)</w:t>
      </w:r>
      <w:r>
        <w:t xml:space="preserve">. While current models are</w:t>
      </w:r>
      <w:r>
        <w:t xml:space="preserve">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27</w:t>
        </w:r>
      </w:hyperlink>
      <w:r>
        <w:t xml:space="preserve">)</w:t>
      </w:r>
      <w:r>
        <w:t xml:space="preserve">, domain-adapted systems like MedT5SQL reach 80% accuracy on benchmarks</w:t>
      </w:r>
      <w:r>
        <w:t xml:space="preserve"> </w:t>
      </w:r>
      <w:r>
        <w:t xml:space="preserve">(</w:t>
      </w:r>
      <w:hyperlink w:anchor="ref-marshan2024">
        <w:r>
          <w:rPr>
            <w:rStyle w:val="Hyperlink"/>
          </w:rPr>
          <w:t xml:space="preserve">40</w:t>
        </w:r>
      </w:hyperlink>
      <w:r>
        <w:t xml:space="preserve">)</w:t>
      </w:r>
      <w:r>
        <w:t xml:space="preserve">. These tools function as the</w:t>
      </w:r>
      <w:r>
        <w:t xml:space="preserve"> </w:t>
      </w:r>
      <w:r>
        <w:t xml:space="preserve">“</w:t>
      </w:r>
      <w:r>
        <w:t xml:space="preserve">externalization engine</w:t>
      </w:r>
      <w:r>
        <w:t xml:space="preserve">”</w:t>
      </w:r>
      <w:r>
        <w:t xml:space="preserve"> </w:t>
      </w:r>
      <w:r>
        <w:t xml:space="preserve">required for the HiL-SG framework.</w:t>
      </w:r>
    </w:p>
    <w:bookmarkEnd w:id="36"/>
    <w:bookmarkEnd w:id="37"/>
    <w:bookmarkStart w:id="38" w:name="analytics-resilience-index-ari"/>
    <w:p>
      <w:pPr>
        <w:pStyle w:val="Heading2"/>
      </w:pPr>
      <w:r>
        <w:rPr>
          <w:rStyle w:val="SectionNumber"/>
        </w:rPr>
        <w:t xml:space="preserve">3.4</w:t>
      </w:r>
      <w:r>
        <w:tab/>
      </w:r>
      <w:r>
        <w:t xml:space="preserve">Analytics Resilience Index (ARI)</w:t>
      </w:r>
    </w:p>
    <w:p>
      <w:pPr>
        <w:pStyle w:val="FirstParagraph"/>
      </w:pPr>
      <w:r>
        <w:t xml:space="preserve">To measure success, we propose the</w:t>
      </w:r>
      <w:r>
        <w:t xml:space="preserve"> </w:t>
      </w:r>
      <w:r>
        <w:rPr>
          <w:b/>
          <w:bCs/>
        </w:rPr>
        <w:t xml:space="preserve">Analytics Resilience Index (ARI)</w:t>
      </w:r>
      <w:r>
        <w:t xml:space="preserve">, replacing static checklists with dynamic resilience metrics.</w:t>
      </w:r>
    </w:p>
    <w:p>
      <w:pPr>
        <w:pStyle w:val="TableCaption"/>
      </w:pPr>
      <w:r>
        <w:t xml:space="preserve">The Analytics Resilience Index (ARI).</w:t>
      </w:r>
      <w:r>
        <w:t xml:space="preserve"> </w:t>
      </w:r>
    </w:p>
    <w:tbl>
      <w:tblPr>
        <w:tblStyle w:val="Table"/>
        <w:tblW w:type="pct" w:w="5000"/>
        <w:tblLayout w:type="fixed"/>
        <w:tblLook w:firstRow="1" w:lastRow="0" w:firstColumn="0" w:lastColumn="0" w:noHBand="0" w:noVBand="0" w:val="0020"/>
        <w:tblCaption w:val="The Analytics Resilience Index (ARI). "/>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Low Resilience (Fragile)</w:t>
            </w:r>
          </w:p>
        </w:tc>
        <w:tc>
          <w:tcPr/>
          <w:p>
            <w:pPr>
              <w:pStyle w:val="Compact"/>
              <w:jc w:val="left"/>
            </w:pPr>
            <w:r>
              <w:t xml:space="preserve">High Resilience (Antifragile)</w:t>
            </w:r>
          </w:p>
        </w:tc>
        <w:tc>
          <w:tcPr/>
          <w:p>
            <w:pPr>
              <w:pStyle w:val="Compact"/>
              <w:jc w:val="left"/>
            </w:pPr>
            <w:r>
              <w:t xml:space="preserve">Evidence</w:t>
            </w:r>
          </w:p>
        </w:tc>
      </w:tr>
      <w:tr>
        <w:tc>
          <w:tcPr/>
          <w:p>
            <w:pPr>
              <w:pStyle w:val="Compact"/>
              <w:jc w:val="left"/>
            </w:pPr>
            <w:r>
              <w:rPr>
                <w:b/>
                <w:bCs/>
              </w:rPr>
              <w:t xml:space="preserve">Knowledge Locus</w:t>
            </w:r>
          </w:p>
        </w:tc>
        <w:tc>
          <w:tcPr/>
          <w:p>
            <w:pPr>
              <w:pStyle w:val="Compact"/>
              <w:jc w:val="left"/>
            </w:pPr>
            <w:r>
              <w:t xml:space="preserve">Knowledge resides in</w:t>
            </w:r>
            <w:r>
              <w:t xml:space="preserve"> </w:t>
            </w:r>
            <w:r>
              <w:t xml:space="preserve">“</w:t>
            </w:r>
            <w:r>
              <w:t xml:space="preserve">Hero</w:t>
            </w:r>
            <w:r>
              <w:t xml:space="preserve">”</w:t>
            </w:r>
            <w:r>
              <w:t xml:space="preserve"> </w:t>
            </w:r>
            <w:r>
              <w:t xml:space="preserve">analysts.</w:t>
            </w:r>
          </w:p>
        </w:tc>
        <w:tc>
          <w:tcPr/>
          <w:p>
            <w:pPr>
              <w:pStyle w:val="Compact"/>
              <w:jc w:val="left"/>
            </w:pPr>
            <w:r>
              <w:t xml:space="preserve">Knowledge resides in the System/Repository.</w:t>
            </w:r>
          </w:p>
        </w:tc>
        <w:tc>
          <w:tcPr/>
          <w:p>
            <w:pPr>
              <w:pStyle w:val="Compact"/>
              <w:jc w:val="left"/>
            </w:pPr>
            <w:r>
              <w:t xml:space="preserve">(</w:t>
            </w:r>
            <w:hyperlink w:anchor="ref-hong2025">
              <w:r>
                <w:rPr>
                  <w:rStyle w:val="Hyperlink"/>
                </w:rPr>
                <w:t xml:space="preserve">4</w:t>
              </w:r>
            </w:hyperlink>
            <w:r>
              <w:t xml:space="preserve">,</w:t>
            </w:r>
            <w:hyperlink w:anchor="ref-benbya2004">
              <w:r>
                <w:rPr>
                  <w:rStyle w:val="Hyperlink"/>
                </w:rPr>
                <w:t xml:space="preserve">29</w:t>
              </w:r>
            </w:hyperlink>
            <w:r>
              <w:t xml:space="preserve">)</w:t>
            </w:r>
          </w:p>
        </w:tc>
      </w:tr>
      <w:tr>
        <w:tc>
          <w:tcPr/>
          <w:p>
            <w:pPr>
              <w:pStyle w:val="Compact"/>
              <w:jc w:val="left"/>
            </w:pPr>
            <w:r>
              <w:rPr>
                <w:b/>
                <w:bCs/>
              </w:rPr>
              <w:t xml:space="preserve">Turnover Impact</w:t>
            </w:r>
          </w:p>
        </w:tc>
        <w:tc>
          <w:tcPr/>
          <w:p>
            <w:pPr>
              <w:pStyle w:val="Compact"/>
              <w:jc w:val="left"/>
            </w:pPr>
            <w:r>
              <w:t xml:space="preserve">Departure of 1 staff member stops reporting.</w:t>
            </w:r>
          </w:p>
        </w:tc>
        <w:tc>
          <w:tcPr/>
          <w:p>
            <w:pPr>
              <w:pStyle w:val="Compact"/>
              <w:jc w:val="left"/>
            </w:pPr>
            <w:r>
              <w:t xml:space="preserve">Departure causes minimal disruption; successors inherit queries.</w:t>
            </w:r>
          </w:p>
        </w:tc>
        <w:tc>
          <w:tcPr/>
          <w:p>
            <w:pPr>
              <w:pStyle w:val="Compact"/>
              <w:jc w:val="left"/>
            </w:pPr>
            <w:r>
              <w:t xml:space="preserve">(</w:t>
            </w:r>
            <w:hyperlink w:anchor="ref-rao2006">
              <w:r>
                <w:rPr>
                  <w:rStyle w:val="Hyperlink"/>
                </w:rPr>
                <w:t xml:space="preserve">11</w:t>
              </w:r>
            </w:hyperlink>
            <w:r>
              <w:t xml:space="preserve">,</w:t>
            </w:r>
            <w:hyperlink w:anchor="ref-massingham2018">
              <w:r>
                <w:rPr>
                  <w:rStyle w:val="Hyperlink"/>
                </w:rPr>
                <w:t xml:space="preserve">21</w:t>
              </w:r>
            </w:hyperlink>
            <w:r>
              <w:t xml:space="preserve">)</w:t>
            </w:r>
          </w:p>
        </w:tc>
      </w:tr>
      <w:tr>
        <w:tc>
          <w:tcPr/>
          <w:p>
            <w:pPr>
              <w:pStyle w:val="Compact"/>
              <w:jc w:val="left"/>
            </w:pPr>
            <w:r>
              <w:rPr>
                <w:b/>
                <w:bCs/>
              </w:rPr>
              <w:t xml:space="preserve">Validation Mode</w:t>
            </w:r>
          </w:p>
        </w:tc>
        <w:tc>
          <w:tcPr/>
          <w:p>
            <w:pPr>
              <w:pStyle w:val="Compact"/>
              <w:jc w:val="left"/>
            </w:pPr>
            <w:r>
              <w:t xml:space="preserve">Ad-hoc, email-based, ephemeral.</w:t>
            </w:r>
          </w:p>
        </w:tc>
        <w:tc>
          <w:tcPr/>
          <w:p>
            <w:pPr>
              <w:pStyle w:val="Compact"/>
              <w:jc w:val="left"/>
            </w:pPr>
            <w:r>
              <w:t xml:space="preserve">Systematic, artifact-based, durable (HiL-SG).</w:t>
            </w:r>
          </w:p>
        </w:tc>
        <w:tc>
          <w:tcPr/>
          <w:p>
            <w:pPr>
              <w:pStyle w:val="Compact"/>
              <w:jc w:val="left"/>
            </w:pPr>
            <w:r>
              <w:t xml:space="preserve">(</w:t>
            </w:r>
            <w:hyperlink w:anchor="ref-moore2018">
              <w:r>
                <w:rPr>
                  <w:rStyle w:val="Hyperlink"/>
                </w:rPr>
                <w:t xml:space="preserve">25</w:t>
              </w:r>
            </w:hyperlink>
            <w:r>
              <w:t xml:space="preserve">,</w:t>
            </w:r>
            <w:hyperlink w:anchor="ref-mosqueirarey2023">
              <w:r>
                <w:rPr>
                  <w:rStyle w:val="Hyperlink"/>
                </w:rPr>
                <w:t xml:space="preserve">28</w:t>
              </w:r>
            </w:hyperlink>
            <w:r>
              <w:t xml:space="preserve">)</w:t>
            </w:r>
          </w:p>
        </w:tc>
      </w:tr>
      <w:tr>
        <w:tc>
          <w:tcPr/>
          <w:p>
            <w:pPr>
              <w:pStyle w:val="Compact"/>
              <w:jc w:val="left"/>
            </w:pPr>
            <w:r>
              <w:rPr>
                <w:b/>
                <w:bCs/>
              </w:rPr>
              <w:t xml:space="preserve">Schema Coupling</w:t>
            </w:r>
          </w:p>
        </w:tc>
        <w:tc>
          <w:tcPr/>
          <w:p>
            <w:pPr>
              <w:pStyle w:val="Compact"/>
              <w:jc w:val="left"/>
            </w:pPr>
            <w:r>
              <w:t xml:space="preserve">Hard-coded reports break on schema change.</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41</w:t>
              </w:r>
            </w:hyperlink>
            <w:r>
              <w:t xml:space="preserve">,</w:t>
            </w:r>
            <w:hyperlink w:anchor="ref-battula2025">
              <w:r>
                <w:rPr>
                  <w:rStyle w:val="Hyperlink"/>
                </w:rPr>
                <w:t xml:space="preserve">42</w:t>
              </w:r>
            </w:hyperlink>
            <w:r>
              <w:t xml:space="preserve">)</w:t>
            </w:r>
          </w:p>
        </w:tc>
      </w:tr>
    </w:tbl>
    <w:bookmarkEnd w:id="38"/>
    <w:bookmarkEnd w:id="39"/>
    <w:bookmarkStart w:id="43" w:name="discussion"/>
    <w:p>
      <w:pPr>
        <w:pStyle w:val="Heading1"/>
      </w:pPr>
      <w:r>
        <w:rPr>
          <w:rStyle w:val="SectionNumber"/>
        </w:rPr>
        <w:t xml:space="preserve">4</w:t>
      </w:r>
      <w:r>
        <w:tab/>
      </w:r>
      <w:r>
        <w:t xml:space="preserve">Discussion</w:t>
      </w:r>
    </w:p>
    <w:bookmarkStart w:id="40" w:name="the-validator-paradox-and-standard-work"/>
    <w:p>
      <w:pPr>
        <w:pStyle w:val="Heading2"/>
      </w:pPr>
      <w:r>
        <w:rPr>
          <w:rStyle w:val="SectionNumber"/>
        </w:rPr>
        <w:t xml:space="preserve">4.1</w:t>
      </w:r>
      <w:r>
        <w:tab/>
      </w:r>
      <w:r>
        <w:t xml:space="preserve">The Validator Paradox and Standard Work</w:t>
      </w:r>
    </w:p>
    <w:p>
      <w:pPr>
        <w:pStyle w:val="FirstParagraph"/>
      </w:pPr>
      <w:r>
        <w:t xml:space="preserve">A critical criticism of HiL-SG is the</w:t>
      </w:r>
      <w:r>
        <w:t xml:space="preserve"> </w:t>
      </w:r>
      <w:r>
        <w:rPr>
          <w:b/>
          <w:bCs/>
        </w:rPr>
        <w:t xml:space="preserve">Validator Paradox</w:t>
      </w:r>
      <w:r>
        <w:t xml:space="preserve">:</w:t>
      </w:r>
      <w:r>
        <w:t xml:space="preserve"> </w:t>
      </w:r>
      <w:r>
        <w:rPr>
          <w:i/>
          <w:iCs/>
        </w:rPr>
        <w:t xml:space="preserve">If the experts are leaving, who is left to validate the AI?</w:t>
      </w:r>
      <w:r>
        <w:t xml:space="preserve"> </w:t>
      </w:r>
      <w:r>
        <w:t xml:space="preserve">We resolve this by reframing validation through Lean</w:t>
      </w:r>
      <w:r>
        <w:t xml:space="preserve"> </w:t>
      </w:r>
      <w:r>
        <w:t xml:space="preserve">“</w:t>
      </w:r>
      <w:r>
        <w:t xml:space="preserve">Standard Work</w:t>
      </w:r>
      <w:r>
        <w:t xml:space="preserve">”</w:t>
      </w:r>
      <w:r>
        <w:t xml:space="preserve"> </w:t>
      </w:r>
      <w:r>
        <w:t xml:space="preserve">(</w:t>
      </w:r>
      <w:hyperlink w:anchor="ref-alukal2006">
        <w:r>
          <w:rPr>
            <w:rStyle w:val="Hyperlink"/>
          </w:rPr>
          <w:t xml:space="preserve">43</w:t>
        </w:r>
      </w:hyperlink>
      <w:r>
        <w:t xml:space="preserve">)</w:t>
      </w:r>
      <w:r>
        <w:t xml:space="preserve">. Validation is the establishment of the</w:t>
      </w:r>
      <w:r>
        <w:t xml:space="preserve"> </w:t>
      </w:r>
      <w:r>
        <w:rPr>
          <w:i/>
          <w:iCs/>
        </w:rPr>
        <w:t xml:space="preserve">current known standard</w:t>
      </w:r>
      <w:r>
        <w:t xml:space="preserve">. When an analyst validates a query, they act as a</w:t>
      </w:r>
      <w:r>
        <w:t xml:space="preserve"> </w:t>
      </w:r>
      <w:r>
        <w:rPr>
          <w:b/>
          <w:bCs/>
        </w:rPr>
        <w:t xml:space="preserve">Knowledge Ratchet</w:t>
      </w:r>
      <w:r>
        <w:t xml:space="preserve"> </w:t>
      </w:r>
      <w:r>
        <w:t xml:space="preserve">(</w:t>
      </w:r>
      <w:hyperlink w:anchor="ref-rao2006">
        <w:r>
          <w:rPr>
            <w:rStyle w:val="Hyperlink"/>
          </w:rPr>
          <w:t xml:space="preserve">11</w:t>
        </w:r>
      </w:hyperlink>
      <w:r>
        <w:t xml:space="preserve">)</w:t>
      </w:r>
      <w:r>
        <w:t xml:space="preserve">, preventing the organization from sliding back to zero. This aligns with UC Davis Health’s success in moving from AMAM Stage 0 to 6 by establishing standardized</w:t>
      </w:r>
      <w:r>
        <w:t xml:space="preserve"> </w:t>
      </w:r>
      <w:r>
        <w:t xml:space="preserve">“</w:t>
      </w:r>
      <w:r>
        <w:t xml:space="preserve">S.M.A.R.T.</w:t>
      </w:r>
      <w:r>
        <w:t xml:space="preserve">”</w:t>
      </w:r>
      <w:r>
        <w:t xml:space="preserve"> </w:t>
      </w:r>
      <w:r>
        <w:t xml:space="preserve">definitions</w:t>
      </w:r>
      <w:r>
        <w:t xml:space="preserve"> </w:t>
      </w:r>
      <w:r>
        <w:t xml:space="preserve">(</w:t>
      </w:r>
      <w:hyperlink w:anchor="ref-himss2025ucdavis">
        <w:r>
          <w:rPr>
            <w:rStyle w:val="Hyperlink"/>
          </w:rPr>
          <w:t xml:space="preserve">44</w:t>
        </w:r>
      </w:hyperlink>
      <w:r>
        <w:t xml:space="preserve">)</w:t>
      </w:r>
      <w:r>
        <w:t xml:space="preserve">.</w:t>
      </w:r>
    </w:p>
    <w:bookmarkEnd w:id="40"/>
    <w:bookmarkStart w:id="41" w:name="safety-cognitive-forcing-functions"/>
    <w:p>
      <w:pPr>
        <w:pStyle w:val="Heading2"/>
      </w:pPr>
      <w:r>
        <w:rPr>
          <w:rStyle w:val="SectionNumber"/>
        </w:rPr>
        <w:t xml:space="preserve">4.2</w:t>
      </w:r>
      <w:r>
        <w:tab/>
      </w:r>
      <w:r>
        <w:t xml:space="preserve">Safety: Cognitive Forcing Functions</w:t>
      </w:r>
    </w:p>
    <w:p>
      <w:pPr>
        <w:pStyle w:val="FirstParagraph"/>
      </w:pPr>
      <w:r>
        <w:t xml:space="preserve">Automating analytics risks</w:t>
      </w:r>
      <w:r>
        <w:t xml:space="preserve"> </w:t>
      </w:r>
      <w:r>
        <w:t xml:space="preserve">“</w:t>
      </w:r>
      <w:r>
        <w:t xml:space="preserve">laundering hallucinations.</w:t>
      </w:r>
      <w:r>
        <w:t xml:space="preserve">”</w:t>
      </w:r>
      <w:r>
        <w:t xml:space="preserve"> </w:t>
      </w:r>
      <w:r>
        <w:t xml:space="preserve">HiL-SG mitigates this via</w:t>
      </w:r>
      <w:r>
        <w:t xml:space="preserve"> </w:t>
      </w:r>
      <w:r>
        <w:rPr>
          <w:b/>
          <w:bCs/>
        </w:rPr>
        <w:t xml:space="preserve">Cognitive Forcing Functions</w:t>
      </w:r>
      <w:r>
        <w:t xml:space="preserve"> </w:t>
      </w:r>
      <w:r>
        <w:t xml:space="preserve">(</w:t>
      </w:r>
      <w:hyperlink w:anchor="ref-ziletti2024">
        <w:r>
          <w:rPr>
            <w:rStyle w:val="Hyperlink"/>
          </w:rPr>
          <w:t xml:space="preserve">27</w:t>
        </w:r>
      </w:hyperlink>
      <w:r>
        <w:t xml:space="preserve">)</w:t>
      </w:r>
      <w:r>
        <w:t xml:space="preserve">. By requiring AI to explain logic</w:t>
      </w:r>
      <w:r>
        <w:t xml:space="preserve"> </w:t>
      </w:r>
      <w:r>
        <w:rPr>
          <w:i/>
          <w:iCs/>
        </w:rPr>
        <w:t xml:space="preserve">before</w:t>
      </w:r>
      <w:r>
        <w:t xml:space="preserve"> </w:t>
      </w:r>
      <w:r>
        <w:t xml:space="preserve">results, we force the user to engage analytical thinking. User studies show this reduces error recovery time by 30-40 seconds</w:t>
      </w:r>
      <w:r>
        <w:t xml:space="preserve"> </w:t>
      </w:r>
      <w:r>
        <w:t xml:space="preserve">(</w:t>
      </w:r>
      <w:hyperlink w:anchor="ref-ipeirotis2025">
        <w:r>
          <w:rPr>
            <w:rStyle w:val="Hyperlink"/>
          </w:rPr>
          <w:t xml:space="preserve">45</w:t>
        </w:r>
      </w:hyperlink>
      <w:r>
        <w:t xml:space="preserve">)</w:t>
      </w:r>
      <w:r>
        <w:t xml:space="preserve">.</w:t>
      </w:r>
    </w:p>
    <w:bookmarkEnd w:id="41"/>
    <w:bookmarkStart w:id="42" w:name="Xf414813cd0afe621d2dc19456f0dc09d0fd73a3"/>
    <w:p>
      <w:pPr>
        <w:pStyle w:val="Heading2"/>
      </w:pPr>
      <w:r>
        <w:rPr>
          <w:rStyle w:val="SectionNumber"/>
        </w:rPr>
        <w:t xml:space="preserve">4.3</w:t>
      </w:r>
      <w:r>
        <w:tab/>
      </w: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46</w:t>
        </w:r>
      </w:hyperlink>
      <w:r>
        <w:t xml:space="preserve">,</w:t>
      </w:r>
      <w:hyperlink w:anchor="ref-strickland2019">
        <w:r>
          <w:rPr>
            <w:rStyle w:val="Hyperlink"/>
          </w:rPr>
          <w:t xml:space="preserve">47</w:t>
        </w:r>
      </w:hyperlink>
      <w:r>
        <w:t xml:space="preserve">)</w:t>
      </w:r>
      <w:r>
        <w:t xml:space="preserve">, Haven</w:t>
      </w:r>
      <w:r>
        <w:t xml:space="preserve"> </w:t>
      </w:r>
      <w:r>
        <w:t xml:space="preserve">(</w:t>
      </w:r>
      <w:hyperlink w:anchor="ref-lavito2021">
        <w:r>
          <w:rPr>
            <w:rStyle w:val="Hyperlink"/>
          </w:rPr>
          <w:t xml:space="preserve">48</w:t>
        </w:r>
      </w:hyperlink>
      <w:r>
        <w:t xml:space="preserve">,</w:t>
      </w:r>
      <w:hyperlink w:anchor="ref-acchiardo2021">
        <w:r>
          <w:rPr>
            <w:rStyle w:val="Hyperlink"/>
          </w:rPr>
          <w:t xml:space="preserve">49</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50</w:t>
        </w:r>
      </w:hyperlink>
      <w:r>
        <w:t xml:space="preserve">)</w:t>
      </w:r>
      <w:r>
        <w:t xml:space="preserve">. HiL-SG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2"/>
    <w:bookmarkEnd w:id="43"/>
    <w:bookmarkStart w:id="44" w:name="conclusion"/>
    <w:p>
      <w:pPr>
        <w:pStyle w:val="Heading1"/>
      </w:pPr>
      <w:r>
        <w:rPr>
          <w:rStyle w:val="SectionNumber"/>
        </w:rPr>
        <w:t xml:space="preserve">5</w:t>
      </w:r>
      <w:r>
        <w:tab/>
      </w:r>
      <w:r>
        <w:t xml:space="preserve">Conclusion</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b/>
          <w:bCs/>
        </w:rPr>
        <w:t xml:space="preserve">Human-in-the-Loop Semantic Governance</w:t>
      </w:r>
      <w:r>
        <w:t xml:space="preserve">, health systems can decouple intelligence from turnover, building a library of validated knowledge that ensures maturity advances even as the workforce evolves.</w:t>
      </w:r>
    </w:p>
    <w:bookmarkEnd w:id="44"/>
    <w:bookmarkStart w:id="45" w:name="acknowledgments"/>
    <w:p>
      <w:pPr>
        <w:pStyle w:val="Heading1"/>
      </w:pPr>
      <w:r>
        <w:rPr>
          <w:rStyle w:val="SectionNumber"/>
        </w:rPr>
        <w:t xml:space="preserve">6</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45"/>
    <w:bookmarkStart w:id="46" w:name="author-contributions"/>
    <w:p>
      <w:pPr>
        <w:pStyle w:val="Heading1"/>
      </w:pPr>
      <w:r>
        <w:rPr>
          <w:rStyle w:val="SectionNumber"/>
        </w:rPr>
        <w:t xml:space="preserve">7</w:t>
      </w:r>
      <w:r>
        <w:tab/>
      </w:r>
      <w:r>
        <w:t xml:space="preserve">Author Contributions</w:t>
      </w:r>
    </w:p>
    <w:p>
      <w:pPr>
        <w:pStyle w:val="FirstParagraph"/>
      </w:pPr>
      <w:r>
        <w:t xml:space="preserve">S.T.H. conceived the research, conducted the literature review, and wrote the manuscript.</w:t>
      </w:r>
    </w:p>
    <w:bookmarkEnd w:id="46"/>
    <w:bookmarkStart w:id="47" w:name="conflicts-of-interest"/>
    <w:p>
      <w:pPr>
        <w:pStyle w:val="Heading1"/>
      </w:pPr>
      <w:r>
        <w:rPr>
          <w:rStyle w:val="SectionNumber"/>
        </w:rPr>
        <w:t xml:space="preserve">8</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7"/>
    <w:bookmarkStart w:id="48" w:name="data-availability"/>
    <w:p>
      <w:pPr>
        <w:pStyle w:val="Heading1"/>
      </w:pPr>
      <w:r>
        <w:rPr>
          <w:rStyle w:val="SectionNumber"/>
        </w:rPr>
        <w:t xml:space="preserve">9</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w:t>
      </w:r>
    </w:p>
    <w:bookmarkEnd w:id="48"/>
    <w:bookmarkStart w:id="49" w:name="funding"/>
    <w:p>
      <w:pPr>
        <w:pStyle w:val="Heading1"/>
      </w:pPr>
      <w:r>
        <w:rPr>
          <w:rStyle w:val="SectionNumber"/>
        </w:rPr>
        <w:t xml:space="preserve">10</w:t>
      </w:r>
      <w:r>
        <w:tab/>
      </w:r>
      <w:r>
        <w:t xml:space="preserve">Funding</w:t>
      </w:r>
    </w:p>
    <w:p>
      <w:pPr>
        <w:pStyle w:val="FirstParagraph"/>
      </w:pPr>
      <w:r>
        <w:t xml:space="preserve">Yuimedi provided funding for the author’s time writing and researching this manuscript.</w:t>
      </w:r>
    </w:p>
    <w:bookmarkEnd w:id="49"/>
    <w:bookmarkStart w:id="50" w:name="abbreviations"/>
    <w:p>
      <w:pPr>
        <w:pStyle w:val="Heading1"/>
      </w:pPr>
      <w:r>
        <w:rPr>
          <w:rStyle w:val="SectionNumber"/>
        </w:rPr>
        <w:t xml:space="preserve">11</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ARI: Analytics Resilience Index</w:t>
      </w:r>
      <w:r>
        <w:t xml:space="preserve"> </w:t>
      </w:r>
      <w:r>
        <w:t xml:space="preserve">CIO: Chief Information Officer</w:t>
      </w:r>
      <w:r>
        <w:t xml:space="preserve"> </w:t>
      </w:r>
      <w:r>
        <w:t xml:space="preserve">DSR: Design Science Research</w:t>
      </w:r>
      <w:r>
        <w:t xml:space="preserve"> </w:t>
      </w:r>
      <w:r>
        <w:t xml:space="preserve">EMRAM: Electronic Medical Record Adoption Model</w:t>
      </w:r>
      <w:r>
        <w:t xml:space="preserve"> </w:t>
      </w:r>
      <w:r>
        <w:t xml:space="preserve">HiL-SG: Human-in-the-Loop Semantic Governance</w:t>
      </w:r>
      <w:r>
        <w:t xml:space="preserve"> </w:t>
      </w:r>
      <w:r>
        <w:t xml:space="preserve">HIMSS: Healthcare Information Management Systems Society</w:t>
      </w:r>
      <w:r>
        <w:t xml:space="preserve"> </w:t>
      </w:r>
      <w:r>
        <w:t xml:space="preserve">HotL: Human-on-the-Loop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50"/>
    <w:bookmarkStart w:id="151" w:name="references"/>
    <w:p>
      <w:pPr>
        <w:pStyle w:val="Heading1"/>
      </w:pPr>
      <w:r>
        <w:rPr>
          <w:rStyle w:val="SectionNumber"/>
        </w:rPr>
        <w:t xml:space="preserve">12</w:t>
      </w:r>
      <w:r>
        <w:tab/>
      </w:r>
      <w:r>
        <w:t xml:space="preserve">References</w:t>
      </w:r>
    </w:p>
    <w:bookmarkStart w:id="150" w:name="refs"/>
    <w:bookmarkStart w:id="52" w:name="ref-himss2024"/>
    <w:p>
      <w:pPr>
        <w:pStyle w:val="Bibliography"/>
      </w:pPr>
      <w:r>
        <w:t xml:space="preserve">1.</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51">
        <w:r>
          <w:rPr>
            <w:rStyle w:val="Hyperlink"/>
          </w:rPr>
          <w:t xml:space="preserve">https://www.himss.org/maturity-models/amam/</w:t>
        </w:r>
      </w:hyperlink>
    </w:p>
    <w:bookmarkEnd w:id="52"/>
    <w:bookmarkStart w:id="5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53">
        <w:r>
          <w:rPr>
            <w:rStyle w:val="Hyperlink"/>
          </w:rPr>
          <w:t xml:space="preserve">https://www.nyulawreview.org/issues/volume-94-number-4/data-standardization/</w:t>
        </w:r>
      </w:hyperlink>
    </w:p>
    <w:bookmarkEnd w:id="54"/>
    <w:bookmarkStart w:id="5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55"/>
    <w:bookmarkStart w:id="57" w:name="ref-hong2025"/>
    <w:p>
      <w:pPr>
        <w:pStyle w:val="Bibliography"/>
      </w:pPr>
      <w:r>
        <w:t xml:space="preserve">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56">
        <w:r>
          <w:rPr>
            <w:rStyle w:val="Hyperlink"/>
          </w:rPr>
          <w:t xml:space="preserve">https://academic.oup.com/jpart/advance-article-abstract/doi/10.1093/jopart/muaf019/8162522</w:t>
        </w:r>
      </w:hyperlink>
    </w:p>
    <w:bookmarkEnd w:id="57"/>
    <w:bookmarkStart w:id="59" w:name="ref-wittkieffer2024"/>
    <w:p>
      <w:pPr>
        <w:pStyle w:val="Bibliography"/>
      </w:pPr>
      <w:r>
        <w:t xml:space="preserve">5.</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58">
        <w:r>
          <w:rPr>
            <w:rStyle w:val="Hyperlink"/>
          </w:rPr>
          <w:t xml:space="preserve">https://api.wittkieffer.com/wp-content/uploads/2012/10/cio-insights-the-state-of-healthcare-it-leadership-wittkieffer-october-2024.pdf</w:t>
        </w:r>
      </w:hyperlink>
    </w:p>
    <w:bookmarkEnd w:id="59"/>
    <w:bookmarkStart w:id="61" w:name="ref-himssworkforce2024"/>
    <w:p>
      <w:pPr>
        <w:pStyle w:val="Bibliography"/>
      </w:pPr>
      <w:r>
        <w:t xml:space="preserve">6.</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60">
        <w:r>
          <w:rPr>
            <w:rStyle w:val="Hyperlink"/>
          </w:rPr>
          <w:t xml:space="preserve">https://www.himss.org/resources/the-future-of-workforce/</w:t>
        </w:r>
      </w:hyperlink>
    </w:p>
    <w:bookmarkEnd w:id="61"/>
    <w:bookmarkStart w:id="6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62">
        <w:r>
          <w:rPr>
            <w:rStyle w:val="Hyperlink"/>
          </w:rPr>
          <w:t xml:space="preserve">https://academic.oup.com/jpubhealth</w:t>
        </w:r>
      </w:hyperlink>
    </w:p>
    <w:bookmarkEnd w:id="63"/>
    <w:bookmarkStart w:id="65" w:name="ref-american2023"/>
    <w:p>
      <w:pPr>
        <w:pStyle w:val="Bibliography"/>
      </w:pPr>
      <w:r>
        <w:t xml:space="preserve">8.</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64">
        <w:r>
          <w:rPr>
            <w:rStyle w:val="Hyperlink"/>
          </w:rPr>
          <w:t xml:space="preserve">https://www.ahima.org/news-publications/press-room-press-releases/2023-press-releases/health-information-workforce-shortages-persist-as-ai-shows-promise-ahima-survey-reveals/</w:t>
        </w:r>
      </w:hyperlink>
    </w:p>
    <w:bookmarkEnd w:id="65"/>
    <w:bookmarkStart w:id="6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66">
        <w:r>
          <w:rPr>
            <w:rStyle w:val="Hyperlink"/>
          </w:rPr>
          <w:t xml:space="preserve">https://www.sciencedirect.com/science/article/abs/pii/S0040162516000500</w:t>
        </w:r>
      </w:hyperlink>
    </w:p>
    <w:bookmarkEnd w:id="67"/>
    <w:bookmarkStart w:id="6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68">
        <w:r>
          <w:rPr>
            <w:rStyle w:val="Hyperlink"/>
          </w:rPr>
          <w:t xml:space="preserve">https://arxiv.org/abs/1908.01839</w:t>
        </w:r>
      </w:hyperlink>
    </w:p>
    <w:bookmarkEnd w:id="69"/>
    <w:bookmarkStart w:id="71" w:name="ref-rao2006"/>
    <w:p>
      <w:pPr>
        <w:pStyle w:val="Bibliography"/>
      </w:pPr>
      <w:r>
        <w:t xml:space="preserve">11.</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70">
        <w:r>
          <w:rPr>
            <w:rStyle w:val="Hyperlink"/>
          </w:rPr>
          <w:t xml:space="preserve">https://onlinelibrary.wiley.com/doi/abs/10.1057/palgrave.emr.1500057</w:t>
        </w:r>
      </w:hyperlink>
    </w:p>
    <w:bookmarkEnd w:id="71"/>
    <w:bookmarkStart w:id="7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72">
        <w:r>
          <w:rPr>
            <w:rStyle w:val="Hyperlink"/>
          </w:rPr>
          <w:t xml:space="preserve">https://www.redjournal.org/article/S0360-3016(16)00260-1/fulltext</w:t>
        </w:r>
      </w:hyperlink>
    </w:p>
    <w:bookmarkEnd w:id="73"/>
    <w:bookmarkStart w:id="75" w:name="ref-ang2004"/>
    <w:p>
      <w:pPr>
        <w:pStyle w:val="Bibliography"/>
      </w:pPr>
      <w:r>
        <w:t xml:space="preserve">13.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74">
        <w:r>
          <w:rPr>
            <w:rStyle w:val="Hyperlink"/>
          </w:rPr>
          <w:t xml:space="preserve">https://dl.acm.org/doi/10.1145/1017114.1017118</w:t>
        </w:r>
      </w:hyperlink>
    </w:p>
    <w:bookmarkEnd w:id="75"/>
    <w:bookmarkStart w:id="77" w:name="ref-ledikwe2013"/>
    <w:p>
      <w:pPr>
        <w:pStyle w:val="Bibliography"/>
      </w:pPr>
      <w:r>
        <w:t xml:space="preserve">14.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76">
        <w:r>
          <w:rPr>
            <w:rStyle w:val="Hyperlink"/>
          </w:rPr>
          <w:t xml:space="preserve">https://human-resources-health.biomedcentral.com/articles/10.1186/1478-4491-11-35</w:t>
        </w:r>
      </w:hyperlink>
    </w:p>
    <w:bookmarkEnd w:id="77"/>
    <w:bookmarkStart w:id="79" w:name="ref-mantas2010"/>
    <w:p>
      <w:pPr>
        <w:pStyle w:val="Bibliography"/>
      </w:pPr>
      <w:r>
        <w:t xml:space="preserve">15.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78">
        <w:r>
          <w:rPr>
            <w:rStyle w:val="Hyperlink"/>
          </w:rPr>
          <w:t xml:space="preserve">https://pubmed.ncbi.nlm.nih.gov/20054502/</w:t>
        </w:r>
      </w:hyperlink>
    </w:p>
    <w:bookmarkEnd w:id="79"/>
    <w:bookmarkStart w:id="81" w:name="ref-tyndall2010"/>
    <w:p>
      <w:pPr>
        <w:pStyle w:val="Bibliography"/>
      </w:pPr>
      <w:r>
        <w:t xml:space="preserve">16.</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80">
        <w:r>
          <w:rPr>
            <w:rStyle w:val="Hyperlink"/>
          </w:rPr>
          <w:t xml:space="preserve">https://dspace.flinders.edu.au/jspui/bitstream/2328/3326/4/AACODS_Checklist.pdf</w:t>
        </w:r>
      </w:hyperlink>
    </w:p>
    <w:bookmarkEnd w:id="81"/>
    <w:bookmarkStart w:id="83" w:name="ref-farnese2019"/>
    <w:p>
      <w:pPr>
        <w:pStyle w:val="Bibliography"/>
      </w:pPr>
      <w:r>
        <w:t xml:space="preserve">17.</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82">
        <w:r>
          <w:rPr>
            <w:rStyle w:val="Hyperlink"/>
          </w:rPr>
          <w:t xml:space="preserve">https://www.frontiersin.org/articles/10.3389/fpsyg.2019.02730</w:t>
        </w:r>
      </w:hyperlink>
    </w:p>
    <w:bookmarkEnd w:id="83"/>
    <w:bookmarkStart w:id="85"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84">
        <w:r>
          <w:rPr>
            <w:rStyle w:val="Hyperlink"/>
          </w:rPr>
          <w:t xml:space="preserve">https://www.tdx.cat/bitstream/handle/10803/695722/TGJBR1de1.pdf?sequence=1</w:t>
        </w:r>
      </w:hyperlink>
    </w:p>
    <w:bookmarkEnd w:id="85"/>
    <w:bookmarkStart w:id="87" w:name="ref-wu2024"/>
    <w:p>
      <w:pPr>
        <w:pStyle w:val="Bibliography"/>
      </w:pPr>
      <w:r>
        <w:t xml:space="preserve">19.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86">
        <w:r>
          <w:rPr>
            <w:rStyle w:val="Hyperlink"/>
          </w:rPr>
          <w:t xml:space="preserve">https://pmc.ncbi.nlm.nih.gov/articles/PMC10802134/</w:t>
        </w:r>
      </w:hyperlink>
    </w:p>
    <w:bookmarkEnd w:id="87"/>
    <w:bookmarkStart w:id="89" w:name="ref-ren2024"/>
    <w:p>
      <w:pPr>
        <w:pStyle w:val="Bibliography"/>
      </w:pPr>
      <w:r>
        <w:t xml:space="preserve">20.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88">
        <w:r>
          <w:rPr>
            <w:rStyle w:val="Hyperlink"/>
          </w:rPr>
          <w:t xml:space="preserve">https://pmc.ncbi.nlm.nih.gov/articles/PMC11919231/</w:t>
        </w:r>
      </w:hyperlink>
    </w:p>
    <w:bookmarkEnd w:id="89"/>
    <w:bookmarkStart w:id="91" w:name="ref-massingham2018"/>
    <w:p>
      <w:pPr>
        <w:pStyle w:val="Bibliography"/>
      </w:pPr>
      <w:r>
        <w:t xml:space="preserve">21.</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90">
        <w:r>
          <w:rPr>
            <w:rStyle w:val="Hyperlink"/>
          </w:rPr>
          <w:t xml:space="preserve">https://doi.org/10.1108/JKM-08-2016-0338</w:t>
        </w:r>
      </w:hyperlink>
    </w:p>
    <w:bookmarkEnd w:id="91"/>
    <w:bookmarkStart w:id="93" w:name="ref-zhang2025"/>
    <w:p>
      <w:pPr>
        <w:pStyle w:val="Bibliography"/>
      </w:pPr>
      <w:r>
        <w:t xml:space="preserve">22.</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92">
        <w:r>
          <w:rPr>
            <w:rStyle w:val="Hyperlink"/>
          </w:rPr>
          <w:t xml:space="preserve">https://www.emerald.com/insight/content/doi/10.1108/JKM-03-2024-0262/full/html</w:t>
        </w:r>
      </w:hyperlink>
    </w:p>
    <w:bookmarkEnd w:id="93"/>
    <w:bookmarkStart w:id="95" w:name="ref-goffin2011"/>
    <w:p>
      <w:pPr>
        <w:pStyle w:val="Bibliography"/>
      </w:pPr>
      <w:r>
        <w:t xml:space="preserve">23.</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94">
        <w:r>
          <w:rPr>
            <w:rStyle w:val="Hyperlink"/>
          </w:rPr>
          <w:t xml:space="preserve">https://onlinelibrary.wiley.com/doi/abs/10.1111/j.1540-5885.2010.00798.x</w:t>
        </w:r>
      </w:hyperlink>
    </w:p>
    <w:bookmarkEnd w:id="95"/>
    <w:bookmarkStart w:id="97" w:name="ref-foos2006"/>
    <w:p>
      <w:pPr>
        <w:pStyle w:val="Bibliography"/>
      </w:pPr>
      <w:r>
        <w:t xml:space="preserve">24.</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96">
        <w:r>
          <w:rPr>
            <w:rStyle w:val="Hyperlink"/>
          </w:rPr>
          <w:t xml:space="preserve">https://www.emerald.com/insight/content/doi/10.1108/13673270610650067/full/html</w:t>
        </w:r>
      </w:hyperlink>
    </w:p>
    <w:bookmarkEnd w:id="97"/>
    <w:bookmarkStart w:id="99" w:name="ref-moore2018"/>
    <w:p>
      <w:pPr>
        <w:pStyle w:val="Bibliography"/>
      </w:pPr>
      <w:r>
        <w:t xml:space="preserve">25.</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98">
        <w:r>
          <w:rPr>
            <w:rStyle w:val="Hyperlink"/>
          </w:rPr>
          <w:t xml:space="preserve">https://wendyju.com/publications/18_ijee3593.pdf</w:t>
        </w:r>
      </w:hyperlink>
    </w:p>
    <w:bookmarkEnd w:id="99"/>
    <w:bookmarkStart w:id="101" w:name="ref-lee2023"/>
    <w:p>
      <w:pPr>
        <w:pStyle w:val="Bibliography"/>
      </w:pPr>
      <w:r>
        <w:t xml:space="preserve">26.</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00">
        <w:r>
          <w:rPr>
            <w:rStyle w:val="Hyperlink"/>
          </w:rPr>
          <w:t xml:space="preserve">https://arxiv.org/abs/2301.07695</w:t>
        </w:r>
      </w:hyperlink>
    </w:p>
    <w:bookmarkEnd w:id="101"/>
    <w:bookmarkStart w:id="103" w:name="ref-ziletti2024"/>
    <w:p>
      <w:pPr>
        <w:pStyle w:val="Bibliography"/>
      </w:pPr>
      <w:r>
        <w:t xml:space="preserve">27.</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02">
        <w:r>
          <w:rPr>
            <w:rStyle w:val="Hyperlink"/>
          </w:rPr>
          <w:t xml:space="preserve">https://arxiv.org/abs/2403.09226</w:t>
        </w:r>
      </w:hyperlink>
    </w:p>
    <w:bookmarkEnd w:id="103"/>
    <w:bookmarkStart w:id="105" w:name="ref-mosqueirarey2023"/>
    <w:p>
      <w:pPr>
        <w:pStyle w:val="Bibliography"/>
      </w:pPr>
      <w:r>
        <w:t xml:space="preserve">28.</w:t>
      </w:r>
      <w:r>
        <w:t xml:space="preserve"> </w:t>
      </w:r>
      <w:r>
        <w:t xml:space="preserve">	</w:t>
      </w:r>
      <w:r>
        <w:t xml:space="preserve">Mosqueira-Rey E et al. Human-in-the-loop machine learning: A state of the art. Artificial Intelligence Review [Internet]. 2023;56:3005–54. Available from:</w:t>
      </w:r>
      <w:r>
        <w:t xml:space="preserve"> </w:t>
      </w:r>
      <w:hyperlink r:id="rId104">
        <w:r>
          <w:rPr>
            <w:rStyle w:val="Hyperlink"/>
          </w:rPr>
          <w:t xml:space="preserve">https://link.springer.com/content/pdf/10.1007/s10462-022-10246-w.pdf</w:t>
        </w:r>
      </w:hyperlink>
    </w:p>
    <w:bookmarkEnd w:id="105"/>
    <w:bookmarkStart w:id="107" w:name="ref-benbya2004"/>
    <w:p>
      <w:pPr>
        <w:pStyle w:val="Bibliography"/>
      </w:pPr>
      <w:r>
        <w:t xml:space="preserve">29.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06">
        <w:r>
          <w:rPr>
            <w:rStyle w:val="Hyperlink"/>
          </w:rPr>
          <w:t xml:space="preserve">https://doi.org/10.1016/j.ijinfomgt.2003.12.012</w:t>
        </w:r>
      </w:hyperlink>
    </w:p>
    <w:bookmarkEnd w:id="107"/>
    <w:bookmarkStart w:id="109" w:name="ref-whittaker2008"/>
    <w:p>
      <w:pPr>
        <w:pStyle w:val="Bibliography"/>
      </w:pPr>
      <w:r>
        <w:t xml:space="preserve">30.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108">
        <w:r>
          <w:rPr>
            <w:rStyle w:val="Hyperlink"/>
          </w:rPr>
          <w:t xml:space="preserve">https://www.academia.edu/download/41283190/Design_and_evaluation_of_systems_to_supp20160117-25708-98zc50.pdf</w:t>
        </w:r>
      </w:hyperlink>
    </w:p>
    <w:bookmarkEnd w:id="109"/>
    <w:bookmarkStart w:id="111" w:name="ref-himss2024news"/>
    <w:p>
      <w:pPr>
        <w:pStyle w:val="Bibliography"/>
      </w:pPr>
      <w:r>
        <w:t xml:space="preserve">31.</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0">
        <w:r>
          <w:rPr>
            <w:rStyle w:val="Hyperlink"/>
          </w:rPr>
          <w:t xml:space="preserve">https://www.healthcareitnews.com/news/asia/himss24-apac-adoption-model-analytics-maturity-gets-facelift</w:t>
        </w:r>
      </w:hyperlink>
    </w:p>
    <w:bookmarkEnd w:id="111"/>
    <w:bookmarkStart w:id="113" w:name="ref-health2020"/>
    <w:p>
      <w:pPr>
        <w:pStyle w:val="Bibliography"/>
      </w:pPr>
      <w:r>
        <w:t xml:space="preserve">32.</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12">
        <w:r>
          <w:rPr>
            <w:rStyle w:val="Hyperlink"/>
          </w:rPr>
          <w:t xml:space="preserve">https://www.healthcatalyst.com/learn/insights/healthcare-analytics-adoption-model-roadmap-analytic-maturity</w:t>
        </w:r>
      </w:hyperlink>
    </w:p>
    <w:bookmarkEnd w:id="113"/>
    <w:bookmarkStart w:id="115" w:name="ref-snowdon2024"/>
    <w:p>
      <w:pPr>
        <w:pStyle w:val="Bibliography"/>
      </w:pPr>
      <w:r>
        <w:t xml:space="preserve">33.</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14">
        <w:r>
          <w:rPr>
            <w:rStyle w:val="Hyperlink"/>
          </w:rPr>
          <w:t xml:space="preserve">https://www.jmir.org/2024/1/e56316</w:t>
        </w:r>
      </w:hyperlink>
    </w:p>
    <w:bookmarkEnd w:id="115"/>
    <w:bookmarkStart w:id="117" w:name="ref-yang2021"/>
    <w:p>
      <w:pPr>
        <w:pStyle w:val="Bibliography"/>
      </w:pPr>
      <w:r>
        <w:t xml:space="preserve">34.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116">
        <w:r>
          <w:rPr>
            <w:rStyle w:val="Hyperlink"/>
          </w:rPr>
          <w:t xml:space="preserve">https://jamanetwork.com/journals/jamanetworkopen/fullarticle/2777777</w:t>
        </w:r>
      </w:hyperlink>
    </w:p>
    <w:bookmarkEnd w:id="117"/>
    <w:bookmarkStart w:id="119" w:name="ref-oracle2024"/>
    <w:p>
      <w:pPr>
        <w:pStyle w:val="Bibliography"/>
      </w:pPr>
      <w:r>
        <w:t xml:space="preserve">35.</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18">
        <w:r>
          <w:rPr>
            <w:rStyle w:val="Hyperlink"/>
          </w:rPr>
          <w:t xml:space="preserve">https://www.oracle.com/human-capital-management/cost-employee-turnover-healthcare/</w:t>
        </w:r>
      </w:hyperlink>
    </w:p>
    <w:bookmarkEnd w:id="119"/>
    <w:bookmarkStart w:id="121" w:name="ref-nsi2025"/>
    <w:p>
      <w:pPr>
        <w:pStyle w:val="Bibliography"/>
      </w:pPr>
      <w:r>
        <w:t xml:space="preserve">36.</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0">
        <w:r>
          <w:rPr>
            <w:rStyle w:val="Hyperlink"/>
          </w:rPr>
          <w:t xml:space="preserve">https://www.nsinursingsolutions.com/documents/library/nsi_national_health_care_retention_report.pdf</w:t>
        </w:r>
      </w:hyperlink>
    </w:p>
    <w:bookmarkEnd w:id="121"/>
    <w:bookmarkStart w:id="123" w:name="ref-konrad2022"/>
    <w:p>
      <w:pPr>
        <w:pStyle w:val="Bibliography"/>
      </w:pPr>
      <w:r>
        <w:t xml:space="preserve">37.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122">
        <w:r>
          <w:rPr>
            <w:rStyle w:val="Hyperlink"/>
          </w:rPr>
          <w:t xml:space="preserve">https://www.diva-portal.org/smash/record.jsf?pid=diva2:1684142</w:t>
        </w:r>
      </w:hyperlink>
    </w:p>
    <w:bookmarkEnd w:id="123"/>
    <w:bookmarkStart w:id="125" w:name="ref-dadi2025"/>
    <w:p>
      <w:pPr>
        <w:pStyle w:val="Bibliography"/>
      </w:pPr>
      <w:r>
        <w:t xml:space="preserve">38.</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24">
        <w:r>
          <w:rPr>
            <w:rStyle w:val="Hyperlink"/>
          </w:rPr>
          <w:t xml:space="preserve">https://al-kindipublisher.com/index.php/jcsts/article/view/9694</w:t>
        </w:r>
      </w:hyperlink>
    </w:p>
    <w:bookmarkEnd w:id="125"/>
    <w:bookmarkStart w:id="127" w:name="ref-yang2025"/>
    <w:p>
      <w:pPr>
        <w:pStyle w:val="Bibliography"/>
      </w:pPr>
      <w:r>
        <w:t xml:space="preserve">39.</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126">
        <w:r>
          <w:rPr>
            <w:rStyle w:val="Hyperlink"/>
          </w:rPr>
          <w:t xml:space="preserve">https://bioinform.jmir.org/2025/1/e63139</w:t>
        </w:r>
      </w:hyperlink>
    </w:p>
    <w:bookmarkEnd w:id="127"/>
    <w:bookmarkStart w:id="129" w:name="ref-marshan2024"/>
    <w:p>
      <w:pPr>
        <w:pStyle w:val="Bibliography"/>
      </w:pPr>
      <w:r>
        <w:t xml:space="preserve">40.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28">
        <w:r>
          <w:rPr>
            <w:rStyle w:val="Hyperlink"/>
          </w:rPr>
          <w:t xml:space="preserve">https://www.frontiersin.org/articles/10.3389/fdata.2024.1371680</w:t>
        </w:r>
      </w:hyperlink>
    </w:p>
    <w:bookmarkEnd w:id="129"/>
    <w:bookmarkStart w:id="131" w:name="ref-mannapur2025"/>
    <w:p>
      <w:pPr>
        <w:pStyle w:val="Bibliography"/>
      </w:pPr>
      <w:r>
        <w:t xml:space="preserve">41.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130">
        <w:r>
          <w:rPr>
            <w:rStyle w:val="Hyperlink"/>
          </w:rPr>
          <w:t xml:space="preserve">https://www.quantbeckman.com/api/v1/file/5b240742-bf0d-4f8c-a0f9-cb29fab42611.pdf</w:t>
        </w:r>
      </w:hyperlink>
    </w:p>
    <w:bookmarkEnd w:id="131"/>
    <w:bookmarkStart w:id="133" w:name="ref-battula2025"/>
    <w:p>
      <w:pPr>
        <w:pStyle w:val="Bibliography"/>
      </w:pPr>
      <w:r>
        <w:t xml:space="preserve">42.</w:t>
      </w:r>
      <w:r>
        <w:t xml:space="preserve"> </w:t>
      </w:r>
      <w:r>
        <w:t xml:space="preserve">	</w:t>
      </w:r>
      <w:r>
        <w:t xml:space="preserve">Battula SKY.</w:t>
      </w:r>
      <w:r>
        <w:t xml:space="preserve"> </w:t>
      </w:r>
      <w:hyperlink r:id="rId132">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133"/>
    <w:bookmarkStart w:id="135" w:name="ref-alukal2006"/>
    <w:p>
      <w:pPr>
        <w:pStyle w:val="Bibliography"/>
      </w:pPr>
      <w:r>
        <w:t xml:space="preserve">43.</w:t>
      </w:r>
      <w:r>
        <w:t xml:space="preserve"> </w:t>
      </w:r>
      <w:r>
        <w:t xml:space="preserve">	</w:t>
      </w:r>
      <w:r>
        <w:t xml:space="preserve">Alukal VG, Manos A. Lean kaizen: A simplified approach to process improvement [Internet]. Milwaukee, WI: ASQ Quality Press; 2006. Available from:</w:t>
      </w:r>
      <w:r>
        <w:t xml:space="preserve"> </w:t>
      </w:r>
      <w:hyperlink r:id="rId134">
        <w:r>
          <w:rPr>
            <w:rStyle w:val="Hyperlink"/>
          </w:rPr>
          <w:t xml:space="preserve">https://books.google.com/books?id=9uqiEAAAQBAJ</w:t>
        </w:r>
      </w:hyperlink>
    </w:p>
    <w:bookmarkEnd w:id="135"/>
    <w:bookmarkStart w:id="137" w:name="ref-himss2025ucdavis"/>
    <w:p>
      <w:pPr>
        <w:pStyle w:val="Bibliography"/>
      </w:pPr>
      <w:r>
        <w:t xml:space="preserve">44.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136">
        <w:r>
          <w:rPr>
            <w:rStyle w:val="Hyperlink"/>
          </w:rPr>
          <w:t xml:space="preserve">https://pages.himss.org/LP-HA-Case-Study-UC-Davis.html</w:t>
        </w:r>
      </w:hyperlink>
    </w:p>
    <w:bookmarkEnd w:id="137"/>
    <w:bookmarkStart w:id="139" w:name="ref-ipeirotis2025"/>
    <w:p>
      <w:pPr>
        <w:pStyle w:val="Bibliography"/>
      </w:pPr>
      <w:r>
        <w:t xml:space="preserve">45.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38">
        <w:r>
          <w:rPr>
            <w:rStyle w:val="Hyperlink"/>
          </w:rPr>
          <w:t xml:space="preserve">https://arxiv.org/abs/2511.14718</w:t>
        </w:r>
      </w:hyperlink>
    </w:p>
    <w:bookmarkEnd w:id="139"/>
    <w:bookmarkStart w:id="141" w:name="ref-ibm2022"/>
    <w:p>
      <w:pPr>
        <w:pStyle w:val="Bibliography"/>
      </w:pPr>
      <w:r>
        <w:t xml:space="preserve">46.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40">
        <w:r>
          <w:rPr>
            <w:rStyle w:val="Hyperlink"/>
          </w:rPr>
          <w:t xml:space="preserve">https://newsroom.ibm.com/2022-01-21-Francisco-Partners-to-Acquire-IBMs-Healthcare-Data-and-Analytics-Assets</w:t>
        </w:r>
      </w:hyperlink>
    </w:p>
    <w:bookmarkEnd w:id="141"/>
    <w:bookmarkStart w:id="143" w:name="ref-strickland2019"/>
    <w:p>
      <w:pPr>
        <w:pStyle w:val="Bibliography"/>
      </w:pPr>
      <w:r>
        <w:t xml:space="preserve">47.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142">
        <w:r>
          <w:rPr>
            <w:rStyle w:val="Hyperlink"/>
          </w:rPr>
          <w:t xml:space="preserve">https://ieeexplore.ieee.org/abstract/document/8678513/</w:t>
        </w:r>
      </w:hyperlink>
    </w:p>
    <w:bookmarkEnd w:id="143"/>
    <w:bookmarkStart w:id="145" w:name="ref-lavito2021"/>
    <w:p>
      <w:pPr>
        <w:pStyle w:val="Bibliography"/>
      </w:pPr>
      <w:r>
        <w:t xml:space="preserve">48.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44">
        <w:r>
          <w:rPr>
            <w:rStyle w:val="Hyperlink"/>
          </w:rPr>
          <w:t xml:space="preserve">https://www.cnbc.com/2021/01/04/haven-the-amazon-berkshire-jpmorgan-venture-to-disrupt-healthcare-is-disbanding-after-3-years.html</w:t>
        </w:r>
      </w:hyperlink>
    </w:p>
    <w:bookmarkEnd w:id="145"/>
    <w:bookmarkStart w:id="147" w:name="ref-acchiardo2021"/>
    <w:p>
      <w:pPr>
        <w:pStyle w:val="Bibliography"/>
      </w:pPr>
      <w:r>
        <w:t xml:space="preserve">49.</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146">
        <w:r>
          <w:rPr>
            <w:rStyle w:val="Hyperlink"/>
          </w:rPr>
          <w:t xml:space="preserve">https://www.academicradiology.org/article/S1076-6332(21)00140-9/abstract</w:t>
        </w:r>
      </w:hyperlink>
    </w:p>
    <w:bookmarkEnd w:id="147"/>
    <w:bookmarkStart w:id="149" w:name="ref-yang2020"/>
    <w:p>
      <w:pPr>
        <w:pStyle w:val="Bibliography"/>
      </w:pPr>
      <w:r>
        <w:t xml:space="preserve">50.</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148">
        <w:r>
          <w:rPr>
            <w:rStyle w:val="Hyperlink"/>
          </w:rPr>
          <w:t xml:space="preserve">https://oulurepo.oulu.fi/bitstream/handle/10024/27921/nbnfi-fe2020050424858.pdf</w:t>
        </w:r>
      </w:hyperlink>
    </w:p>
    <w:bookmarkEnd w:id="149"/>
    <w:bookmarkEnd w:id="150"/>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hyperlink" Id="rId56" Target="https://academic.oup.com/jpart/advance-article-abstract/doi/10.1093/jopart/muaf019/8162522" TargetMode="External" /><Relationship Type="http://schemas.openxmlformats.org/officeDocument/2006/relationships/hyperlink" Id="rId62" Target="https://academic.oup.com/jpubhealth" TargetMode="External" /><Relationship Type="http://schemas.openxmlformats.org/officeDocument/2006/relationships/hyperlink" Id="rId124" Target="https://al-kindipublisher.com/index.php/jcsts/article/view/9694" TargetMode="External" /><Relationship Type="http://schemas.openxmlformats.org/officeDocument/2006/relationships/hyperlink" Id="rId58" Target="https://api.wittkieffer.com/wp-content/uploads/2012/10/cio-insights-the-state-of-healthcare-it-leadership-wittkieffer-october-2024.pdf" TargetMode="External" /><Relationship Type="http://schemas.openxmlformats.org/officeDocument/2006/relationships/hyperlink" Id="rId68" Target="https://arxiv.org/abs/1908.01839" TargetMode="External" /><Relationship Type="http://schemas.openxmlformats.org/officeDocument/2006/relationships/hyperlink" Id="rId100" Target="https://arxiv.org/abs/2301.07695" TargetMode="External" /><Relationship Type="http://schemas.openxmlformats.org/officeDocument/2006/relationships/hyperlink" Id="rId102" Target="https://arxiv.org/abs/2403.09226" TargetMode="External" /><Relationship Type="http://schemas.openxmlformats.org/officeDocument/2006/relationships/hyperlink" Id="rId138" Target="https://arxiv.org/abs/2511.14718" TargetMode="External" /><Relationship Type="http://schemas.openxmlformats.org/officeDocument/2006/relationships/hyperlink" Id="rId126" Target="https://bioinform.jmir.org/2025/1/e63139" TargetMode="External" /><Relationship Type="http://schemas.openxmlformats.org/officeDocument/2006/relationships/hyperlink" Id="rId134" Target="https://books.google.com/books?id=9uqiEAAAQBAJ" TargetMode="External" /><Relationship Type="http://schemas.openxmlformats.org/officeDocument/2006/relationships/hyperlink" Id="rId74" Target="https://dl.acm.org/doi/10.1145/1017114.1017118" TargetMode="External" /><Relationship Type="http://schemas.openxmlformats.org/officeDocument/2006/relationships/hyperlink" Id="rId106" Target="https://doi.org/10.1016/j.ijinfomgt.2003.12.012" TargetMode="External" /><Relationship Type="http://schemas.openxmlformats.org/officeDocument/2006/relationships/hyperlink" Id="rId90" Target="https://doi.org/10.1108/JKM-08-2016-0338" TargetMode="External" /><Relationship Type="http://schemas.openxmlformats.org/officeDocument/2006/relationships/hyperlink" Id="rId132" Target="https://doi.org/10.63282/3050-9262.IJAIDSML-V6I4P130" TargetMode="External" /><Relationship Type="http://schemas.openxmlformats.org/officeDocument/2006/relationships/hyperlink" Id="rId80" Target="https://dspace.flinders.edu.au/jspui/bitstream/2328/3326/4/AACODS_Checklist.pdf" TargetMode="External" /><Relationship Type="http://schemas.openxmlformats.org/officeDocument/2006/relationships/hyperlink" Id="rId76" Target="https://human-resources-health.biomedcentral.com/articles/10.1186/1478-4491-11-35" TargetMode="External" /><Relationship Type="http://schemas.openxmlformats.org/officeDocument/2006/relationships/hyperlink" Id="rId142" Target="https://ieeexplore.ieee.org/abstract/document/8678513/"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04" Target="https://link.springer.com/content/pdf/10.1007/s10462-022-10246-w.pdf" TargetMode="External" /><Relationship Type="http://schemas.openxmlformats.org/officeDocument/2006/relationships/hyperlink" Id="rId140" Target="https://newsroom.ibm.com/2022-01-21-Francisco-Partners-to-Acquire-IBMs-Healthcare-Data-and-Analytics-Assets" TargetMode="External" /><Relationship Type="http://schemas.openxmlformats.org/officeDocument/2006/relationships/hyperlink" Id="rId70" Target="https://onlinelibrary.wiley.com/doi/abs/10.1057/palgrave.emr.1500057" TargetMode="External" /><Relationship Type="http://schemas.openxmlformats.org/officeDocument/2006/relationships/hyperlink" Id="rId94" Target="https://onlinelibrary.wiley.com/doi/abs/10.1111/j.1540-5885.2010.00798.x" TargetMode="External" /><Relationship Type="http://schemas.openxmlformats.org/officeDocument/2006/relationships/hyperlink" Id="rId148" Target="https://oulurepo.oulu.fi/bitstream/handle/10024/27921/nbnfi-fe2020050424858.pdf" TargetMode="External" /><Relationship Type="http://schemas.openxmlformats.org/officeDocument/2006/relationships/hyperlink" Id="rId136" Target="https://pages.himss.org/LP-HA-Case-Study-UC-Davis.html" TargetMode="External" /><Relationship Type="http://schemas.openxmlformats.org/officeDocument/2006/relationships/hyperlink" Id="rId86" Target="https://pmc.ncbi.nlm.nih.gov/articles/PMC10802134/" TargetMode="External" /><Relationship Type="http://schemas.openxmlformats.org/officeDocument/2006/relationships/hyperlink" Id="rId88" Target="https://pmc.ncbi.nlm.nih.gov/articles/PMC11919231/" TargetMode="External" /><Relationship Type="http://schemas.openxmlformats.org/officeDocument/2006/relationships/hyperlink" Id="rId78" Target="https://pubmed.ncbi.nlm.nih.gov/20054502/" TargetMode="External" /><Relationship Type="http://schemas.openxmlformats.org/officeDocument/2006/relationships/hyperlink" Id="rId98" Target="https://wendyju.com/publications/18_ijee3593.pdf" TargetMode="External" /><Relationship Type="http://schemas.openxmlformats.org/officeDocument/2006/relationships/hyperlink" Id="rId108" Target="https://www.academia.edu/download/41283190/Design_and_evaluation_of_systems_to_supp20160117-25708-98zc50.pdf" TargetMode="External" /><Relationship Type="http://schemas.openxmlformats.org/officeDocument/2006/relationships/hyperlink" Id="rId146" Target="https://www.academicradiology.org/article/S1076-6332(21)00140-9/abstract" TargetMode="External" /><Relationship Type="http://schemas.openxmlformats.org/officeDocument/2006/relationships/hyperlink" Id="rId64" Target="https://www.ahima.org/news-publications/press-room-press-releases/2023-press-releases/health-information-workforce-shortages-persist-as-ai-shows-promise-ahima-survey-reveals/" TargetMode="External" /><Relationship Type="http://schemas.openxmlformats.org/officeDocument/2006/relationships/hyperlink" Id="rId144" Target="https://www.cnbc.com/2021/01/04/haven-the-amazon-berkshire-jpmorgan-venture-to-disrupt-healthcare-is-disbanding-after-3-years.html" TargetMode="External" /><Relationship Type="http://schemas.openxmlformats.org/officeDocument/2006/relationships/hyperlink" Id="rId122" Target="https://www.diva-portal.org/smash/record.jsf?pid=diva2:1684142" TargetMode="External" /><Relationship Type="http://schemas.openxmlformats.org/officeDocument/2006/relationships/hyperlink" Id="rId96" Target="https://www.emerald.com/insight/content/doi/10.1108/13673270610650067/full/html" TargetMode="External" /><Relationship Type="http://schemas.openxmlformats.org/officeDocument/2006/relationships/hyperlink" Id="rId92" Target="https://www.emerald.com/insight/content/doi/10.1108/JKM-03-2024-0262/full/html" TargetMode="External" /><Relationship Type="http://schemas.openxmlformats.org/officeDocument/2006/relationships/hyperlink" Id="rId128" Target="https://www.frontiersin.org/articles/10.3389/fdata.2024.1371680" TargetMode="External" /><Relationship Type="http://schemas.openxmlformats.org/officeDocument/2006/relationships/hyperlink" Id="rId82" Target="https://www.frontiersin.org/articles/10.3389/fpsyg.2019.02730"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51" Target="https://www.himss.org/maturity-models/amam/" TargetMode="External" /><Relationship Type="http://schemas.openxmlformats.org/officeDocument/2006/relationships/hyperlink" Id="rId60" Target="https://www.himss.org/resources/the-future-of-workforce/" TargetMode="External" /><Relationship Type="http://schemas.openxmlformats.org/officeDocument/2006/relationships/hyperlink" Id="rId114" Target="https://www.jmir.org/2024/1/e56316" TargetMode="External" /><Relationship Type="http://schemas.openxmlformats.org/officeDocument/2006/relationships/hyperlink" Id="rId120" Target="https://www.nsinursingsolutions.com/documents/library/nsi_national_health_care_retention_report.pdf" TargetMode="External" /><Relationship Type="http://schemas.openxmlformats.org/officeDocument/2006/relationships/hyperlink" Id="rId53" Target="https://www.nyulawreview.org/issues/volume-94-number-4/data-standardization/" TargetMode="External" /><Relationship Type="http://schemas.openxmlformats.org/officeDocument/2006/relationships/hyperlink" Id="rId118" Target="https://www.oracle.com/human-capital-management/cost-employee-turnover-healthcare/" TargetMode="External" /><Relationship Type="http://schemas.openxmlformats.org/officeDocument/2006/relationships/hyperlink" Id="rId130" Target="https://www.quantbeckman.com/api/v1/file/5b240742-bf0d-4f8c-a0f9-cb29fab42611.pdf" TargetMode="External" /><Relationship Type="http://schemas.openxmlformats.org/officeDocument/2006/relationships/hyperlink" Id="rId72" Target="https://www.redjournal.org/article/S0360-3016(16)00260-1/fulltext" TargetMode="External" /><Relationship Type="http://schemas.openxmlformats.org/officeDocument/2006/relationships/hyperlink" Id="rId66" Target="https://www.sciencedirect.com/science/article/abs/pii/S0040162516000500" TargetMode="External" /><Relationship Type="http://schemas.openxmlformats.org/officeDocument/2006/relationships/hyperlink" Id="rId84"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56" Target="https://academic.oup.com/jpart/advance-article-abstract/doi/10.1093/jopart/muaf019/8162522" TargetMode="External" /><Relationship Type="http://schemas.openxmlformats.org/officeDocument/2006/relationships/hyperlink" Id="rId62" Target="https://academic.oup.com/jpubhealth" TargetMode="External" /><Relationship Type="http://schemas.openxmlformats.org/officeDocument/2006/relationships/hyperlink" Id="rId124" Target="https://al-kindipublisher.com/index.php/jcsts/article/view/9694" TargetMode="External" /><Relationship Type="http://schemas.openxmlformats.org/officeDocument/2006/relationships/hyperlink" Id="rId58" Target="https://api.wittkieffer.com/wp-content/uploads/2012/10/cio-insights-the-state-of-healthcare-it-leadership-wittkieffer-october-2024.pdf" TargetMode="External" /><Relationship Type="http://schemas.openxmlformats.org/officeDocument/2006/relationships/hyperlink" Id="rId68" Target="https://arxiv.org/abs/1908.01839" TargetMode="External" /><Relationship Type="http://schemas.openxmlformats.org/officeDocument/2006/relationships/hyperlink" Id="rId100" Target="https://arxiv.org/abs/2301.07695" TargetMode="External" /><Relationship Type="http://schemas.openxmlformats.org/officeDocument/2006/relationships/hyperlink" Id="rId102" Target="https://arxiv.org/abs/2403.09226" TargetMode="External" /><Relationship Type="http://schemas.openxmlformats.org/officeDocument/2006/relationships/hyperlink" Id="rId138" Target="https://arxiv.org/abs/2511.14718" TargetMode="External" /><Relationship Type="http://schemas.openxmlformats.org/officeDocument/2006/relationships/hyperlink" Id="rId126" Target="https://bioinform.jmir.org/2025/1/e63139" TargetMode="External" /><Relationship Type="http://schemas.openxmlformats.org/officeDocument/2006/relationships/hyperlink" Id="rId134" Target="https://books.google.com/books?id=9uqiEAAAQBAJ" TargetMode="External" /><Relationship Type="http://schemas.openxmlformats.org/officeDocument/2006/relationships/hyperlink" Id="rId74" Target="https://dl.acm.org/doi/10.1145/1017114.1017118" TargetMode="External" /><Relationship Type="http://schemas.openxmlformats.org/officeDocument/2006/relationships/hyperlink" Id="rId106" Target="https://doi.org/10.1016/j.ijinfomgt.2003.12.012" TargetMode="External" /><Relationship Type="http://schemas.openxmlformats.org/officeDocument/2006/relationships/hyperlink" Id="rId90" Target="https://doi.org/10.1108/JKM-08-2016-0338" TargetMode="External" /><Relationship Type="http://schemas.openxmlformats.org/officeDocument/2006/relationships/hyperlink" Id="rId132" Target="https://doi.org/10.63282/3050-9262.IJAIDSML-V6I4P130" TargetMode="External" /><Relationship Type="http://schemas.openxmlformats.org/officeDocument/2006/relationships/hyperlink" Id="rId80" Target="https://dspace.flinders.edu.au/jspui/bitstream/2328/3326/4/AACODS_Checklist.pdf" TargetMode="External" /><Relationship Type="http://schemas.openxmlformats.org/officeDocument/2006/relationships/hyperlink" Id="rId76" Target="https://human-resources-health.biomedcentral.com/articles/10.1186/1478-4491-11-35" TargetMode="External" /><Relationship Type="http://schemas.openxmlformats.org/officeDocument/2006/relationships/hyperlink" Id="rId142" Target="https://ieeexplore.ieee.org/abstract/document/8678513/"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04" Target="https://link.springer.com/content/pdf/10.1007/s10462-022-10246-w.pdf" TargetMode="External" /><Relationship Type="http://schemas.openxmlformats.org/officeDocument/2006/relationships/hyperlink" Id="rId140" Target="https://newsroom.ibm.com/2022-01-21-Francisco-Partners-to-Acquire-IBMs-Healthcare-Data-and-Analytics-Assets" TargetMode="External" /><Relationship Type="http://schemas.openxmlformats.org/officeDocument/2006/relationships/hyperlink" Id="rId70" Target="https://onlinelibrary.wiley.com/doi/abs/10.1057/palgrave.emr.1500057" TargetMode="External" /><Relationship Type="http://schemas.openxmlformats.org/officeDocument/2006/relationships/hyperlink" Id="rId94" Target="https://onlinelibrary.wiley.com/doi/abs/10.1111/j.1540-5885.2010.00798.x" TargetMode="External" /><Relationship Type="http://schemas.openxmlformats.org/officeDocument/2006/relationships/hyperlink" Id="rId148" Target="https://oulurepo.oulu.fi/bitstream/handle/10024/27921/nbnfi-fe2020050424858.pdf" TargetMode="External" /><Relationship Type="http://schemas.openxmlformats.org/officeDocument/2006/relationships/hyperlink" Id="rId136" Target="https://pages.himss.org/LP-HA-Case-Study-UC-Davis.html" TargetMode="External" /><Relationship Type="http://schemas.openxmlformats.org/officeDocument/2006/relationships/hyperlink" Id="rId86" Target="https://pmc.ncbi.nlm.nih.gov/articles/PMC10802134/" TargetMode="External" /><Relationship Type="http://schemas.openxmlformats.org/officeDocument/2006/relationships/hyperlink" Id="rId88" Target="https://pmc.ncbi.nlm.nih.gov/articles/PMC11919231/" TargetMode="External" /><Relationship Type="http://schemas.openxmlformats.org/officeDocument/2006/relationships/hyperlink" Id="rId78" Target="https://pubmed.ncbi.nlm.nih.gov/20054502/" TargetMode="External" /><Relationship Type="http://schemas.openxmlformats.org/officeDocument/2006/relationships/hyperlink" Id="rId98" Target="https://wendyju.com/publications/18_ijee3593.pdf" TargetMode="External" /><Relationship Type="http://schemas.openxmlformats.org/officeDocument/2006/relationships/hyperlink" Id="rId108" Target="https://www.academia.edu/download/41283190/Design_and_evaluation_of_systems_to_supp20160117-25708-98zc50.pdf" TargetMode="External" /><Relationship Type="http://schemas.openxmlformats.org/officeDocument/2006/relationships/hyperlink" Id="rId146" Target="https://www.academicradiology.org/article/S1076-6332(21)00140-9/abstract" TargetMode="External" /><Relationship Type="http://schemas.openxmlformats.org/officeDocument/2006/relationships/hyperlink" Id="rId64" Target="https://www.ahima.org/news-publications/press-room-press-releases/2023-press-releases/health-information-workforce-shortages-persist-as-ai-shows-promise-ahima-survey-reveals/" TargetMode="External" /><Relationship Type="http://schemas.openxmlformats.org/officeDocument/2006/relationships/hyperlink" Id="rId144" Target="https://www.cnbc.com/2021/01/04/haven-the-amazon-berkshire-jpmorgan-venture-to-disrupt-healthcare-is-disbanding-after-3-years.html" TargetMode="External" /><Relationship Type="http://schemas.openxmlformats.org/officeDocument/2006/relationships/hyperlink" Id="rId122" Target="https://www.diva-portal.org/smash/record.jsf?pid=diva2:1684142" TargetMode="External" /><Relationship Type="http://schemas.openxmlformats.org/officeDocument/2006/relationships/hyperlink" Id="rId96" Target="https://www.emerald.com/insight/content/doi/10.1108/13673270610650067/full/html" TargetMode="External" /><Relationship Type="http://schemas.openxmlformats.org/officeDocument/2006/relationships/hyperlink" Id="rId92" Target="https://www.emerald.com/insight/content/doi/10.1108/JKM-03-2024-0262/full/html" TargetMode="External" /><Relationship Type="http://schemas.openxmlformats.org/officeDocument/2006/relationships/hyperlink" Id="rId128" Target="https://www.frontiersin.org/articles/10.3389/fdata.2024.1371680" TargetMode="External" /><Relationship Type="http://schemas.openxmlformats.org/officeDocument/2006/relationships/hyperlink" Id="rId82" Target="https://www.frontiersin.org/articles/10.3389/fpsyg.2019.02730"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51" Target="https://www.himss.org/maturity-models/amam/" TargetMode="External" /><Relationship Type="http://schemas.openxmlformats.org/officeDocument/2006/relationships/hyperlink" Id="rId60" Target="https://www.himss.org/resources/the-future-of-workforce/" TargetMode="External" /><Relationship Type="http://schemas.openxmlformats.org/officeDocument/2006/relationships/hyperlink" Id="rId114" Target="https://www.jmir.org/2024/1/e56316" TargetMode="External" /><Relationship Type="http://schemas.openxmlformats.org/officeDocument/2006/relationships/hyperlink" Id="rId120" Target="https://www.nsinursingsolutions.com/documents/library/nsi_national_health_care_retention_report.pdf" TargetMode="External" /><Relationship Type="http://schemas.openxmlformats.org/officeDocument/2006/relationships/hyperlink" Id="rId53" Target="https://www.nyulawreview.org/issues/volume-94-number-4/data-standardization/" TargetMode="External" /><Relationship Type="http://schemas.openxmlformats.org/officeDocument/2006/relationships/hyperlink" Id="rId118" Target="https://www.oracle.com/human-capital-management/cost-employee-turnover-healthcare/" TargetMode="External" /><Relationship Type="http://schemas.openxmlformats.org/officeDocument/2006/relationships/hyperlink" Id="rId130" Target="https://www.quantbeckman.com/api/v1/file/5b240742-bf0d-4f8c-a0f9-cb29fab42611.pdf" TargetMode="External" /><Relationship Type="http://schemas.openxmlformats.org/officeDocument/2006/relationships/hyperlink" Id="rId72" Target="https://www.redjournal.org/article/S0360-3016(16)00260-1/fulltext" TargetMode="External" /><Relationship Type="http://schemas.openxmlformats.org/officeDocument/2006/relationships/hyperlink" Id="rId66" Target="https://www.sciencedirect.com/science/article/abs/pii/S0040162516000500" TargetMode="External" /><Relationship Type="http://schemas.openxmlformats.org/officeDocument/2006/relationships/hyperlink" Id="rId84"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Mitigating Institutional Amnesia: A Design Science Framework for Socio-Technical Query Governance in Healthcare</dc:title>
  <dc:creator>Samuel T Harrold, Yuimedi, Inc.</dc:creator>
  <dc:language>en-US</dc:language>
  <cp:keywords>institutional amnesia, healthcare analytics, socio-technical systems, query governance, natural language to SQL, SECI model, workforce turnover, design science research</cp:keywords>
  <dcterms:created xsi:type="dcterms:W3CDTF">2026-01-22T19:28:36Z</dcterms:created>
  <dcterms:modified xsi:type="dcterms:W3CDTF">2026-01-22T19:28:36Z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a “Triple Threat” of low analytics maturity, high workforce instability, and semantic technical barriers. Recent data reveals a crisis of “Institutional Amnesia,” where 53% of healthcare CIOs have less than three years’ tenure and 55% of informatics specialists intend to leave their roles. This churn erases the tacit knowledge required to navigate complex clinical data schemas, trapping organizations in a cycle of low maturity.Objective: This article proposes a socio-technical framework to mitigate institutional amnesia by decoupling organizational analytical capability from individual staff tenure. We aim to answer the research question: How can health systems maintain analytics maturity when workforce turnover exceeds the speed of documentation?Methods: We employed a Design Science Research (DSR) approach, synthesizing evidence from healthcare informatics, knowledge management, and natural language processing. The framework is grounded in Nonaka’s SECI model of knowledge creation, reinterpreting “Socialization” vulnerabilities through the lens of workforce turnover data (2024-2025).Results: We present the “Human-in-the-Loop Semantic Governance” (HiL-SG) framework. This architecture functions as a socio-technical artifact that converts tacit domain expertise into explicit, executable “Validated Query Triples” (Natural Language + SQL + Rationale). By shifting the locus of knowledge from volatile human memory to durable semantic artifacts, the framework enables an “Analytics Resilience Index” (ARI) that measures an organization’s ability to sustain insights despite staff churn.Conclusions: The “Validator Paradox”—who validates the AI when experts leave?—is resolved by treating validation as “standard work” rather than eternal truth. By embedding knowledge capture into the daily workflow of query generation, healthcare systems can build a “knowledge ratchet” that prevents the regression of capabilities, ensuring that analytics maturity advances even as the workforce evolves.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2.1.0</vt:lpwstr>
  </property>
</Properties>
</file>