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(Socialization,</w:t>
      </w:r>
      <w:r>
        <w:t xml:space="preserve"> </w:t>
      </w:r>
      <w:r>
        <w:t xml:space="preserve">Externalization,</w:t>
      </w:r>
      <w:r>
        <w:t xml:space="preserve"> </w:t>
      </w:r>
      <w:r>
        <w:t xml:space="preserve">Combination,</w:t>
      </w:r>
      <w:r>
        <w:t xml:space="preserve"> </w:t>
      </w:r>
      <w:r>
        <w:t xml:space="preserve">Internalization)</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https://hdl.handle.net/10803/695722</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2026-07-11T12:30:33Z</dcterms:created>
  <dcterms:modified xsi:type="dcterms:W3CDTF">2026-07-11T12:30:33Z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