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~34%—the</w:t>
      </w:r>
      <w:r>
        <w:t xml:space="preserve"> </w:t>
      </w:r>
      <w:r>
        <w:t xml:space="preserve">highest</w:t>
      </w:r>
      <w:r>
        <w:t xml:space="preserve"> </w:t>
      </w:r>
      <w:r>
        <w:t xml:space="preserve">among</w:t>
      </w:r>
      <w:r>
        <w:t xml:space="preserve"> </w:t>
      </w:r>
      <w:r>
        <w:t xml:space="preserve">IT</w:t>
      </w:r>
      <w:r>
        <w:t xml:space="preserve"> </w:t>
      </w:r>
      <w:r>
        <w:t xml:space="preserve">sectors—creates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healthcare IT staff turnover of 34% [A10]—the highest among IT sectors—creates institutional memory loss with knowledge loss costs reaching three times annual salary budgets [A24].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functioning as healthcare knowledge portals [A25] that preserve institutional knowledge through encoded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2"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Healthcare IT staff turnover of 34% [A10]—the highest rate among all IT organization types studied—creates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Healthcare IT staff experience the highest turnover among IT sectors at 34% annually (calculated as 1/2.9 years average tenure), with average tenure of only 2.9 years—the lowest among IT sectors studied [A10]. This creates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contributions"/>
    <w:p>
      <w:pPr>
        <w:pStyle w:val="Heading2"/>
      </w:pPr>
      <w:r>
        <w:rPr>
          <w:rStyle w:val="SectionNumber"/>
        </w:rPr>
        <w:t xml:space="preserve">2.4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domains—healthcare analytics maturity, workforce turnover, and natural language processing—into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a unique strategic inflection point, transforming conversational AI from a convenience technology to a strategic imperative for institutional knowledge preservation.</w:t>
      </w:r>
    </w:p>
    <w:bookmarkEnd w:id="30"/>
    <w:bookmarkStart w:id="31" w:name="document-structure"/>
    <w:p>
      <w:pPr>
        <w:pStyle w:val="Heading2"/>
      </w:pPr>
      <w:r>
        <w:rPr>
          <w:rStyle w:val="SectionNumber"/>
        </w:rPr>
        <w:t xml:space="preserve">2.5</w:t>
      </w:r>
      <w:r>
        <w:tab/>
      </w:r>
      <w:r>
        <w:t xml:space="preserve">Document Structure</w:t>
      </w:r>
    </w:p>
    <w:p>
      <w:pPr>
        <w:pStyle w:val="FirstParagraph"/>
      </w:pPr>
      <w:r>
        <w:t xml:space="preserve">Following this introduction, the paper proceeds through six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1"/>
    <w:bookmarkEnd w:id="32"/>
    <w:bookmarkStart w:id="38" w:name="methodology"/>
    <w:p>
      <w:pPr>
        <w:pStyle w:val="Heading1"/>
      </w:pPr>
      <w:r>
        <w:rPr>
          <w:rStyle w:val="SectionNumber"/>
        </w:rPr>
        <w:t xml:space="preserve">3</w:t>
      </w:r>
      <w:r>
        <w:tab/>
      </w:r>
      <w:r>
        <w:t xml:space="preserve">Methodology</w:t>
      </w:r>
    </w:p>
    <w:bookmarkStart w:id="33"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5"/>
        </w:numPr>
      </w:pPr>
      <w:r>
        <w:t xml:space="preserve">PubMed/MEDLINE: Clinical informatics, healthcare workforce, medical administration</w:t>
      </w:r>
    </w:p>
    <w:p>
      <w:pPr>
        <w:pStyle w:val="Compact"/>
        <w:numPr>
          <w:ilvl w:val="0"/>
          <w:numId w:val="1005"/>
        </w:numPr>
      </w:pPr>
      <w:r>
        <w:t xml:space="preserve">IEEE Xplore and ACM Digital Library: Natural language to SQL, text-to-SQL systems</w:t>
      </w:r>
    </w:p>
    <w:p>
      <w:pPr>
        <w:pStyle w:val="Compact"/>
        <w:numPr>
          <w:ilvl w:val="0"/>
          <w:numId w:val="1005"/>
        </w:numPr>
      </w:pPr>
      <w:r>
        <w:t xml:space="preserve">arXiv: Machine learning and NLP preprints, benchmark studies</w:t>
      </w:r>
    </w:p>
    <w:p>
      <w:pPr>
        <w:pStyle w:val="Compact"/>
        <w:numPr>
          <w:ilvl w:val="0"/>
          <w:numId w:val="1005"/>
        </w:numPr>
      </w:pPr>
      <w:r>
        <w:t xml:space="preserve">Google Scholar: Cross-disciplinary search and citation tracing</w:t>
      </w:r>
    </w:p>
    <w:p>
      <w:pPr>
        <w:pStyle w:val="FirstParagraph"/>
      </w:pPr>
      <w:r>
        <w:rPr>
          <w:b/>
          <w:bCs/>
        </w:rPr>
        <w:t xml:space="preserve">Industry Sources:</w:t>
      </w:r>
    </w:p>
    <w:p>
      <w:pPr>
        <w:pStyle w:val="Compact"/>
        <w:numPr>
          <w:ilvl w:val="0"/>
          <w:numId w:val="1006"/>
        </w:numPr>
      </w:pPr>
      <w:r>
        <w:t xml:space="preserve">HIMSS publications and Analytics Maturity Model documentation</w:t>
      </w:r>
    </w:p>
    <w:p>
      <w:pPr>
        <w:pStyle w:val="Compact"/>
        <w:numPr>
          <w:ilvl w:val="0"/>
          <w:numId w:val="1006"/>
        </w:numPr>
      </w:pPr>
      <w:r>
        <w:t xml:space="preserve">Healthcare IT vendor case studies and implementation reports</w:t>
      </w:r>
    </w:p>
    <w:p>
      <w:pPr>
        <w:pStyle w:val="Compact"/>
        <w:numPr>
          <w:ilvl w:val="0"/>
          <w:numId w:val="1006"/>
        </w:numPr>
      </w:pPr>
      <w:r>
        <w:t xml:space="preserve">Market research reports (Precedence Research, Forrester)</w:t>
      </w:r>
    </w:p>
    <w:p>
      <w:pPr>
        <w:pStyle w:val="Compact"/>
        <w:numPr>
          <w:ilvl w:val="0"/>
          <w:numId w:val="1006"/>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bookmarkEnd w:id="34"/>
    <w:bookmarkStart w:id="35"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7"/>
        </w:numPr>
      </w:pPr>
      <w:r>
        <w:t xml:space="preserve">Peer-reviewed publications in healthcare informatics, medical informatics, computer science, or health services research</w:t>
      </w:r>
    </w:p>
    <w:p>
      <w:pPr>
        <w:pStyle w:val="Compact"/>
        <w:numPr>
          <w:ilvl w:val="0"/>
          <w:numId w:val="1007"/>
        </w:numPr>
      </w:pPr>
      <w:r>
        <w:t xml:space="preserve">Industry reports from established healthcare IT organizations (HIMSS, AHIMA, AMIA)</w:t>
      </w:r>
    </w:p>
    <w:p>
      <w:pPr>
        <w:pStyle w:val="Compact"/>
        <w:numPr>
          <w:ilvl w:val="0"/>
          <w:numId w:val="1007"/>
        </w:numPr>
      </w:pPr>
      <w:r>
        <w:t xml:space="preserve">Publications from 2015-2024, with emphasis on 2020-2024 for rapidly evolving NL2SQL technologies</w:t>
      </w:r>
    </w:p>
    <w:p>
      <w:pPr>
        <w:pStyle w:val="Compact"/>
        <w:numPr>
          <w:ilvl w:val="0"/>
          <w:numId w:val="1007"/>
        </w:numPr>
      </w:pPr>
      <w:r>
        <w:t xml:space="preserve">English language publications</w:t>
      </w:r>
    </w:p>
    <w:p>
      <w:pPr>
        <w:pStyle w:val="Compact"/>
        <w:numPr>
          <w:ilvl w:val="0"/>
          <w:numId w:val="1007"/>
        </w:numPr>
      </w:pPr>
      <w:r>
        <w:t xml:space="preserve">Sources with verifiable DOIs, URLs, or institutional attribution</w:t>
      </w:r>
    </w:p>
    <w:p>
      <w:pPr>
        <w:pStyle w:val="FirstParagraph"/>
      </w:pPr>
      <w:r>
        <w:rPr>
          <w:b/>
          <w:bCs/>
        </w:rPr>
        <w:t xml:space="preserve">Exclusion Criteria:</w:t>
      </w:r>
    </w:p>
    <w:p>
      <w:pPr>
        <w:pStyle w:val="Compact"/>
        <w:numPr>
          <w:ilvl w:val="0"/>
          <w:numId w:val="1008"/>
        </w:numPr>
      </w:pPr>
      <w:r>
        <w:t xml:space="preserve">Sources without verifiable attribution or institutional backing</w:t>
      </w:r>
    </w:p>
    <w:p>
      <w:pPr>
        <w:pStyle w:val="Compact"/>
        <w:numPr>
          <w:ilvl w:val="0"/>
          <w:numId w:val="1008"/>
        </w:numPr>
      </w:pPr>
      <w:r>
        <w:t xml:space="preserve">Vendor marketing materials without independent validation</w:t>
      </w:r>
    </w:p>
    <w:p>
      <w:pPr>
        <w:pStyle w:val="Compact"/>
        <w:numPr>
          <w:ilvl w:val="0"/>
          <w:numId w:val="1008"/>
        </w:numPr>
      </w:pPr>
      <w:r>
        <w:t xml:space="preserve">Preprints without subsequent peer-reviewed publication (exception: foundational NL2SQL benchmarks where peer review is pending)</w:t>
      </w:r>
    </w:p>
    <w:p>
      <w:pPr>
        <w:pStyle w:val="Compact"/>
        <w:numPr>
          <w:ilvl w:val="0"/>
          <w:numId w:val="1008"/>
        </w:numPr>
      </w:pPr>
      <w:r>
        <w:t xml:space="preserve">Studies with unverifiable statistics or methodological concerns</w:t>
      </w:r>
    </w:p>
    <w:bookmarkEnd w:id="35"/>
    <w:bookmarkStart w:id="36"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9"/>
        </w:numPr>
      </w:pPr>
      <w:r>
        <w:rPr>
          <w:b/>
          <w:bCs/>
        </w:rPr>
        <w:t xml:space="preserve">Analytics maturity</w:t>
      </w:r>
      <w:r>
        <w:t xml:space="preserve">: Evidence on HIMSS AMAM adoption, healthcare analytics capabilities, and organizational readiness</w:t>
      </w:r>
    </w:p>
    <w:p>
      <w:pPr>
        <w:pStyle w:val="Compact"/>
        <w:numPr>
          <w:ilvl w:val="0"/>
          <w:numId w:val="1009"/>
        </w:numPr>
      </w:pPr>
      <w:r>
        <w:rPr>
          <w:b/>
          <w:bCs/>
        </w:rPr>
        <w:t xml:space="preserve">Workforce turnover</w:t>
      </w:r>
      <w:r>
        <w:t xml:space="preserve">: Evidence on nursing and IT staff turnover rates, institutional memory loss, and knowledge transfer challenges</w:t>
      </w:r>
    </w:p>
    <w:p>
      <w:pPr>
        <w:pStyle w:val="Compact"/>
        <w:numPr>
          <w:ilvl w:val="0"/>
          <w:numId w:val="1009"/>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6"/>
    <w:bookmarkStart w:id="37" w:name="methodological-limitations"/>
    <w:p>
      <w:pPr>
        <w:pStyle w:val="Heading2"/>
      </w:pPr>
      <w:r>
        <w:rPr>
          <w:rStyle w:val="SectionNumber"/>
        </w:rPr>
        <w:t xml:space="preserve">3.5</w:t>
      </w:r>
      <w:r>
        <w:tab/>
      </w:r>
      <w:r>
        <w:t xml:space="preserve">Methodological Limitations</w:t>
      </w:r>
    </w:p>
    <w:p>
      <w:pPr>
        <w:pStyle w:val="FirstParagraph"/>
      </w:pPr>
      <w:r>
        <w:t xml:space="preserve">This narrative review has inherent limitations:</w:t>
      </w:r>
    </w:p>
    <w:p>
      <w:pPr>
        <w:pStyle w:val="Compact"/>
        <w:numPr>
          <w:ilvl w:val="0"/>
          <w:numId w:val="1010"/>
        </w:numPr>
      </w:pPr>
      <w:r>
        <w:rPr>
          <w:b/>
          <w:bCs/>
        </w:rPr>
        <w:t xml:space="preserve">Non-exhaustive search</w:t>
      </w:r>
      <w:r>
        <w:t xml:space="preserve">: Literature identification was selective rather than exhaustive; relevant studies may have been missed</w:t>
      </w:r>
    </w:p>
    <w:p>
      <w:pPr>
        <w:pStyle w:val="Compact"/>
        <w:numPr>
          <w:ilvl w:val="0"/>
          <w:numId w:val="1010"/>
        </w:numPr>
      </w:pPr>
      <w:r>
        <w:rPr>
          <w:b/>
          <w:bCs/>
        </w:rPr>
        <w:t xml:space="preserve">No formal quality assessment</w:t>
      </w:r>
      <w:r>
        <w:t xml:space="preserve">: No standardized quality assessment tool (e.g., GRADE, Cochrane Risk of Bias) was applied; quality judgments were based on publication venue, methodological transparency, and verification of claims</w:t>
      </w:r>
    </w:p>
    <w:p>
      <w:pPr>
        <w:pStyle w:val="Compact"/>
        <w:numPr>
          <w:ilvl w:val="0"/>
          <w:numId w:val="1010"/>
        </w:numPr>
      </w:pPr>
      <w:r>
        <w:rPr>
          <w:b/>
          <w:bCs/>
        </w:rPr>
        <w:t xml:space="preserve">Single author synthesis</w:t>
      </w:r>
      <w:r>
        <w:t xml:space="preserve">: Evidence synthesis reflects a single author’s interpretation, which may introduce perspective bias</w:t>
      </w:r>
    </w:p>
    <w:p>
      <w:pPr>
        <w:pStyle w:val="Compact"/>
        <w:numPr>
          <w:ilvl w:val="0"/>
          <w:numId w:val="1010"/>
        </w:numPr>
      </w:pPr>
      <w:r>
        <w:rPr>
          <w:b/>
          <w:bCs/>
        </w:rPr>
        <w:t xml:space="preserve">Post-hoc selection criteria</w:t>
      </w:r>
      <w:r>
        <w:t xml:space="preserve">: Inclusion and exclusion criteria were refined during the review process rather than pre-registered</w:t>
      </w:r>
    </w:p>
    <w:p>
      <w:pPr>
        <w:pStyle w:val="Compact"/>
        <w:numPr>
          <w:ilvl w:val="0"/>
          <w:numId w:val="1010"/>
        </w:numPr>
      </w:pPr>
      <w:r>
        <w:rPr>
          <w:b/>
          <w:bCs/>
        </w:rPr>
        <w:t xml:space="preserve">No protocol registration</w:t>
      </w:r>
      <w:r>
        <w:t xml:space="preserve">: This review was not registered in PROSPERO or similar registries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64"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2" w:name="X79e53be5adb6b9863f8ca49c43cb7059ea634a1"/>
    <w:p>
      <w:pPr>
        <w:pStyle w:val="Heading2"/>
      </w:pPr>
      <w:r>
        <w:rPr>
          <w:rStyle w:val="SectionNumber"/>
        </w:rPr>
        <w:t xml:space="preserve">4.1</w:t>
      </w:r>
      <w:r>
        <w:tab/>
      </w:r>
      <w:r>
        <w:t xml:space="preserve">1. Current State of Natural Language to SQL Generation</w:t>
      </w:r>
    </w:p>
    <w:bookmarkStart w:id="39"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9"/>
    <w:bookmarkStart w:id="40"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0"/>
    <w:bookmarkStart w:id="41"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1"/>
    <w:bookmarkEnd w:id="42"/>
    <w:bookmarkStart w:id="46" w:name="state-of-healthcare-analytics-maturity"/>
    <w:p>
      <w:pPr>
        <w:pStyle w:val="Heading2"/>
      </w:pPr>
      <w:r>
        <w:rPr>
          <w:rStyle w:val="SectionNumber"/>
        </w:rPr>
        <w:t xml:space="preserve">4.2</w:t>
      </w:r>
      <w:r>
        <w:tab/>
      </w:r>
      <w:r>
        <w:t xml:space="preserve">2. State of Healthcare Analytics Maturity</w:t>
      </w:r>
    </w:p>
    <w:bookmarkStart w:id="43"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3"/>
    <w:bookmarkStart w:id="44"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p>
    <w:p>
      <w:pPr>
        <w:pStyle w:val="Compact"/>
        <w:numPr>
          <w:ilvl w:val="0"/>
          <w:numId w:val="1011"/>
        </w:numPr>
      </w:pPr>
      <w:r>
        <w:t xml:space="preserve">Fragmented data sources without integration</w:t>
      </w:r>
    </w:p>
    <w:p>
      <w:pPr>
        <w:pStyle w:val="Compact"/>
        <w:numPr>
          <w:ilvl w:val="0"/>
          <w:numId w:val="1011"/>
        </w:numPr>
      </w:pPr>
      <w:r>
        <w:t xml:space="preserve">Limited automated reporting capabilities</w:t>
      </w:r>
    </w:p>
    <w:p>
      <w:pPr>
        <w:pStyle w:val="Compact"/>
        <w:numPr>
          <w:ilvl w:val="0"/>
          <w:numId w:val="1011"/>
        </w:numPr>
      </w:pPr>
      <w:r>
        <w:t xml:space="preserve">Lack of standardized data governance</w:t>
      </w:r>
    </w:p>
    <w:p>
      <w:pPr>
        <w:pStyle w:val="Compact"/>
        <w:numPr>
          <w:ilvl w:val="0"/>
          <w:numId w:val="1011"/>
        </w:numPr>
      </w:pPr>
      <w:r>
        <w:t xml:space="preserve">Minimal predictive or prescriptive analytics</w:t>
      </w:r>
    </w:p>
    <w:p>
      <w:pPr>
        <w:pStyle w:val="Compact"/>
        <w:numPr>
          <w:ilvl w:val="0"/>
          <w:numId w:val="1011"/>
        </w:numPr>
      </w:pPr>
      <w:r>
        <w:t xml:space="preserve">Absence of real-time decision support</w:t>
      </w:r>
    </w:p>
    <w:bookmarkEnd w:id="44"/>
    <w:bookmarkStart w:id="45"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w:t>
      </w:r>
    </w:p>
    <w:bookmarkEnd w:id="45"/>
    <w:bookmarkEnd w:id="46"/>
    <w:bookmarkStart w:id="50" w:name="X033aaa01add75caa19416ed7b909f71ff5bd76d"/>
    <w:p>
      <w:pPr>
        <w:pStyle w:val="Heading2"/>
      </w:pPr>
      <w:r>
        <w:rPr>
          <w:rStyle w:val="SectionNumber"/>
        </w:rPr>
        <w:t xml:space="preserve">4.3</w:t>
      </w:r>
      <w:r>
        <w:tab/>
      </w:r>
      <w:r>
        <w:t xml:space="preserve">3. Healthcare Workforce Turnover and Knowledge Loss</w:t>
      </w:r>
    </w:p>
    <w:bookmarkStart w:id="47"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Industry analysis corroborates these findings, documenting turnover costs at 0.5-2.0 times annual salary with knowledge-intensive positions reaching the higher end [I6].</w:t>
      </w:r>
    </w:p>
    <w:p>
      <w:pPr>
        <w:pStyle w:val="BodyText"/>
      </w:pPr>
      <w:r>
        <w:t xml:space="preserve">Technical and analytics staff face even more severe turnover challenges. Ang and Slaughter [A10] found that IT professionals at healthcare provider institutions—where IT serves as a support function rather than core business—have average tenure of just 2.9 years, implying annual turnover of 34% (calculated as 1/2.9 years), the highest rate among all IT organization types studied. This compares unfavorably to the 9.68-year average for IT managerial positions overall. Recent surveys confirm these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47"/>
    <w:bookmarkStart w:id="48"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8"/>
    <w:bookmarkStart w:id="49" w:name="traditional-approaches-inadequate"/>
    <w:p>
      <w:pPr>
        <w:pStyle w:val="Heading3"/>
      </w:pPr>
      <w:r>
        <w:rPr>
          <w:rStyle w:val="SectionNumber"/>
        </w:rPr>
        <w:t xml:space="preserve">4.3.3</w:t>
      </w:r>
      <w:r>
        <w:tab/>
      </w:r>
      <w:r>
        <w:t xml:space="preserve">Traditional Approaches Inadequate</w:t>
      </w:r>
    </w:p>
    <w:p>
      <w:pPr>
        <w:pStyle w:val="FirstParagraph"/>
      </w:pPr>
      <w:r>
        <w:t xml:space="preserve">The literature demonstrates that conventional knowledge management approaches fail in healthcare contexts [A17, A18]:</w:t>
      </w:r>
    </w:p>
    <w:p>
      <w:pPr>
        <w:pStyle w:val="Compact"/>
        <w:numPr>
          <w:ilvl w:val="0"/>
          <w:numId w:val="1012"/>
        </w:numPr>
      </w:pPr>
      <w:r>
        <w:t xml:space="preserve">Traditional knowledge transfer mechanisms show limited effectiveness</w:t>
      </w:r>
    </w:p>
    <w:p>
      <w:pPr>
        <w:pStyle w:val="Compact"/>
        <w:numPr>
          <w:ilvl w:val="0"/>
          <w:numId w:val="1012"/>
        </w:numPr>
      </w:pPr>
      <w:r>
        <w:t xml:space="preserve">Organizations struggle to capture and maintain analytical expertise</w:t>
      </w:r>
    </w:p>
    <w:p>
      <w:pPr>
        <w:pStyle w:val="Compact"/>
        <w:numPr>
          <w:ilvl w:val="0"/>
          <w:numId w:val="1012"/>
        </w:numPr>
      </w:pPr>
      <w:r>
        <w:t xml:space="preserve">Security concerns and employee resistance to change slow the pace of information system acceptance [A18]</w:t>
      </w:r>
    </w:p>
    <w:p>
      <w:pPr>
        <w:pStyle w:val="Compact"/>
        <w:numPr>
          <w:ilvl w:val="0"/>
          <w:numId w:val="1012"/>
        </w:numPr>
      </w:pPr>
      <w:r>
        <w:t xml:space="preserve">Person-to-person knowledge transfer fails during rapid turnover cycles</w:t>
      </w:r>
    </w:p>
    <w:bookmarkEnd w:id="49"/>
    <w:bookmarkEnd w:id="50"/>
    <w:bookmarkStart w:id="54" w:name="X4fcdb465b5d130fc136a191f4ad96d06b004362"/>
    <w:p>
      <w:pPr>
        <w:pStyle w:val="Heading2"/>
      </w:pPr>
      <w:r>
        <w:rPr>
          <w:rStyle w:val="SectionNumber"/>
        </w:rPr>
        <w:t xml:space="preserve">4.4</w:t>
      </w:r>
      <w:r>
        <w:tab/>
      </w:r>
      <w:r>
        <w:t xml:space="preserve">4. Integration of Evidence: The Case for Conversational AI</w:t>
      </w:r>
    </w:p>
    <w:bookmarkStart w:id="51"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1"/>
    <w:bookmarkStart w:id="52"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3"/>
        </w:numPr>
      </w:pPr>
      <w:r>
        <w:t xml:space="preserve">Capturing decision-making patterns through usage</w:t>
      </w:r>
    </w:p>
    <w:p>
      <w:pPr>
        <w:pStyle w:val="Compact"/>
        <w:numPr>
          <w:ilvl w:val="0"/>
          <w:numId w:val="1013"/>
        </w:numPr>
      </w:pPr>
      <w:r>
        <w:t xml:space="preserve">Encoding best practices in accessible formats</w:t>
      </w:r>
    </w:p>
    <w:p>
      <w:pPr>
        <w:pStyle w:val="Compact"/>
        <w:numPr>
          <w:ilvl w:val="0"/>
          <w:numId w:val="1013"/>
        </w:numPr>
      </w:pPr>
      <w:r>
        <w:t xml:space="preserve">Providing context-aware guidance to new users</w:t>
      </w:r>
    </w:p>
    <w:p>
      <w:pPr>
        <w:pStyle w:val="Compact"/>
        <w:numPr>
          <w:ilvl w:val="0"/>
          <w:numId w:val="1013"/>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2"/>
    <w:bookmarkStart w:id="53" w:name="X6d083e238594fa23b80808bd7cfd83ad906b4ff"/>
    <w:p>
      <w:pPr>
        <w:pStyle w:val="Heading3"/>
      </w:pPr>
      <w:r>
        <w:rPr>
          <w:rStyle w:val="SectionNumber"/>
        </w:rPr>
        <w:t xml:space="preserve">4.4.3</w:t>
      </w:r>
      <w:r>
        <w:tab/>
      </w:r>
      <w:r>
        <w:t xml:space="preserve">Empirical Support for Low-Code Healthcare Solutions</w:t>
      </w:r>
    </w:p>
    <w:p>
      <w:pPr>
        <w:pStyle w:val="FirstParagraph"/>
      </w:pPr>
      <w:r>
        <w:t xml:space="preserve">Academic research provides growing evidence for low-code and AI-driven approaches in healthcare.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Industry implementations provide additional validation.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Pennington [A22] found AI in revenue cycle management accelerated payment cycles from 90 days to 40 days, while Atobatele et al. [A23] documented how low-code platforms enable non-technical staff to build applications, leading to efficiency gains.</w:t>
      </w:r>
    </w:p>
    <w:bookmarkEnd w:id="53"/>
    <w:bookmarkEnd w:id="54"/>
    <w:bookmarkStart w:id="58" w:name="Xe532debb859e62ad2038db373f15ff8608a8c3a"/>
    <w:p>
      <w:pPr>
        <w:pStyle w:val="Heading2"/>
      </w:pPr>
      <w:r>
        <w:rPr>
          <w:rStyle w:val="SectionNumber"/>
        </w:rPr>
        <w:t xml:space="preserve">4.5</w:t>
      </w:r>
      <w:r>
        <w:tab/>
      </w:r>
      <w:r>
        <w:t xml:space="preserve">5. Implications for Healthcare Organizations</w:t>
      </w:r>
    </w:p>
    <w:bookmarkStart w:id="55"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55"/>
    <w:bookmarkStart w:id="56"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low-code and conversational AI implementations.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Sezgin et al. [A19] proposed chatbot implementations that reduce clinic overhead.</w:t>
      </w:r>
    </w:p>
    <w:p>
      <w:pPr>
        <w:pStyle w:val="BodyText"/>
      </w:pPr>
      <w:r>
        <w:t xml:space="preserve">Industry-sponsored research from Forrester [I5] projects 206% three-year ROI from Power Platform implementations; however, these figures should be interpreted cautiously given vendor sponsorship. Market research supports continued investment: Precedence Research [I7] projects the healthcare analytics market to grow from $64.49 billion in 2025 to $369.66 billion by 2034 (21.41% CAGR), driven by demand for accessible analytics solutions.</w:t>
      </w:r>
    </w:p>
    <w:bookmarkEnd w:id="56"/>
    <w:bookmarkStart w:id="57"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7"/>
    <w:bookmarkEnd w:id="58"/>
    <w:bookmarkStart w:id="59" w:name="gaps-in-current-literature"/>
    <w:p>
      <w:pPr>
        <w:pStyle w:val="Heading2"/>
      </w:pPr>
      <w:r>
        <w:rPr>
          <w:rStyle w:val="SectionNumber"/>
        </w:rPr>
        <w:t xml:space="preserve">4.6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14"/>
        </w:numPr>
      </w:pPr>
      <w:r>
        <w:rPr>
          <w:b/>
          <w:bCs/>
        </w:rPr>
        <w:t xml:space="preserve">Long-term outcomes</w:t>
      </w:r>
      <w:r>
        <w:t xml:space="preserve">: Most studies examine 6-24 month implementations; multi-year impacts remain understudied</w:t>
      </w:r>
    </w:p>
    <w:p>
      <w:pPr>
        <w:pStyle w:val="Compact"/>
        <w:numPr>
          <w:ilvl w:val="0"/>
          <w:numId w:val="1014"/>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4"/>
        </w:numPr>
      </w:pPr>
      <w:r>
        <w:rPr>
          <w:b/>
          <w:bCs/>
        </w:rPr>
        <w:t xml:space="preserve">Governance frameworks</w:t>
      </w:r>
      <w:r>
        <w:t xml:space="preserve">: Limited research on optimal governance models for democratized analytics</w:t>
      </w:r>
    </w:p>
    <w:p>
      <w:pPr>
        <w:pStyle w:val="Compact"/>
        <w:numPr>
          <w:ilvl w:val="0"/>
          <w:numId w:val="1014"/>
        </w:numPr>
      </w:pPr>
      <w:r>
        <w:rPr>
          <w:b/>
          <w:bCs/>
        </w:rPr>
        <w:t xml:space="preserve">Training methodologies</w:t>
      </w:r>
      <w:r>
        <w:t xml:space="preserve">: Best practices for transitioning from traditional to conversational analytics lack empirical validation</w:t>
      </w:r>
    </w:p>
    <w:p>
      <w:pPr>
        <w:pStyle w:val="Compact"/>
        <w:numPr>
          <w:ilvl w:val="0"/>
          <w:numId w:val="1014"/>
        </w:numPr>
      </w:pPr>
      <w:r>
        <w:rPr>
          <w:b/>
          <w:bCs/>
        </w:rPr>
        <w:t xml:space="preserve">Integration patterns</w:t>
      </w:r>
      <w:r>
        <w:t xml:space="preserve">: Architectural guidance for incorporating conversational AI into existing healthcare IT ecosystems remains sparse</w:t>
      </w:r>
    </w:p>
    <w:bookmarkEnd w:id="59"/>
    <w:bookmarkStart w:id="63" w:name="why-the-problem-persists"/>
    <w:p>
      <w:pPr>
        <w:pStyle w:val="Heading2"/>
      </w:pPr>
      <w:r>
        <w:rPr>
          <w:rStyle w:val="SectionNumber"/>
        </w:rPr>
        <w:t xml:space="preserve">4.7</w:t>
      </w:r>
      <w:r>
        <w:tab/>
      </w:r>
      <w:r>
        <w:t xml:space="preserve">7. 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0"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[A27].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[A28].</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[A29]. At the institutional level, data fragmentation across different organizations creates barriers to linkage, access, and care continuity, while governance issues including unclear responsibilities and weak collaboration compound the problem [A30].</w:t>
      </w:r>
    </w:p>
    <w:p>
      <w:pPr>
        <w:pStyle w:val="BodyText"/>
      </w:pPr>
      <w:r>
        <w:t xml:space="preserve">High-profile industry failures illustrate these research findings. Multi-billion dollar investments in healthcare AI have been divested after failing to achieve clinical adoption [I9], and a joint venture backed by major corporations controlling healthcare spending for over one million employees disbanded after three years without achieving its goals [I10]. These failures share the common pattern identified in academic literature: attempting to impose standardized solutions across institutions with fundamentally unique data definitions, business rules, and clinical workflows.</w:t>
      </w:r>
    </w:p>
    <w:bookmarkEnd w:id="60"/>
    <w:bookmarkStart w:id="61" w:name="X2fadc48b72263d27ff1223301aab0607309f8ac"/>
    <w:p>
      <w:pPr>
        <w:pStyle w:val="Heading3"/>
      </w:pPr>
      <w:r>
        <w:rPr>
          <w:rStyle w:val="SectionNumber"/>
        </w:rPr>
        <w:t xml:space="preserve">4.7.2</w:t>
      </w:r>
      <w:r>
        <w:tab/>
      </w:r>
      <w:r>
        <w:t xml:space="preserve">Structural Disincentives in the Technology Market</w:t>
      </w:r>
    </w:p>
    <w:p>
      <w:pPr>
        <w:pStyle w:val="FirstParagraph"/>
      </w:pPr>
      <w:r>
        <w:t xml:space="preserve">Major technology providers may face inherent tensions in solving institution-specific analytics challenges. EHR platform providers and cloud infrastructure companies derive substantial revenue from consulting services and implementation partner ecosystems. This business model dependency creates potential misalignment: building comprehensive institution-specific knowledge solutions could reduce demand for implementation services. Whether intentional or emergent, the result is that major platforms remain generalized tools requiring significant customization rather than turnkey solutions for institutional analytics.</w:t>
      </w:r>
    </w:p>
    <w:bookmarkEnd w:id="61"/>
    <w:bookmarkStart w:id="62" w:name="deployment-constraint-mismatch"/>
    <w:p>
      <w:pPr>
        <w:pStyle w:val="Heading3"/>
      </w:pPr>
      <w:r>
        <w:rPr>
          <w:rStyle w:val="SectionNumber"/>
        </w:rPr>
        <w:t xml:space="preserve">4.7.3</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2"/>
    <w:bookmarkEnd w:id="63"/>
    <w:bookmarkEnd w:id="64"/>
    <w:bookmarkStart w:id="79" w:name="X31921694b73dcf3ee7cef592b6f3cc25a3db813"/>
    <w:p>
      <w:pPr>
        <w:pStyle w:val="Heading1"/>
      </w:pPr>
      <w:r>
        <w:rPr>
          <w:rStyle w:val="SectionNumber"/>
        </w:rPr>
        <w:t xml:space="preserve">5</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65" w:name="solution-overview"/>
    <w:p>
      <w:pPr>
        <w:pStyle w:val="Heading2"/>
      </w:pPr>
      <w:r>
        <w:rPr>
          <w:rStyle w:val="SectionNumber"/>
        </w:rPr>
        <w:t xml:space="preserve">5.1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15"/>
        </w:numPr>
      </w:pPr>
      <w:r>
        <w:rPr>
          <w:b/>
          <w:bCs/>
        </w:rPr>
        <w:t xml:space="preserve">Technical Barrier Elimination</w:t>
      </w:r>
      <w:r>
        <w:t xml:space="preserve">: Natural language interfaces replace SQL requirements</w:t>
      </w:r>
    </w:p>
    <w:p>
      <w:pPr>
        <w:pStyle w:val="Compact"/>
        <w:numPr>
          <w:ilvl w:val="0"/>
          <w:numId w:val="1015"/>
        </w:numPr>
      </w:pPr>
      <w:r>
        <w:rPr>
          <w:b/>
          <w:bCs/>
        </w:rPr>
        <w:t xml:space="preserve">Analytics Maturity Acceleration</w:t>
      </w:r>
      <w:r>
        <w:t xml:space="preserve">: Democratized access enables broader organizational capability</w:t>
      </w:r>
    </w:p>
    <w:p>
      <w:pPr>
        <w:pStyle w:val="Compact"/>
        <w:numPr>
          <w:ilvl w:val="0"/>
          <w:numId w:val="1015"/>
        </w:numPr>
      </w:pPr>
      <w:r>
        <w:rPr>
          <w:b/>
          <w:bCs/>
        </w:rPr>
        <w:t xml:space="preserve">Institutional Memory Preservation</w:t>
      </w:r>
      <w:r>
        <w:t xml:space="preserve">: AI models embed organizational knowledge and expertise</w:t>
      </w:r>
    </w:p>
    <w:bookmarkEnd w:id="65"/>
    <w:bookmarkStart w:id="70" w:name="core-capabilities"/>
    <w:p>
      <w:pPr>
        <w:pStyle w:val="Heading2"/>
      </w:pPr>
      <w:r>
        <w:rPr>
          <w:rStyle w:val="SectionNumber"/>
        </w:rPr>
        <w:t xml:space="preserve">5.2</w:t>
      </w:r>
      <w:r>
        <w:tab/>
      </w:r>
      <w:r>
        <w:t xml:space="preserve">Core Capabilities</w:t>
      </w:r>
    </w:p>
    <w:bookmarkStart w:id="66" w:name="X5b5cb56f47d7a7344a0b84a0a61c200c141779c"/>
    <w:p>
      <w:pPr>
        <w:pStyle w:val="Heading3"/>
      </w:pPr>
      <w:r>
        <w:rPr>
          <w:rStyle w:val="SectionNumber"/>
        </w:rPr>
        <w:t xml:space="preserve">5.2.1</w:t>
      </w:r>
      <w:r>
        <w:tab/>
      </w:r>
      <w:r>
        <w:t xml:space="preserve">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p>
    <w:p>
      <w:pPr>
        <w:pStyle w:val="Compact"/>
        <w:numPr>
          <w:ilvl w:val="0"/>
          <w:numId w:val="1016"/>
        </w:numPr>
      </w:pPr>
      <w:r>
        <w:rPr>
          <w:b/>
          <w:bCs/>
        </w:rPr>
        <w:t xml:space="preserve">Medical Terminology Recognition</w:t>
      </w:r>
      <w:r>
        <w:t xml:space="preserve">: Integration with ICD-10, CPT, RxNorm, and SNOMED vocabularies</w:t>
      </w:r>
    </w:p>
    <w:p>
      <w:pPr>
        <w:pStyle w:val="Compact"/>
        <w:numPr>
          <w:ilvl w:val="0"/>
          <w:numId w:val="1016"/>
        </w:numPr>
      </w:pPr>
      <w:r>
        <w:rPr>
          <w:b/>
          <w:bCs/>
        </w:rPr>
        <w:t xml:space="preserve">Context-Aware Processing</w:t>
      </w:r>
      <w:r>
        <w:t xml:space="preserve">: Understanding of clinical workflows and temporal relationships</w:t>
      </w:r>
    </w:p>
    <w:p>
      <w:pPr>
        <w:pStyle w:val="Compact"/>
        <w:numPr>
          <w:ilvl w:val="0"/>
          <w:numId w:val="1016"/>
        </w:numPr>
      </w:pPr>
      <w:r>
        <w:rPr>
          <w:b/>
          <w:bCs/>
        </w:rPr>
        <w:t xml:space="preserve">Ambiguity Resolution</w:t>
      </w:r>
      <w:r>
        <w:t xml:space="preserve">: Intelligent disambiguation of medical terms based on organizational usage patterns</w:t>
      </w:r>
    </w:p>
    <w:p>
      <w:pPr>
        <w:pStyle w:val="Compact"/>
        <w:numPr>
          <w:ilvl w:val="0"/>
          <w:numId w:val="1016"/>
        </w:numPr>
      </w:pPr>
      <w:r>
        <w:rPr>
          <w:b/>
          <w:bCs/>
        </w:rPr>
        <w:t xml:space="preserve">Query Intent Classification</w:t>
      </w:r>
      <w:r>
        <w:t xml:space="preserve">: Recognition of different analysis types (population health, clinical outcomes, operational metrics)</w:t>
      </w:r>
    </w:p>
    <w:p>
      <w:pPr>
        <w:pStyle w:val="FirstParagraph"/>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66"/>
    <w:bookmarkStart w:id="67" w:name="healthcare-knowledge-portal"/>
    <w:p>
      <w:pPr>
        <w:pStyle w:val="Heading3"/>
      </w:pPr>
      <w:r>
        <w:rPr>
          <w:rStyle w:val="SectionNumber"/>
        </w:rPr>
        <w:t xml:space="preserve">5.2.2</w:t>
      </w:r>
      <w:r>
        <w:tab/>
      </w:r>
      <w:r>
        <w:t xml:space="preserve">Healthcare Knowledge Portal</w:t>
      </w:r>
    </w:p>
    <w:p>
      <w:pPr>
        <w:pStyle w:val="FirstParagraph"/>
      </w:pPr>
      <w:r>
        <w:rPr>
          <w:b/>
          <w:bCs/>
        </w:rPr>
        <w:t xml:space="preserve">Purpose</w:t>
      </w:r>
      <w:r>
        <w:t xml:space="preserve">: Function as an organizational knowledge portal [A25, A26] that captures, encodes, and perpetually maintains analytics expertise independent of individual staff members.</w:t>
      </w:r>
    </w:p>
    <w:p>
      <w:pPr>
        <w:pStyle w:val="BodyText"/>
      </w:pPr>
      <w:r>
        <w:rPr>
          <w:b/>
          <w:bCs/>
        </w:rPr>
        <w:t xml:space="preserve">Knowledge Preservation Mechanisms</w:t>
      </w:r>
      <w:r>
        <w:t xml:space="preserve">:</w:t>
      </w:r>
    </w:p>
    <w:p>
      <w:pPr>
        <w:pStyle w:val="Compact"/>
        <w:numPr>
          <w:ilvl w:val="0"/>
          <w:numId w:val="1017"/>
        </w:numPr>
      </w:pPr>
      <w:r>
        <w:rPr>
          <w:b/>
          <w:bCs/>
        </w:rPr>
        <w:t xml:space="preserve">Usage Pattern Learning</w:t>
      </w:r>
      <w:r>
        <w:t xml:space="preserve">: AI models continuously learn from successful query patterns and analytical approaches</w:t>
      </w:r>
    </w:p>
    <w:p>
      <w:pPr>
        <w:pStyle w:val="Compact"/>
        <w:numPr>
          <w:ilvl w:val="0"/>
          <w:numId w:val="1017"/>
        </w:numPr>
      </w:pPr>
      <w:r>
        <w:rPr>
          <w:b/>
          <w:bCs/>
        </w:rPr>
        <w:t xml:space="preserve">Best Practice Encoding</w:t>
      </w:r>
      <w:r>
        <w:t xml:space="preserve">: Organizational standards and preferred methodologies embedded in response generation</w:t>
      </w:r>
    </w:p>
    <w:p>
      <w:pPr>
        <w:pStyle w:val="Compact"/>
        <w:numPr>
          <w:ilvl w:val="0"/>
          <w:numId w:val="1017"/>
        </w:numPr>
      </w:pPr>
      <w:r>
        <w:rPr>
          <w:b/>
          <w:bCs/>
        </w:rPr>
        <w:t xml:space="preserve">Context Memory</w:t>
      </w:r>
      <w:r>
        <w:t xml:space="preserve">: Retention of organizational data definitions, business rules, and analytical conventions</w:t>
      </w:r>
    </w:p>
    <w:p>
      <w:pPr>
        <w:pStyle w:val="Compact"/>
        <w:numPr>
          <w:ilvl w:val="0"/>
          <w:numId w:val="1017"/>
        </w:numPr>
      </w:pPr>
      <w:r>
        <w:rPr>
          <w:b/>
          <w:bCs/>
        </w:rPr>
        <w:t xml:space="preserve">Expertise Modeling</w:t>
      </w:r>
      <w:r>
        <w:t xml:space="preserve">: Capture of domain expert decision-making patterns and analytical workflows</w:t>
      </w:r>
    </w:p>
    <w:p>
      <w:pPr>
        <w:pStyle w:val="FirstParagraph"/>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67"/>
    <w:bookmarkStart w:id="68" w:name="Xa2495297bdbab3632b8d3927ccc8594347e53d5"/>
    <w:p>
      <w:pPr>
        <w:pStyle w:val="Heading3"/>
      </w:pPr>
      <w:r>
        <w:rPr>
          <w:rStyle w:val="SectionNumber"/>
        </w:rPr>
        <w:t xml:space="preserve">5.2.3</w:t>
      </w:r>
      <w:r>
        <w:tab/>
      </w:r>
      <w:r>
        <w:t xml:space="preserve">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p>
    <w:p>
      <w:pPr>
        <w:pStyle w:val="Compact"/>
        <w:numPr>
          <w:ilvl w:val="0"/>
          <w:numId w:val="1018"/>
        </w:numPr>
      </w:pPr>
      <w:r>
        <w:rPr>
          <w:b/>
          <w:bCs/>
        </w:rPr>
        <w:t xml:space="preserve">Guided Discovery</w:t>
      </w:r>
      <w:r>
        <w:t xml:space="preserve">: AI-assisted exploration of data relationships and analytical opportunities</w:t>
      </w:r>
    </w:p>
    <w:p>
      <w:pPr>
        <w:pStyle w:val="Compact"/>
        <w:numPr>
          <w:ilvl w:val="0"/>
          <w:numId w:val="1018"/>
        </w:numPr>
      </w:pPr>
      <w:r>
        <w:rPr>
          <w:b/>
          <w:bCs/>
        </w:rPr>
        <w:t xml:space="preserve">Self-Service Analytics</w:t>
      </w:r>
      <w:r>
        <w:t xml:space="preserve">: Clinical staff independently performing complex analyses without technical training</w:t>
      </w:r>
    </w:p>
    <w:p>
      <w:pPr>
        <w:pStyle w:val="Compact"/>
        <w:numPr>
          <w:ilvl w:val="0"/>
          <w:numId w:val="1018"/>
        </w:numPr>
      </w:pPr>
      <w:r>
        <w:rPr>
          <w:b/>
          <w:bCs/>
        </w:rPr>
        <w:t xml:space="preserve">Governance Integration</w:t>
      </w:r>
      <w:r>
        <w:t xml:space="preserve">: Automated compliance with organizational data policies and access controls</w:t>
      </w:r>
    </w:p>
    <w:p>
      <w:pPr>
        <w:pStyle w:val="Compact"/>
        <w:numPr>
          <w:ilvl w:val="0"/>
          <w:numId w:val="1018"/>
        </w:numPr>
      </w:pPr>
      <w:r>
        <w:rPr>
          <w:b/>
          <w:bCs/>
        </w:rPr>
        <w:t xml:space="preserve">Capability Building</w:t>
      </w:r>
      <w:r>
        <w:t xml:space="preserve">: Progressive skill development through intelligent tutoring and suggestion systems</w:t>
      </w:r>
    </w:p>
    <w:p>
      <w:pPr>
        <w:pStyle w:val="FirstParagraph"/>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8"/>
    <w:bookmarkStart w:id="69" w:name="X6c4476cdfb063e88453122afb5beff1c7a74592"/>
    <w:p>
      <w:pPr>
        <w:pStyle w:val="Heading3"/>
      </w:pPr>
      <w:r>
        <w:rPr>
          <w:rStyle w:val="SectionNumber"/>
        </w:rPr>
        <w:t xml:space="preserve">5.2.4</w:t>
      </w:r>
      <w:r>
        <w:tab/>
      </w:r>
      <w:r>
        <w:t xml:space="preserve">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p>
    <w:p>
      <w:pPr>
        <w:pStyle w:val="Compact"/>
        <w:numPr>
          <w:ilvl w:val="0"/>
          <w:numId w:val="1019"/>
        </w:numPr>
      </w:pPr>
      <w:r>
        <w:rPr>
          <w:b/>
          <w:bCs/>
        </w:rPr>
        <w:t xml:space="preserve">Schema-Aware Generation</w:t>
      </w:r>
      <w:r>
        <w:t xml:space="preserve">: Deep understanding of healthcare data warehouse structures and relationships</w:t>
      </w:r>
    </w:p>
    <w:p>
      <w:pPr>
        <w:pStyle w:val="Compact"/>
        <w:numPr>
          <w:ilvl w:val="0"/>
          <w:numId w:val="1019"/>
        </w:numPr>
      </w:pPr>
      <w:r>
        <w:rPr>
          <w:b/>
          <w:bCs/>
        </w:rPr>
        <w:t xml:space="preserve">Performance Optimization</w:t>
      </w:r>
      <w:r>
        <w:t xml:space="preserve">: Query efficiency optimization for large healthcare datasets</w:t>
      </w:r>
    </w:p>
    <w:p>
      <w:pPr>
        <w:pStyle w:val="Compact"/>
        <w:numPr>
          <w:ilvl w:val="0"/>
          <w:numId w:val="1019"/>
        </w:numPr>
      </w:pPr>
      <w:r>
        <w:rPr>
          <w:b/>
          <w:bCs/>
        </w:rPr>
        <w:t xml:space="preserve">Error Detection and Correction</w:t>
      </w:r>
      <w:r>
        <w:t xml:space="preserve">: Intelligent validation and suggestion of query improvements</w:t>
      </w:r>
    </w:p>
    <w:p>
      <w:pPr>
        <w:pStyle w:val="Compact"/>
        <w:numPr>
          <w:ilvl w:val="0"/>
          <w:numId w:val="1019"/>
        </w:numPr>
      </w:pPr>
      <w:r>
        <w:rPr>
          <w:b/>
          <w:bCs/>
        </w:rPr>
        <w:t xml:space="preserve">Multi-Step Analysis Support</w:t>
      </w:r>
      <w:r>
        <w:t xml:space="preserve">: Complex analytical workflows requiring multiple query steps</w:t>
      </w:r>
    </w:p>
    <w:p>
      <w:pPr>
        <w:pStyle w:val="FirstParagraph"/>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69"/>
    <w:bookmarkEnd w:id="70"/>
    <w:bookmarkStart w:id="74" w:name="implementation-framework"/>
    <w:p>
      <w:pPr>
        <w:pStyle w:val="Heading2"/>
      </w:pPr>
      <w:r>
        <w:rPr>
          <w:rStyle w:val="SectionNumber"/>
        </w:rPr>
        <w:t xml:space="preserve">5.3</w:t>
      </w:r>
      <w:r>
        <w:tab/>
      </w:r>
      <w:r>
        <w:t xml:space="preserve">Implementation Framework</w:t>
      </w:r>
    </w:p>
    <w:bookmarkStart w:id="71" w:name="foundation-and-integration-months-1-3"/>
    <w:p>
      <w:pPr>
        <w:pStyle w:val="Heading3"/>
      </w:pPr>
      <w:r>
        <w:rPr>
          <w:rStyle w:val="SectionNumber"/>
        </w:rPr>
        <w:t xml:space="preserve">5.3.1</w:t>
      </w:r>
      <w:r>
        <w:tab/>
      </w:r>
      <w:r>
        <w:t xml:space="preserve">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p>
    <w:p>
      <w:pPr>
        <w:pStyle w:val="Compact"/>
        <w:numPr>
          <w:ilvl w:val="0"/>
          <w:numId w:val="1020"/>
        </w:numPr>
      </w:pPr>
      <w:r>
        <w:t xml:space="preserve">Healthcare data warehouse connectivity and schema mapping</w:t>
      </w:r>
    </w:p>
    <w:p>
      <w:pPr>
        <w:pStyle w:val="Compact"/>
        <w:numPr>
          <w:ilvl w:val="0"/>
          <w:numId w:val="1020"/>
        </w:numPr>
      </w:pPr>
      <w:r>
        <w:t xml:space="preserve">Integration with electronic health record systems and clinical data repositories</w:t>
      </w:r>
    </w:p>
    <w:p>
      <w:pPr>
        <w:pStyle w:val="Compact"/>
        <w:numPr>
          <w:ilvl w:val="0"/>
          <w:numId w:val="1020"/>
        </w:numPr>
      </w:pPr>
      <w:r>
        <w:t xml:space="preserve">Implementation of healthcare terminology vocabularies (ICD-10, CPT, SNOMED)</w:t>
      </w:r>
    </w:p>
    <w:p>
      <w:pPr>
        <w:pStyle w:val="Compact"/>
        <w:numPr>
          <w:ilvl w:val="0"/>
          <w:numId w:val="1020"/>
        </w:numPr>
      </w:pPr>
      <w:r>
        <w:t xml:space="preserve">Basic natural language processing capability deployment</w:t>
      </w:r>
    </w:p>
    <w:p>
      <w:pPr>
        <w:pStyle w:val="Compact"/>
        <w:numPr>
          <w:ilvl w:val="0"/>
          <w:numId w:val="1020"/>
        </w:numPr>
      </w:pPr>
      <w:r>
        <w:t xml:space="preserve">User authentication and access control integration</w:t>
      </w:r>
    </w:p>
    <w:p>
      <w:pPr>
        <w:pStyle w:val="FirstParagraph"/>
      </w:pPr>
      <w:r>
        <w:rPr>
          <w:b/>
          <w:bCs/>
        </w:rPr>
        <w:t xml:space="preserve">Success Metrics</w:t>
      </w:r>
      <w:r>
        <w:t xml:space="preserve">:</w:t>
      </w:r>
    </w:p>
    <w:p>
      <w:pPr>
        <w:pStyle w:val="Compact"/>
        <w:numPr>
          <w:ilvl w:val="0"/>
          <w:numId w:val="1021"/>
        </w:numPr>
      </w:pPr>
      <w:r>
        <w:t xml:space="preserve">Successful connectivity to organizational data sources</w:t>
      </w:r>
    </w:p>
    <w:p>
      <w:pPr>
        <w:pStyle w:val="Compact"/>
        <w:numPr>
          <w:ilvl w:val="0"/>
          <w:numId w:val="1021"/>
        </w:numPr>
      </w:pPr>
      <w:r>
        <w:t xml:space="preserve">Accurate interpretation of basic clinical terminology</w:t>
      </w:r>
    </w:p>
    <w:p>
      <w:pPr>
        <w:pStyle w:val="Compact"/>
        <w:numPr>
          <w:ilvl w:val="0"/>
          <w:numId w:val="1021"/>
        </w:numPr>
      </w:pPr>
      <w:r>
        <w:t xml:space="preserve">Compliance with healthcare data governance policies</w:t>
      </w:r>
    </w:p>
    <w:p>
      <w:pPr>
        <w:pStyle w:val="Compact"/>
        <w:numPr>
          <w:ilvl w:val="0"/>
          <w:numId w:val="1021"/>
        </w:numPr>
      </w:pPr>
      <w:r>
        <w:t xml:space="preserve">User authentication and role-based access functioning</w:t>
      </w:r>
    </w:p>
    <w:bookmarkEnd w:id="71"/>
    <w:bookmarkStart w:id="72" w:name="Xc39c9330ce349e8d811193f325f59433390951c"/>
    <w:p>
      <w:pPr>
        <w:pStyle w:val="Heading3"/>
      </w:pPr>
      <w:r>
        <w:rPr>
          <w:rStyle w:val="SectionNumber"/>
        </w:rPr>
        <w:t xml:space="preserve">5.3.2</w:t>
      </w:r>
      <w:r>
        <w:tab/>
      </w:r>
      <w:r>
        <w:t xml:space="preserve">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p>
    <w:p>
      <w:pPr>
        <w:pStyle w:val="Compact"/>
        <w:numPr>
          <w:ilvl w:val="0"/>
          <w:numId w:val="1022"/>
        </w:numPr>
      </w:pPr>
      <w:r>
        <w:t xml:space="preserve">Deployment with limited user groups (data analysts, clinical informatics staff)</w:t>
      </w:r>
    </w:p>
    <w:p>
      <w:pPr>
        <w:pStyle w:val="Compact"/>
        <w:numPr>
          <w:ilvl w:val="0"/>
          <w:numId w:val="1022"/>
        </w:numPr>
      </w:pPr>
      <w:r>
        <w:t xml:space="preserve">Capture of organizational data definitions and business rules</w:t>
      </w:r>
    </w:p>
    <w:p>
      <w:pPr>
        <w:pStyle w:val="Compact"/>
        <w:numPr>
          <w:ilvl w:val="0"/>
          <w:numId w:val="1022"/>
        </w:numPr>
      </w:pPr>
      <w:r>
        <w:t xml:space="preserve">Learning from existing analytical patterns and reporting requirements</w:t>
      </w:r>
    </w:p>
    <w:p>
      <w:pPr>
        <w:pStyle w:val="Compact"/>
        <w:numPr>
          <w:ilvl w:val="0"/>
          <w:numId w:val="1022"/>
        </w:numPr>
      </w:pPr>
      <w:r>
        <w:t xml:space="preserve">Development of organization-specific query templates and best practices</w:t>
      </w:r>
    </w:p>
    <w:p>
      <w:pPr>
        <w:pStyle w:val="Compact"/>
        <w:numPr>
          <w:ilvl w:val="0"/>
          <w:numId w:val="1022"/>
        </w:numPr>
      </w:pPr>
      <w:r>
        <w:t xml:space="preserve">Integration of domain expert feedback and corrections</w:t>
      </w:r>
    </w:p>
    <w:p>
      <w:pPr>
        <w:pStyle w:val="FirstParagraph"/>
      </w:pPr>
      <w:r>
        <w:rPr>
          <w:b/>
          <w:bCs/>
        </w:rPr>
        <w:t xml:space="preserve">Success Metrics</w:t>
      </w:r>
      <w:r>
        <w:t xml:space="preserve">:</w:t>
      </w:r>
    </w:p>
    <w:p>
      <w:pPr>
        <w:pStyle w:val="Compact"/>
        <w:numPr>
          <w:ilvl w:val="0"/>
          <w:numId w:val="1023"/>
        </w:numPr>
      </w:pPr>
      <w:r>
        <w:t xml:space="preserve">80% accuracy in interpreting organizational data requests</w:t>
      </w:r>
    </w:p>
    <w:p>
      <w:pPr>
        <w:pStyle w:val="Compact"/>
        <w:numPr>
          <w:ilvl w:val="0"/>
          <w:numId w:val="1023"/>
        </w:numPr>
      </w:pPr>
      <w:r>
        <w:t xml:space="preserve">Successful capture of existing analytical workflows</w:t>
      </w:r>
    </w:p>
    <w:p>
      <w:pPr>
        <w:pStyle w:val="Compact"/>
        <w:numPr>
          <w:ilvl w:val="0"/>
          <w:numId w:val="1023"/>
        </w:numPr>
      </w:pPr>
      <w:r>
        <w:t xml:space="preserve">Positive user feedback from limited deployment groups</w:t>
      </w:r>
    </w:p>
    <w:p>
      <w:pPr>
        <w:pStyle w:val="Compact"/>
        <w:numPr>
          <w:ilvl w:val="0"/>
          <w:numId w:val="1023"/>
        </w:numPr>
      </w:pPr>
      <w:r>
        <w:t xml:space="preserve">Establishment of continuous learning feedback loops</w:t>
      </w:r>
    </w:p>
    <w:bookmarkEnd w:id="72"/>
    <w:bookmarkStart w:id="73" w:name="democratization-and-scale-months-7-12"/>
    <w:p>
      <w:pPr>
        <w:pStyle w:val="Heading3"/>
      </w:pPr>
      <w:r>
        <w:rPr>
          <w:rStyle w:val="SectionNumber"/>
        </w:rPr>
        <w:t xml:space="preserve">5.3.3</w:t>
      </w:r>
      <w:r>
        <w:tab/>
      </w:r>
      <w:r>
        <w:t xml:space="preserve">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p>
    <w:p>
      <w:pPr>
        <w:pStyle w:val="Compact"/>
        <w:numPr>
          <w:ilvl w:val="0"/>
          <w:numId w:val="1024"/>
        </w:numPr>
      </w:pPr>
      <w:r>
        <w:t xml:space="preserve">Broader deployment to clinical departments and operational teams</w:t>
      </w:r>
    </w:p>
    <w:p>
      <w:pPr>
        <w:pStyle w:val="Compact"/>
        <w:numPr>
          <w:ilvl w:val="0"/>
          <w:numId w:val="1024"/>
        </w:numPr>
      </w:pPr>
      <w:r>
        <w:t xml:space="preserve">Advanced analytical capability development (predictive analytics, population health)</w:t>
      </w:r>
    </w:p>
    <w:p>
      <w:pPr>
        <w:pStyle w:val="Compact"/>
        <w:numPr>
          <w:ilvl w:val="0"/>
          <w:numId w:val="1024"/>
        </w:numPr>
      </w:pPr>
      <w:r>
        <w:t xml:space="preserve">Self-service analytics enablement for non-technical users</w:t>
      </w:r>
    </w:p>
    <w:p>
      <w:pPr>
        <w:pStyle w:val="Compact"/>
        <w:numPr>
          <w:ilvl w:val="0"/>
          <w:numId w:val="1024"/>
        </w:numPr>
      </w:pPr>
      <w:r>
        <w:t xml:space="preserve">Advanced visualization and reporting capability implementation</w:t>
      </w:r>
    </w:p>
    <w:p>
      <w:pPr>
        <w:pStyle w:val="Compact"/>
        <w:numPr>
          <w:ilvl w:val="0"/>
          <w:numId w:val="1024"/>
        </w:numPr>
      </w:pPr>
      <w:r>
        <w:t xml:space="preserve">Organizational change management and training programs</w:t>
      </w:r>
    </w:p>
    <w:p>
      <w:pPr>
        <w:pStyle w:val="FirstParagraph"/>
      </w:pPr>
      <w:r>
        <w:rPr>
          <w:b/>
          <w:bCs/>
        </w:rPr>
        <w:t xml:space="preserve">Success Metrics</w:t>
      </w:r>
      <w:r>
        <w:t xml:space="preserve">:</w:t>
      </w:r>
    </w:p>
    <w:p>
      <w:pPr>
        <w:pStyle w:val="Compact"/>
        <w:numPr>
          <w:ilvl w:val="0"/>
          <w:numId w:val="1025"/>
        </w:numPr>
      </w:pPr>
      <w:r>
        <w:t xml:space="preserve">Significant reduction in time-to-insight for clinical users</w:t>
      </w:r>
    </w:p>
    <w:p>
      <w:pPr>
        <w:pStyle w:val="Compact"/>
        <w:numPr>
          <w:ilvl w:val="0"/>
          <w:numId w:val="1025"/>
        </w:numPr>
      </w:pPr>
      <w:r>
        <w:t xml:space="preserve">Substantial reduction in query development time</w:t>
      </w:r>
    </w:p>
    <w:p>
      <w:pPr>
        <w:pStyle w:val="Compact"/>
        <w:numPr>
          <w:ilvl w:val="0"/>
          <w:numId w:val="1025"/>
        </w:numPr>
      </w:pPr>
      <w:r>
        <w:t xml:space="preserve">High success rate for clinical users completing analyses independently</w:t>
      </w:r>
    </w:p>
    <w:p>
      <w:pPr>
        <w:pStyle w:val="Compact"/>
        <w:numPr>
          <w:ilvl w:val="0"/>
          <w:numId w:val="1025"/>
        </w:numPr>
      </w:pPr>
      <w:r>
        <w:t xml:space="preserve">Measurable advancement in HIMSS AMAM maturity assessment [I1]</w:t>
      </w:r>
    </w:p>
    <w:bookmarkEnd w:id="73"/>
    <w:bookmarkEnd w:id="74"/>
    <w:bookmarkStart w:id="78" w:name="risk-mitigation-and-quality-assurance"/>
    <w:p>
      <w:pPr>
        <w:pStyle w:val="Heading2"/>
      </w:pPr>
      <w:r>
        <w:rPr>
          <w:rStyle w:val="SectionNumber"/>
        </w:rPr>
        <w:t xml:space="preserve">5.4</w:t>
      </w:r>
      <w:r>
        <w:tab/>
      </w:r>
      <w:r>
        <w:t xml:space="preserve">Risk Mitigation and Quality Assurance</w:t>
      </w:r>
    </w:p>
    <w:bookmarkStart w:id="75" w:name="data-quality-and-accuracy"/>
    <w:p>
      <w:pPr>
        <w:pStyle w:val="Heading3"/>
      </w:pPr>
      <w:r>
        <w:rPr>
          <w:rStyle w:val="SectionNumber"/>
        </w:rPr>
        <w:t xml:space="preserve">5.4.1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p>
    <w:p>
      <w:pPr>
        <w:pStyle w:val="Compact"/>
        <w:numPr>
          <w:ilvl w:val="0"/>
          <w:numId w:val="1026"/>
        </w:numPr>
      </w:pPr>
      <w:r>
        <w:t xml:space="preserve">Multi-layer validation including semantic checking, statistical validation, and clinical review</w:t>
      </w:r>
    </w:p>
    <w:p>
      <w:pPr>
        <w:pStyle w:val="Compact"/>
        <w:numPr>
          <w:ilvl w:val="0"/>
          <w:numId w:val="1026"/>
        </w:numPr>
      </w:pPr>
      <w:r>
        <w:t xml:space="preserve">Confidence scoring for AI-generated queries with human review thresholds</w:t>
      </w:r>
    </w:p>
    <w:p>
      <w:pPr>
        <w:pStyle w:val="Compact"/>
        <w:numPr>
          <w:ilvl w:val="0"/>
          <w:numId w:val="1026"/>
        </w:numPr>
      </w:pPr>
      <w:r>
        <w:t xml:space="preserve">Audit trails for all analytical outputs enabling traceability and verification</w:t>
      </w:r>
    </w:p>
    <w:p>
      <w:pPr>
        <w:pStyle w:val="Compact"/>
        <w:numPr>
          <w:ilvl w:val="0"/>
          <w:numId w:val="1026"/>
        </w:numPr>
      </w:pPr>
      <w:r>
        <w:t xml:space="preserve">Integration with clinical decision support systems for context validation</w:t>
      </w:r>
    </w:p>
    <w:bookmarkEnd w:id="75"/>
    <w:bookmarkStart w:id="76" w:name="change-management-and-adoption"/>
    <w:p>
      <w:pPr>
        <w:pStyle w:val="Heading3"/>
      </w:pPr>
      <w:r>
        <w:rPr>
          <w:rStyle w:val="SectionNumber"/>
        </w:rPr>
        <w:t xml:space="preserve">5.4.2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p>
    <w:p>
      <w:pPr>
        <w:pStyle w:val="Compact"/>
        <w:numPr>
          <w:ilvl w:val="0"/>
          <w:numId w:val="1027"/>
        </w:numPr>
      </w:pPr>
      <w:r>
        <w:t xml:space="preserve">Gradual deployment beginning with analytics-savvy early adopters</w:t>
      </w:r>
    </w:p>
    <w:p>
      <w:pPr>
        <w:pStyle w:val="Compact"/>
        <w:numPr>
          <w:ilvl w:val="0"/>
          <w:numId w:val="1027"/>
        </w:numPr>
      </w:pPr>
      <w:r>
        <w:t xml:space="preserve">Comprehensive training programs tailored to clinical workflows</w:t>
      </w:r>
    </w:p>
    <w:p>
      <w:pPr>
        <w:pStyle w:val="Compact"/>
        <w:numPr>
          <w:ilvl w:val="0"/>
          <w:numId w:val="1027"/>
        </w:numPr>
      </w:pPr>
      <w:r>
        <w:t xml:space="preserve">Champions program utilizing domain experts as internal advocates</w:t>
      </w:r>
    </w:p>
    <w:p>
      <w:pPr>
        <w:pStyle w:val="Compact"/>
        <w:numPr>
          <w:ilvl w:val="0"/>
          <w:numId w:val="1027"/>
        </w:numPr>
      </w:pPr>
      <w:r>
        <w:t xml:space="preserve">Demonstration of quick wins and tangible value through pilot projects</w:t>
      </w:r>
    </w:p>
    <w:bookmarkEnd w:id="76"/>
    <w:bookmarkStart w:id="77" w:name="regulatory-compliance-and-security"/>
    <w:p>
      <w:pPr>
        <w:pStyle w:val="Heading3"/>
      </w:pPr>
      <w:r>
        <w:rPr>
          <w:rStyle w:val="SectionNumber"/>
        </w:rPr>
        <w:t xml:space="preserve">5.4.3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p>
    <w:p>
      <w:pPr>
        <w:pStyle w:val="Compact"/>
        <w:numPr>
          <w:ilvl w:val="0"/>
          <w:numId w:val="1028"/>
        </w:numPr>
      </w:pPr>
      <w:r>
        <w:t xml:space="preserve">Role-based access controls integrated with existing identity management systems</w:t>
      </w:r>
    </w:p>
    <w:p>
      <w:pPr>
        <w:pStyle w:val="Compact"/>
        <w:numPr>
          <w:ilvl w:val="0"/>
          <w:numId w:val="1028"/>
        </w:numPr>
      </w:pPr>
      <w:r>
        <w:t xml:space="preserve">Audit logging of all data access and analytical activities</w:t>
      </w:r>
    </w:p>
    <w:p>
      <w:pPr>
        <w:pStyle w:val="Compact"/>
        <w:numPr>
          <w:ilvl w:val="0"/>
          <w:numId w:val="1028"/>
        </w:numPr>
      </w:pPr>
      <w:r>
        <w:t xml:space="preserve">Data de-identification and anonymization capabilities for research and training</w:t>
      </w:r>
    </w:p>
    <w:p>
      <w:pPr>
        <w:pStyle w:val="Compact"/>
        <w:numPr>
          <w:ilvl w:val="0"/>
          <w:numId w:val="1028"/>
        </w:numPr>
      </w:pPr>
      <w:r>
        <w:t xml:space="preserve">Regular security assessments and compliance validation</w:t>
      </w:r>
    </w:p>
    <w:bookmarkEnd w:id="77"/>
    <w:bookmarkEnd w:id="78"/>
    <w:bookmarkEnd w:id="79"/>
    <w:bookmarkStart w:id="90" w:name="X66cabc236ae7269b8de9ac30399e4499b840a55"/>
    <w:p>
      <w:pPr>
        <w:pStyle w:val="Heading1"/>
      </w:pPr>
      <w:r>
        <w:rPr>
          <w:rStyle w:val="SectionNumber"/>
        </w:rPr>
        <w:t xml:space="preserve">6</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84" w:name="academic-study-results"/>
    <w:p>
      <w:pPr>
        <w:pStyle w:val="Heading2"/>
      </w:pPr>
      <w:r>
        <w:rPr>
          <w:rStyle w:val="SectionNumber"/>
        </w:rPr>
        <w:t xml:space="preserve">6.1</w:t>
      </w:r>
      <w:r>
        <w:tab/>
      </w:r>
      <w:r>
        <w:t xml:space="preserve">Academic Study Results</w:t>
      </w:r>
    </w:p>
    <w:bookmarkStart w:id="80" w:name="llm-benchmarking-in-healthcare"/>
    <w:p>
      <w:pPr>
        <w:pStyle w:val="Heading3"/>
      </w:pPr>
      <w:r>
        <w:rPr>
          <w:rStyle w:val="SectionNumber"/>
        </w:rPr>
        <w:t xml:space="preserve">6.1.1</w:t>
      </w:r>
      <w:r>
        <w:tab/>
      </w:r>
      <w:r>
        <w:t xml:space="preserve">LLM Benchmarking in Healthcare</w:t>
      </w:r>
    </w:p>
    <w:p>
      <w:pPr>
        <w:pStyle w:val="FirstParagraph"/>
      </w:pPr>
      <w:r>
        <w:t xml:space="preserve">Recent benchmarking studies provide empirical validation of AI capabilities in healthcare settings. The MedAgentBench study [A8]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[A9]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80"/>
    <w:bookmarkStart w:id="81" w:name="healthcare-text-to-sql-benchmarks"/>
    <w:p>
      <w:pPr>
        <w:pStyle w:val="Heading3"/>
      </w:pPr>
      <w:r>
        <w:rPr>
          <w:rStyle w:val="SectionNumber"/>
        </w:rPr>
        <w:t xml:space="preserve">6.1.2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81"/>
    <w:bookmarkStart w:id="82" w:name="rag-for-healthcare-queries"/>
    <w:p>
      <w:pPr>
        <w:pStyle w:val="Heading3"/>
      </w:pPr>
      <w:r>
        <w:rPr>
          <w:rStyle w:val="SectionNumber"/>
        </w:rPr>
        <w:t xml:space="preserve">6.1.3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82"/>
    <w:bookmarkStart w:id="83" w:name="nlp-in-healthcare"/>
    <w:p>
      <w:pPr>
        <w:pStyle w:val="Heading3"/>
      </w:pPr>
      <w:r>
        <w:rPr>
          <w:rStyle w:val="SectionNumber"/>
        </w:rPr>
        <w:t xml:space="preserve">6.1.4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83"/>
    <w:bookmarkEnd w:id="84"/>
    <w:bookmarkStart w:id="86" w:name="real-world-case-studies"/>
    <w:p>
      <w:pPr>
        <w:pStyle w:val="Heading2"/>
      </w:pPr>
      <w:r>
        <w:rPr>
          <w:rStyle w:val="SectionNumber"/>
        </w:rPr>
        <w:t xml:space="preserve">6.2</w:t>
      </w:r>
      <w:r>
        <w:tab/>
      </w:r>
      <w:r>
        <w:t xml:space="preserve">Real-World Case Studies</w:t>
      </w:r>
    </w:p>
    <w:bookmarkStart w:id="85" w:name="berkshire-healthcare-nhs-trust"/>
    <w:p>
      <w:pPr>
        <w:pStyle w:val="Heading3"/>
      </w:pPr>
      <w:r>
        <w:rPr>
          <w:rStyle w:val="SectionNumber"/>
        </w:rPr>
        <w:t xml:space="preserve">6.2.1</w:t>
      </w:r>
      <w:r>
        <w:tab/>
      </w:r>
      <w:r>
        <w:t xml:space="preserve">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p>
    <w:p>
      <w:pPr>
        <w:pStyle w:val="Compact"/>
        <w:numPr>
          <w:ilvl w:val="0"/>
          <w:numId w:val="1029"/>
        </w:numPr>
      </w:pPr>
      <w:r>
        <w:rPr>
          <w:b/>
          <w:bCs/>
        </w:rPr>
        <w:t xml:space="preserve">Platform</w:t>
      </w:r>
      <w:r>
        <w:t xml:space="preserve">: Microsoft Power Platform (low-code)</w:t>
      </w:r>
    </w:p>
    <w:p>
      <w:pPr>
        <w:pStyle w:val="Compact"/>
        <w:numPr>
          <w:ilvl w:val="0"/>
          <w:numId w:val="1029"/>
        </w:numPr>
      </w:pP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p>
    <w:p>
      <w:pPr>
        <w:pStyle w:val="Compact"/>
        <w:numPr>
          <w:ilvl w:val="0"/>
          <w:numId w:val="1029"/>
        </w:numPr>
      </w:pPr>
      <w:r>
        <w:rPr>
          <w:b/>
          <w:bCs/>
        </w:rPr>
        <w:t xml:space="preserve">Training</w:t>
      </w:r>
      <w:r>
        <w:t xml:space="preserve">: Structured citizen developer programme</w:t>
      </w:r>
    </w:p>
    <w:p>
      <w:pPr>
        <w:pStyle w:val="FirstParagraph"/>
      </w:pPr>
      <w:r>
        <w:rPr>
          <w:b/>
          <w:bCs/>
        </w:rPr>
        <w:t xml:space="preserve">Outcomes</w:t>
      </w:r>
      <w:r>
        <w:t xml:space="preserve">:</w:t>
      </w:r>
    </w:p>
    <w:p>
      <w:pPr>
        <w:pStyle w:val="Compact"/>
        <w:numPr>
          <w:ilvl w:val="0"/>
          <w:numId w:val="1030"/>
        </w:numPr>
      </w:pPr>
      <w:r>
        <w:t xml:space="preserve">Healthcare professionals without IT expertise now create custom solutions and apps</w:t>
      </w:r>
    </w:p>
    <w:p>
      <w:pPr>
        <w:pStyle w:val="Compact"/>
        <w:numPr>
          <w:ilvl w:val="0"/>
          <w:numId w:val="1030"/>
        </w:numPr>
      </w:pPr>
      <w:r>
        <w:t xml:space="preserve">Streamlined operations and enabled data-driven decisions</w:t>
      </w:r>
    </w:p>
    <w:p>
      <w:pPr>
        <w:pStyle w:val="Compact"/>
        <w:numPr>
          <w:ilvl w:val="0"/>
          <w:numId w:val="1030"/>
        </w:numPr>
      </w:pPr>
      <w:r>
        <w:t xml:space="preserve">Over 65,000 observations recorded through Power Apps in patient wards</w:t>
      </w:r>
    </w:p>
    <w:p>
      <w:pPr>
        <w:pStyle w:val="Compact"/>
        <w:numPr>
          <w:ilvl w:val="0"/>
          <w:numId w:val="1030"/>
        </w:numPr>
      </w:pPr>
      <w:r>
        <w:t xml:space="preserve">Significant improvement in data accuracy and time given back to clinical service</w:t>
      </w:r>
    </w:p>
    <w:p>
      <w:pPr>
        <w:pStyle w:val="Compact"/>
        <w:numPr>
          <w:ilvl w:val="0"/>
          <w:numId w:val="1030"/>
        </w:numPr>
      </w:pPr>
      <w:r>
        <w:t xml:space="preserve">Backlog of 100+ processes submitted for automation</w:t>
      </w:r>
    </w:p>
    <w:p>
      <w:pPr>
        <w:pStyle w:val="FirstParagraph"/>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85"/>
    <w:bookmarkEnd w:id="86"/>
    <w:bookmarkStart w:id="89" w:name="economic-impact-analysis"/>
    <w:p>
      <w:pPr>
        <w:pStyle w:val="Heading2"/>
      </w:pPr>
      <w:r>
        <w:rPr>
          <w:rStyle w:val="SectionNumber"/>
        </w:rPr>
        <w:t xml:space="preserve">6.3</w:t>
      </w:r>
      <w:r>
        <w:tab/>
      </w:r>
      <w:r>
        <w:t xml:space="preserve">Economic Impact Analysis</w:t>
      </w:r>
    </w:p>
    <w:bookmarkStart w:id="87" w:name="return-on-investment-evidence-1"/>
    <w:p>
      <w:pPr>
        <w:pStyle w:val="Heading3"/>
      </w:pPr>
      <w:r>
        <w:rPr>
          <w:rStyle w:val="SectionNumber"/>
        </w:rPr>
        <w:t xml:space="preserve">6.3.1</w:t>
      </w:r>
      <w:r>
        <w:tab/>
      </w:r>
      <w:r>
        <w:t xml:space="preserve">Return on Investment Evidence</w:t>
      </w:r>
    </w:p>
    <w:p>
      <w:pPr>
        <w:pStyle w:val="FirstParagraph"/>
      </w:pPr>
      <w:r>
        <w:t xml:space="preserve">Academic research provides evidence for the financial benefits of low-code and conversational AI platforms in healthcare:</w:t>
      </w:r>
    </w:p>
    <w:p>
      <w:pPr>
        <w:pStyle w:val="Compact"/>
        <w:numPr>
          <w:ilvl w:val="0"/>
          <w:numId w:val="1031"/>
        </w:numPr>
      </w:pPr>
      <w:r>
        <w:rPr>
          <w:b/>
          <w:bCs/>
        </w:rPr>
        <w:t xml:space="preserve">Operational Efficiency</w:t>
      </w:r>
      <w:r>
        <w:t xml:space="preserve">: Jiao et al. [A20] found AI adoption leads to cost savings through improved service delivery and shorter hospitalization lengths</w:t>
      </w:r>
    </w:p>
    <w:p>
      <w:pPr>
        <w:pStyle w:val="Compact"/>
        <w:numPr>
          <w:ilvl w:val="0"/>
          <w:numId w:val="1031"/>
        </w:numPr>
      </w:pPr>
      <w:r>
        <w:rPr>
          <w:b/>
          <w:bCs/>
        </w:rPr>
        <w:t xml:space="preserve">Revenue Cycle Improvements</w:t>
      </w:r>
      <w:r>
        <w:t xml:space="preserve">: Pennington [A22] documented payment cycle acceleration from 90 to 40 days with AI implementation</w:t>
      </w:r>
    </w:p>
    <w:p>
      <w:pPr>
        <w:pStyle w:val="Compact"/>
        <w:numPr>
          <w:ilvl w:val="0"/>
          <w:numId w:val="1031"/>
        </w:numPr>
      </w:pPr>
      <w:r>
        <w:rPr>
          <w:b/>
          <w:bCs/>
        </w:rPr>
        <w:t xml:space="preserve">Reduced Overhead</w:t>
      </w:r>
      <w:r>
        <w:t xml:space="preserve">: Sezgin et al. [A19] demonstrated chatbot implementations that reduce clinic administrative burden</w:t>
      </w:r>
    </w:p>
    <w:p>
      <w:pPr>
        <w:pStyle w:val="Compact"/>
        <w:numPr>
          <w:ilvl w:val="0"/>
          <w:numId w:val="1031"/>
        </w:numPr>
      </w:pPr>
      <w:r>
        <w:rPr>
          <w:b/>
          <w:bCs/>
        </w:rPr>
        <w:t xml:space="preserve">Workflow Optimization</w:t>
      </w:r>
      <w:r>
        <w:t xml:space="preserve">: Dai and Abramoff [A21] showed AI enables affordable predictions that prevent costly interventions</w:t>
      </w:r>
    </w:p>
    <w:p>
      <w:pPr>
        <w:pStyle w:val="FirstParagraph"/>
      </w:pPr>
      <w:r>
        <w:t xml:space="preserve">Industry-sponsored research from Forrester [I5] projects 206% three-year ROI and $31.0 million NPV for Power Platform implementations, though these figures should be interpreted cautiously given vendor sponsorship. Healthcare implementations may show lower returns than other industries due to regulatory compliance requirements.</w:t>
      </w:r>
    </w:p>
    <w:bookmarkEnd w:id="87"/>
    <w:bookmarkStart w:id="88" w:name="market-validation-and-growth"/>
    <w:p>
      <w:pPr>
        <w:pStyle w:val="Heading3"/>
      </w:pPr>
      <w:r>
        <w:rPr>
          <w:rStyle w:val="SectionNumber"/>
        </w:rPr>
        <w:t xml:space="preserve">6.3.2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p>
    <w:p>
      <w:pPr>
        <w:pStyle w:val="Compact"/>
        <w:numPr>
          <w:ilvl w:val="0"/>
          <w:numId w:val="1032"/>
        </w:numPr>
      </w:pPr>
      <w:r>
        <w:rPr>
          <w:b/>
          <w:bCs/>
        </w:rPr>
        <w:t xml:space="preserve">Current Market</w:t>
      </w:r>
      <w:r>
        <w:t xml:space="preserve">: $64.49 billion (2025) healthcare analytics market</w:t>
      </w:r>
    </w:p>
    <w:p>
      <w:pPr>
        <w:pStyle w:val="Compact"/>
        <w:numPr>
          <w:ilvl w:val="0"/>
          <w:numId w:val="1032"/>
        </w:numPr>
      </w:pPr>
      <w:r>
        <w:rPr>
          <w:b/>
          <w:bCs/>
        </w:rPr>
        <w:t xml:space="preserve">Projected Growth</w:t>
      </w:r>
      <w:r>
        <w:t xml:space="preserve">: $369.66 billion by 2034</w:t>
      </w:r>
    </w:p>
    <w:p>
      <w:pPr>
        <w:pStyle w:val="Compact"/>
        <w:numPr>
          <w:ilvl w:val="0"/>
          <w:numId w:val="1032"/>
        </w:numPr>
      </w:pPr>
      <w:r>
        <w:rPr>
          <w:b/>
          <w:bCs/>
        </w:rPr>
        <w:t xml:space="preserve">CAGR</w:t>
      </w:r>
      <w:r>
        <w:t xml:space="preserve">: 21.41% from 2025 to 2034</w:t>
      </w:r>
    </w:p>
    <w:p>
      <w:pPr>
        <w:pStyle w:val="Compact"/>
        <w:numPr>
          <w:ilvl w:val="0"/>
          <w:numId w:val="1032"/>
        </w:numPr>
      </w:pPr>
      <w:r>
        <w:rPr>
          <w:b/>
          <w:bCs/>
        </w:rPr>
        <w:t xml:space="preserve">North America Share</w:t>
      </w:r>
      <w:r>
        <w:t xml:space="preserve">: 48.62% of market in 2024</w:t>
      </w:r>
    </w:p>
    <w:p>
      <w:pPr>
        <w:pStyle w:val="Compact"/>
        <w:numPr>
          <w:ilvl w:val="0"/>
          <w:numId w:val="1032"/>
        </w:numPr>
      </w:pPr>
      <w:r>
        <w:rPr>
          <w:b/>
          <w:bCs/>
        </w:rPr>
        <w:t xml:space="preserve">U.S. Market</w:t>
      </w:r>
      <w:r>
        <w:t xml:space="preserve">: Expected to reach $152.03 billion by 2034</w:t>
      </w:r>
    </w:p>
    <w:bookmarkEnd w:id="88"/>
    <w:bookmarkEnd w:id="89"/>
    <w:bookmarkEnd w:id="90"/>
    <w:bookmarkStart w:id="112" w:name="discussion"/>
    <w:p>
      <w:pPr>
        <w:pStyle w:val="Heading1"/>
      </w:pPr>
      <w:r>
        <w:rPr>
          <w:rStyle w:val="SectionNumber"/>
        </w:rPr>
        <w:t xml:space="preserve">7</w:t>
      </w:r>
      <w:r>
        <w:tab/>
      </w:r>
      <w:r>
        <w:t xml:space="preserve">Discussion</w:t>
      </w:r>
    </w:p>
    <w:bookmarkStart w:id="96" w:name="strengths-of-the-evidence-base"/>
    <w:p>
      <w:pPr>
        <w:pStyle w:val="Heading2"/>
      </w:pPr>
      <w:r>
        <w:rPr>
          <w:rStyle w:val="SectionNumber"/>
        </w:rPr>
        <w:t xml:space="preserve">7.1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91" w:name="validated-benchmarking-data"/>
    <w:p>
      <w:pPr>
        <w:pStyle w:val="Heading3"/>
      </w:pPr>
      <w:r>
        <w:rPr>
          <w:rStyle w:val="SectionNumber"/>
        </w:rPr>
        <w:t xml:space="preserve">7.1.1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91"/>
    <w:bookmarkStart w:id="92" w:name="real-world-implementation-evidence"/>
    <w:p>
      <w:pPr>
        <w:pStyle w:val="Heading3"/>
      </w:pPr>
      <w:r>
        <w:rPr>
          <w:rStyle w:val="SectionNumber"/>
        </w:rPr>
        <w:t xml:space="preserve">7.1.2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92"/>
    <w:bookmarkStart w:id="93" w:name="X4bdb3f96981e95785fd307c52a030d26fb6f97c"/>
    <w:p>
      <w:pPr>
        <w:pStyle w:val="Heading3"/>
      </w:pPr>
      <w:r>
        <w:rPr>
          <w:rStyle w:val="SectionNumber"/>
        </w:rPr>
        <w:t xml:space="preserve">7.1.3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93"/>
    <w:bookmarkStart w:id="94" w:name="strong-economic-justification"/>
    <w:p>
      <w:pPr>
        <w:pStyle w:val="Heading3"/>
      </w:pPr>
      <w:r>
        <w:rPr>
          <w:rStyle w:val="SectionNumber"/>
        </w:rPr>
        <w:t xml:space="preserve">7.1.4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94"/>
    <w:bookmarkStart w:id="95" w:name="honest-assessment-of-limitations"/>
    <w:p>
      <w:pPr>
        <w:pStyle w:val="Heading3"/>
      </w:pPr>
      <w:r>
        <w:rPr>
          <w:rStyle w:val="SectionNumber"/>
        </w:rPr>
        <w:t xml:space="preserve">7.1.5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95"/>
    <w:bookmarkEnd w:id="96"/>
    <w:bookmarkStart w:id="103" w:name="limitations-and-constraints"/>
    <w:p>
      <w:pPr>
        <w:pStyle w:val="Heading2"/>
      </w:pPr>
      <w:r>
        <w:rPr>
          <w:rStyle w:val="SectionNumber"/>
        </w:rPr>
        <w:t xml:space="preserve">7.2</w:t>
      </w:r>
      <w:r>
        <w:tab/>
      </w:r>
      <w:r>
        <w:t xml:space="preserve">Limitations and Constraints</w:t>
      </w:r>
    </w:p>
    <w:p>
      <w:pPr>
        <w:pStyle w:val="FirstParagraph"/>
      </w:pPr>
      <w:r>
        <w:t xml:space="preserve">Despite strong evidence supporting conversational AI adoption, several limitations must be acknowledged:</w:t>
      </w:r>
    </w:p>
    <w:bookmarkStart w:id="97" w:name="implementation-complexity"/>
    <w:p>
      <w:pPr>
        <w:pStyle w:val="Heading3"/>
      </w:pPr>
      <w:r>
        <w:rPr>
          <w:rStyle w:val="SectionNumber"/>
        </w:rPr>
        <w:t xml:space="preserve">7.2.1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97"/>
    <w:bookmarkStart w:id="98" w:name="X45f8c7a46a04784e9744b636e11bc2977732e83"/>
    <w:p>
      <w:pPr>
        <w:pStyle w:val="Heading3"/>
      </w:pPr>
      <w:r>
        <w:rPr>
          <w:rStyle w:val="SectionNumber"/>
        </w:rPr>
        <w:t xml:space="preserve">7.2.2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8"/>
    <w:bookmarkStart w:id="99" w:name="long-term-outcome-uncertainties"/>
    <w:p>
      <w:pPr>
        <w:pStyle w:val="Heading3"/>
      </w:pPr>
      <w:r>
        <w:rPr>
          <w:rStyle w:val="SectionNumber"/>
        </w:rPr>
        <w:t xml:space="preserve">7.2.3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99"/>
    <w:bookmarkStart w:id="100" w:name="X2274a69eeb0cb360e25f4a0c6de53a1a41ef3b2"/>
    <w:p>
      <w:pPr>
        <w:pStyle w:val="Heading3"/>
      </w:pPr>
      <w:r>
        <w:rPr>
          <w:rStyle w:val="SectionNumber"/>
        </w:rPr>
        <w:t xml:space="preserve">7.2.4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100"/>
    <w:bookmarkStart w:id="101" w:name="specialty-specific-application-gaps"/>
    <w:p>
      <w:pPr>
        <w:pStyle w:val="Heading3"/>
      </w:pPr>
      <w:r>
        <w:rPr>
          <w:rStyle w:val="SectionNumber"/>
        </w:rPr>
        <w:t xml:space="preserve">7.2.5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101"/>
    <w:bookmarkStart w:id="102" w:name="methodological-considerations"/>
    <w:p>
      <w:pPr>
        <w:pStyle w:val="Heading3"/>
      </w:pPr>
      <w:r>
        <w:rPr>
          <w:rStyle w:val="SectionNumber"/>
        </w:rPr>
        <w:t xml:space="preserve">7.2.6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102"/>
    <w:bookmarkEnd w:id="103"/>
    <w:bookmarkStart w:id="107" w:name="future-research-directions"/>
    <w:p>
      <w:pPr>
        <w:pStyle w:val="Heading2"/>
      </w:pPr>
      <w:r>
        <w:rPr>
          <w:rStyle w:val="SectionNumber"/>
        </w:rPr>
        <w:t xml:space="preserve">7.3</w:t>
      </w:r>
      <w:r>
        <w:tab/>
      </w:r>
      <w:r>
        <w:t xml:space="preserve">Future Research Directions</w:t>
      </w:r>
    </w:p>
    <w:p>
      <w:pPr>
        <w:pStyle w:val="FirstParagraph"/>
      </w:pPr>
      <w:r>
        <w:t xml:space="preserve">The evidence review identifies several priority areas for future investigation:</w:t>
      </w:r>
    </w:p>
    <w:bookmarkStart w:id="104" w:name="short-term-research-priorities-1-year"/>
    <w:p>
      <w:pPr>
        <w:pStyle w:val="Heading3"/>
      </w:pPr>
      <w:r>
        <w:rPr>
          <w:rStyle w:val="SectionNumber"/>
        </w:rPr>
        <w:t xml:space="preserve">7.3.1</w:t>
      </w:r>
      <w:r>
        <w:tab/>
      </w:r>
      <w:r>
        <w:t xml:space="preserve">Short-Term Research Priorities (&lt;1 year)</w:t>
      </w:r>
    </w:p>
    <w:p>
      <w:pPr>
        <w:pStyle w:val="Compact"/>
        <w:numPr>
          <w:ilvl w:val="0"/>
          <w:numId w:val="1033"/>
        </w:numPr>
      </w:pPr>
      <w:r>
        <w:rPr>
          <w:b/>
          <w:bCs/>
        </w:rPr>
        <w:t xml:space="preserve">Specialty Domain Validation</w:t>
      </w:r>
      <w:r>
        <w:t xml:space="preserve">: Empirical studies in specialized clinical areas to validate generalizability</w:t>
      </w:r>
    </w:p>
    <w:p>
      <w:pPr>
        <w:pStyle w:val="Compact"/>
        <w:numPr>
          <w:ilvl w:val="0"/>
          <w:numId w:val="1033"/>
        </w:numPr>
      </w:pPr>
      <w:r>
        <w:rPr>
          <w:b/>
          <w:bCs/>
        </w:rPr>
        <w:t xml:space="preserve">Governance Framework Development</w:t>
      </w:r>
      <w:r>
        <w:t xml:space="preserve">: Research on optimal governance models for democratized analytics</w:t>
      </w:r>
    </w:p>
    <w:p>
      <w:pPr>
        <w:pStyle w:val="Compact"/>
        <w:numPr>
          <w:ilvl w:val="0"/>
          <w:numId w:val="1033"/>
        </w:numPr>
      </w:pPr>
      <w:r>
        <w:rPr>
          <w:b/>
          <w:bCs/>
        </w:rPr>
        <w:t xml:space="preserve">Integration Pattern Analysis</w:t>
      </w:r>
      <w:r>
        <w:t xml:space="preserve">: Technical research on architectural patterns for healthcare IT ecosystem integration</w:t>
      </w:r>
    </w:p>
    <w:bookmarkEnd w:id="104"/>
    <w:bookmarkStart w:id="105" w:name="X7d60b5f2cd724c2ff27fb462003d9a6f0f38ecc"/>
    <w:p>
      <w:pPr>
        <w:pStyle w:val="Heading3"/>
      </w:pPr>
      <w:r>
        <w:rPr>
          <w:rStyle w:val="SectionNumber"/>
        </w:rPr>
        <w:t xml:space="preserve">7.3.2</w:t>
      </w:r>
      <w:r>
        <w:tab/>
      </w:r>
      <w:r>
        <w:t xml:space="preserve">Medium-Term Research Priorities (1-2 years)</w:t>
      </w:r>
    </w:p>
    <w:p>
      <w:pPr>
        <w:pStyle w:val="Compact"/>
        <w:numPr>
          <w:ilvl w:val="0"/>
          <w:numId w:val="1034"/>
        </w:numPr>
      </w:pPr>
      <w:r>
        <w:rPr>
          <w:b/>
          <w:bCs/>
        </w:rPr>
        <w:t xml:space="preserve">Longitudinal Outcome Studies</w:t>
      </w:r>
      <w:r>
        <w:t xml:space="preserve">: Multi-year implementations to assess sustained benefits and organizational evolution</w:t>
      </w:r>
    </w:p>
    <w:p>
      <w:pPr>
        <w:pStyle w:val="Compact"/>
        <w:numPr>
          <w:ilvl w:val="0"/>
          <w:numId w:val="1034"/>
        </w:numPr>
      </w:pPr>
      <w:r>
        <w:rPr>
          <w:b/>
          <w:bCs/>
        </w:rPr>
        <w:t xml:space="preserve">Comparative Effectiveness Research</w:t>
      </w:r>
      <w:r>
        <w:t xml:space="preserve">: Head-to-head comparisons of different conversational AI approaches</w:t>
      </w:r>
    </w:p>
    <w:p>
      <w:pPr>
        <w:pStyle w:val="Compact"/>
        <w:numPr>
          <w:ilvl w:val="0"/>
          <w:numId w:val="1034"/>
        </w:numPr>
      </w:pPr>
      <w:r>
        <w:rPr>
          <w:b/>
          <w:bCs/>
        </w:rPr>
        <w:t xml:space="preserve">Training Methodology Optimization</w:t>
      </w:r>
      <w:r>
        <w:t xml:space="preserve">: Evidence-based approaches for transitioning from traditional to conversational analytics</w:t>
      </w:r>
    </w:p>
    <w:bookmarkEnd w:id="105"/>
    <w:bookmarkStart w:id="106" w:name="long-term-research-priorities-2-years"/>
    <w:p>
      <w:pPr>
        <w:pStyle w:val="Heading3"/>
      </w:pPr>
      <w:r>
        <w:rPr>
          <w:rStyle w:val="SectionNumber"/>
        </w:rPr>
        <w:t xml:space="preserve">7.3.3</w:t>
      </w:r>
      <w:r>
        <w:tab/>
      </w:r>
      <w:r>
        <w:t xml:space="preserve">Long-Term Research Priorities (&gt;2 years)</w:t>
      </w:r>
    </w:p>
    <w:p>
      <w:pPr>
        <w:pStyle w:val="Compact"/>
        <w:numPr>
          <w:ilvl w:val="0"/>
          <w:numId w:val="1035"/>
        </w:numPr>
      </w:pPr>
      <w:r>
        <w:rPr>
          <w:b/>
          <w:bCs/>
        </w:rPr>
        <w:t xml:space="preserve">Organizational Transformation Studies</w:t>
      </w:r>
      <w:r>
        <w:t xml:space="preserve">: Research on how conversational AI platforms reshape healthcare organizational capabilities</w:t>
      </w:r>
    </w:p>
    <w:p>
      <w:pPr>
        <w:pStyle w:val="Compact"/>
        <w:numPr>
          <w:ilvl w:val="0"/>
          <w:numId w:val="1035"/>
        </w:numPr>
      </w:pPr>
      <w:r>
        <w:rPr>
          <w:b/>
          <w:bCs/>
        </w:rPr>
        <w:t xml:space="preserve">Clinical Outcome Impact Assessment</w:t>
      </w:r>
      <w:r>
        <w:t xml:space="preserve">: Studies linking improved analytics access to patient care outcomes</w:t>
      </w:r>
    </w:p>
    <w:p>
      <w:pPr>
        <w:pStyle w:val="Compact"/>
        <w:numPr>
          <w:ilvl w:val="0"/>
          <w:numId w:val="1035"/>
        </w:numPr>
      </w:pPr>
      <w:r>
        <w:rPr>
          <w:b/>
          <w:bCs/>
        </w:rPr>
        <w:t xml:space="preserve">Predictive Analytics Integration</w:t>
      </w:r>
      <w:r>
        <w:t xml:space="preserve">: Research on combining conversational interfaces with advanced predictive modeling</w:t>
      </w:r>
    </w:p>
    <w:bookmarkEnd w:id="106"/>
    <w:bookmarkEnd w:id="107"/>
    <w:bookmarkStart w:id="111" w:name="X655f7faf8ada965dcdcaa0e7f463cb4a3ee5bd1"/>
    <w:p>
      <w:pPr>
        <w:pStyle w:val="Heading2"/>
      </w:pPr>
      <w:r>
        <w:rPr>
          <w:rStyle w:val="SectionNumber"/>
        </w:rPr>
        <w:t xml:space="preserve">7.4</w:t>
      </w:r>
      <w:r>
        <w:tab/>
      </w:r>
      <w:r>
        <w:t xml:space="preserve">Implications for Healthcare Organizations</w:t>
      </w:r>
    </w:p>
    <w:p>
      <w:pPr>
        <w:pStyle w:val="FirstParagraph"/>
      </w:pPr>
      <w:r>
        <w:t xml:space="preserve">The evidence has immediate implications for healthcare leaders considering analytics strategy:</w:t>
      </w:r>
    </w:p>
    <w:bookmarkStart w:id="108" w:name="strategic-imperative"/>
    <w:p>
      <w:pPr>
        <w:pStyle w:val="Heading3"/>
      </w:pPr>
      <w:r>
        <w:rPr>
          <w:rStyle w:val="SectionNumber"/>
        </w:rPr>
        <w:t xml:space="preserve">7.4.1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108"/>
    <w:bookmarkStart w:id="109" w:name="implementation-approach"/>
    <w:p>
      <w:pPr>
        <w:pStyle w:val="Heading3"/>
      </w:pPr>
      <w:r>
        <w:rPr>
          <w:rStyle w:val="SectionNumber"/>
        </w:rPr>
        <w:t xml:space="preserve">7.4.2</w:t>
      </w:r>
      <w:r>
        <w:tab/>
      </w:r>
      <w:r>
        <w:t xml:space="preserve">Implementation Approach</w:t>
      </w:r>
    </w:p>
    <w:p>
      <w:pPr>
        <w:pStyle w:val="FirstParagraph"/>
      </w:pPr>
      <w:r>
        <w:t xml:space="preserve">Evidence suggests that successful implementations require:</w:t>
      </w:r>
    </w:p>
    <w:p>
      <w:pPr>
        <w:pStyle w:val="Compact"/>
        <w:numPr>
          <w:ilvl w:val="0"/>
          <w:numId w:val="1036"/>
        </w:numPr>
      </w:pPr>
      <w:r>
        <w:rPr>
          <w:b/>
          <w:bCs/>
        </w:rPr>
        <w:t xml:space="preserve">Executive Commitment</w:t>
      </w:r>
      <w:r>
        <w:t xml:space="preserve">: Strong leadership support throughout the 18-month average implementation timeline</w:t>
      </w:r>
    </w:p>
    <w:p>
      <w:pPr>
        <w:pStyle w:val="Compact"/>
        <w:numPr>
          <w:ilvl w:val="0"/>
          <w:numId w:val="1036"/>
        </w:numPr>
      </w:pPr>
      <w:r>
        <w:rPr>
          <w:b/>
          <w:bCs/>
        </w:rPr>
        <w:t xml:space="preserve">Change Management Investment</w:t>
      </w:r>
      <w:r>
        <w:t xml:space="preserve">: Comprehensive training and support programs to ensure user adoption</w:t>
      </w:r>
    </w:p>
    <w:p>
      <w:pPr>
        <w:pStyle w:val="Compact"/>
        <w:numPr>
          <w:ilvl w:val="0"/>
          <w:numId w:val="1036"/>
        </w:numPr>
      </w:pPr>
      <w:r>
        <w:rPr>
          <w:b/>
          <w:bCs/>
        </w:rPr>
        <w:t xml:space="preserve">Phased Deployment</w:t>
      </w:r>
      <w:r>
        <w:t xml:space="preserve">: Gradual rollout beginning with analytics-savvy early adopters</w:t>
      </w:r>
    </w:p>
    <w:p>
      <w:pPr>
        <w:pStyle w:val="Compact"/>
        <w:numPr>
          <w:ilvl w:val="0"/>
          <w:numId w:val="1036"/>
        </w:numPr>
      </w:pPr>
      <w:r>
        <w:rPr>
          <w:b/>
          <w:bCs/>
        </w:rPr>
        <w:t xml:space="preserve">Governance Framework Development</w:t>
      </w:r>
      <w:r>
        <w:t xml:space="preserve">: New policies and procedures for democratized analytics</w:t>
      </w:r>
    </w:p>
    <w:bookmarkEnd w:id="109"/>
    <w:bookmarkStart w:id="110" w:name="competitive-advantage"/>
    <w:p>
      <w:pPr>
        <w:pStyle w:val="Heading3"/>
      </w:pPr>
      <w:r>
        <w:rPr>
          <w:rStyle w:val="SectionNumber"/>
        </w:rPr>
        <w:t xml:space="preserve">7.4.3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10"/>
    <w:bookmarkEnd w:id="111"/>
    <w:bookmarkEnd w:id="112"/>
    <w:bookmarkStart w:id="117" w:name="conclusion"/>
    <w:p>
      <w:pPr>
        <w:pStyle w:val="Heading1"/>
      </w:pPr>
      <w:r>
        <w:rPr>
          <w:rStyle w:val="SectionNumber"/>
        </w:rPr>
        <w:t xml:space="preserve">8</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13" w:name="summary-of-contributions"/>
    <w:p>
      <w:pPr>
        <w:pStyle w:val="Heading2"/>
      </w:pPr>
      <w:r>
        <w:rPr>
          <w:rStyle w:val="SectionNumber"/>
        </w:rPr>
        <w:t xml:space="preserve">8.1</w:t>
      </w:r>
      <w:r>
        <w:tab/>
      </w:r>
      <w:r>
        <w:t xml:space="preserve">Summary of Contributions</w:t>
      </w:r>
    </w:p>
    <w:p>
      <w:pPr>
        <w:pStyle w:val="FirstParagraph"/>
      </w:pPr>
      <w:r>
        <w:t xml:space="preserve">This narrative review contributes to healthcare informatics scholarship through:</w:t>
      </w:r>
    </w:p>
    <w:p>
      <w:pPr>
        <w:numPr>
          <w:ilvl w:val="0"/>
          <w:numId w:val="1037"/>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37"/>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37"/>
        </w:numPr>
      </w:pPr>
      <w:r>
        <w:rPr>
          <w:b/>
          <w:bCs/>
        </w:rPr>
        <w:t xml:space="preserve">Strategic Convergence Thesis</w:t>
      </w:r>
      <w:r>
        <w:t xml:space="preserve">: The identification of this unique strategic inflection point—where technical advances, organizational challenges, and workforce dynamics converge—provides healthcare leaders with evidence-based justification for conversational AI investment as a strategic imperative rather than a convenience technology.</w:t>
      </w:r>
    </w:p>
    <w:bookmarkEnd w:id="113"/>
    <w:bookmarkStart w:id="114" w:name="key-findings"/>
    <w:p>
      <w:pPr>
        <w:pStyle w:val="Heading2"/>
      </w:pPr>
      <w:r>
        <w:rPr>
          <w:rStyle w:val="SectionNumber"/>
        </w:rPr>
        <w:t xml:space="preserve">8.2</w:t>
      </w:r>
      <w:r>
        <w:tab/>
      </w:r>
      <w:r>
        <w:t xml:space="preserve">Key Findings</w:t>
      </w:r>
    </w:p>
    <w:p>
      <w:pPr>
        <w:pStyle w:val="FirstParagraph"/>
      </w:pPr>
      <w:r>
        <w:t xml:space="preserve">This review of academic and industry sources establishes several critical findings:</w:t>
      </w:r>
    </w:p>
    <w:p>
      <w:pPr>
        <w:numPr>
          <w:ilvl w:val="0"/>
          <w:numId w:val="1038"/>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38"/>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38"/>
        </w:numPr>
      </w:pPr>
      <w:r>
        <w:rPr>
          <w:b/>
          <w:bCs/>
        </w:rPr>
        <w:t xml:space="preserve">Workforce Impact</w:t>
      </w:r>
      <w:r>
        <w:t xml:space="preserve">: Healthcare IT staff turnover of 34% [A10]—the highest among IT sectors—creates institutional memory loss, with knowledge loss costs reaching three times annual salary budgets [A24]. This creates urgent need for knowledge preservation approaches.</w:t>
      </w:r>
    </w:p>
    <w:p>
      <w:pPr>
        <w:numPr>
          <w:ilvl w:val="0"/>
          <w:numId w:val="1038"/>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114"/>
    <w:bookmarkStart w:id="115" w:name="strategic-implications"/>
    <w:p>
      <w:pPr>
        <w:pStyle w:val="Heading2"/>
      </w:pPr>
      <w:r>
        <w:rPr>
          <w:rStyle w:val="SectionNumber"/>
        </w:rPr>
        <w:t xml:space="preserve">8.3</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academic research documenting cost savings through reduced administrative overhead, accelerated payment cycles, and improved operational efficiency [A19, A20, A21], alongside a healthcare analytics market growing to $369.66 billion by 2034 [I7]. The organizational capability development enabled by conversational AI platforms positions healthcare organizations for competitive advantage in an increasingly data-driven industry.</w:t>
      </w:r>
    </w:p>
    <w:bookmarkEnd w:id="115"/>
    <w:bookmarkStart w:id="116" w:name="call-to-action"/>
    <w:p>
      <w:pPr>
        <w:pStyle w:val="Heading2"/>
      </w:pPr>
      <w:r>
        <w:rPr>
          <w:rStyle w:val="SectionNumber"/>
        </w:rPr>
        <w:t xml:space="preserve">8.4</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16"/>
    <w:bookmarkEnd w:id="117"/>
    <w:bookmarkStart w:id="118" w:name="acknowledgments"/>
    <w:p>
      <w:pPr>
        <w:pStyle w:val="Heading1"/>
      </w:pPr>
      <w:r>
        <w:rPr>
          <w:rStyle w:val="SectionNumber"/>
        </w:rPr>
        <w:t xml:space="preserve">9</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118"/>
    <w:bookmarkStart w:id="119" w:name="author-contributions"/>
    <w:p>
      <w:pPr>
        <w:pStyle w:val="Heading1"/>
      </w:pPr>
      <w:r>
        <w:rPr>
          <w:rStyle w:val="SectionNumber"/>
        </w:rPr>
        <w:t xml:space="preserve">10</w:t>
      </w:r>
      <w:r>
        <w:tab/>
      </w:r>
      <w:r>
        <w:t xml:space="preserve">Author Contributions</w:t>
      </w:r>
    </w:p>
    <w:p>
      <w:pPr>
        <w:pStyle w:val="FirstParagraph"/>
      </w:pPr>
      <w:r>
        <w:t xml:space="preserve">S.T.H. conceived the research, conducted the literature review, and wrote the manuscript.</w:t>
      </w:r>
    </w:p>
    <w:bookmarkEnd w:id="119"/>
    <w:bookmarkStart w:id="120" w:name="competing-interests"/>
    <w:p>
      <w:pPr>
        <w:pStyle w:val="Heading1"/>
      </w:pPr>
      <w:r>
        <w:rPr>
          <w:rStyle w:val="SectionNumber"/>
        </w:rPr>
        <w:t xml:space="preserve">11</w:t>
      </w:r>
      <w:r>
        <w:tab/>
      </w:r>
      <w:r>
        <w:t xml:space="preserve">Competing Interests</w:t>
      </w:r>
    </w:p>
    <w:p>
      <w:pPr>
        <w:pStyle w:val="FirstParagraph"/>
      </w:pPr>
      <w:r>
        <w:t xml:space="preserve">Samuel T Harrold is a contract product advisor at Yuimedi and a Data Scientist at Indiana University Health. The views and opinions expressed in this paper are those of the author and do not necessarily reflect the official policy or position of Indiana University Health, Yuimedi, or any other organization. This research was conducted independently and does not constitute an endorsement by any affiliated institution.</w:t>
      </w:r>
    </w:p>
    <w:bookmarkEnd w:id="120"/>
    <w:bookmarkStart w:id="121" w:name="data-availability"/>
    <w:p>
      <w:pPr>
        <w:pStyle w:val="Heading1"/>
      </w:pPr>
      <w:r>
        <w:rPr>
          <w:rStyle w:val="SectionNumber"/>
        </w:rPr>
        <w:t xml:space="preserve">12</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21"/>
    <w:bookmarkStart w:id="122" w:name="code-availability"/>
    <w:p>
      <w:pPr>
        <w:pStyle w:val="Heading1"/>
      </w:pPr>
      <w:r>
        <w:rPr>
          <w:rStyle w:val="SectionNumber"/>
        </w:rPr>
        <w:t xml:space="preserve">13</w:t>
      </w:r>
      <w:r>
        <w:tab/>
      </w:r>
      <w:r>
        <w:t xml:space="preserve">Code Availability</w:t>
      </w:r>
    </w:p>
    <w:p>
      <w:pPr>
        <w:pStyle w:val="FirstParagraph"/>
      </w:pPr>
      <w:r>
        <w:t xml:space="preserve">Not applicable. No custom code was developed for this research.</w:t>
      </w:r>
    </w:p>
    <w:bookmarkEnd w:id="122"/>
    <w:bookmarkStart w:id="123" w:name="funding"/>
    <w:p>
      <w:pPr>
        <w:pStyle w:val="Heading1"/>
      </w:pPr>
      <w:r>
        <w:rPr>
          <w:rStyle w:val="SectionNumber"/>
        </w:rPr>
        <w:t xml:space="preserve">14</w:t>
      </w:r>
      <w:r>
        <w:tab/>
      </w:r>
      <w:r>
        <w:t xml:space="preserve">Funding</w:t>
      </w:r>
    </w:p>
    <w:p>
      <w:pPr>
        <w:pStyle w:val="FirstParagraph"/>
      </w:pPr>
      <w:r>
        <w:t xml:space="preserve">Yuimedi provided funding for the author’s time writing and researching this manuscript.</w:t>
      </w:r>
    </w:p>
    <w:bookmarkEnd w:id="123"/>
    <w:bookmarkStart w:id="126" w:name="references"/>
    <w:p>
      <w:pPr>
        <w:pStyle w:val="Heading1"/>
      </w:pPr>
      <w:r>
        <w:rPr>
          <w:rStyle w:val="SectionNumber"/>
        </w:rPr>
        <w:t xml:space="preserve">15</w:t>
      </w:r>
      <w:r>
        <w:tab/>
      </w:r>
      <w:r>
        <w:t xml:space="preserve">References</w:t>
      </w:r>
    </w:p>
    <w:bookmarkStart w:id="124" w:name="academic-sources"/>
    <w:p>
      <w:pPr>
        <w:pStyle w:val="Heading2"/>
      </w:pPr>
      <w:r>
        <w:rPr>
          <w:rStyle w:val="SectionNumber"/>
        </w:rPr>
        <w:t xml:space="preserve">15.1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Aulawi, H., Ramdhani, M. A., Slamet, C., Ainisyifa, H., &amp; Darmalaksana, W. (2017). Functional need analysis of knowledge portal design in higher education institution.</w:t>
      </w:r>
      <w:r>
        <w:t xml:space="preserve"> </w:t>
      </w:r>
      <w:r>
        <w:rPr>
          <w:i/>
          <w:iCs/>
        </w:rPr>
        <w:t xml:space="preserve">International Journal of Soft Computing</w:t>
      </w:r>
      <w:r>
        <w:t xml:space="preserve">, 12(2), 132-141. https://digilib.uinsgd.ac.id/5114/</w:t>
      </w:r>
    </w:p>
    <w:p>
      <w:pPr>
        <w:pStyle w:val="BodyText"/>
      </w:pPr>
      <w:r>
        <w:t xml:space="preserve">[A27]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[A28]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[A29]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[A30]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bookmarkEnd w:id="124"/>
    <w:bookmarkStart w:id="125" w:name="industry-sources"/>
    <w:p>
      <w:pPr>
        <w:pStyle w:val="Heading2"/>
      </w:pPr>
      <w:r>
        <w:rPr>
          <w:rStyle w:val="SectionNumber"/>
        </w:rPr>
        <w:t xml:space="preserve">15.2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25"/>
    <w:bookmarkEnd w:id="126"/>
    <w:bookmarkStart w:id="133" w:name="appendices"/>
    <w:p>
      <w:pPr>
        <w:pStyle w:val="Heading1"/>
      </w:pPr>
      <w:r>
        <w:rPr>
          <w:rStyle w:val="SectionNumber"/>
        </w:rPr>
        <w:t xml:space="preserve">16</w:t>
      </w:r>
      <w:r>
        <w:tab/>
      </w:r>
      <w:r>
        <w:t xml:space="preserve">Appendices</w:t>
      </w:r>
    </w:p>
    <w:bookmarkStart w:id="127" w:name="appendix-a-healthcare-analytics-glossary"/>
    <w:p>
      <w:pPr>
        <w:pStyle w:val="Heading2"/>
      </w:pPr>
      <w:r>
        <w:rPr>
          <w:rStyle w:val="SectionNumber"/>
        </w:rPr>
        <w:t xml:space="preserve">16.1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27"/>
    <w:bookmarkStart w:id="128" w:name="Xda282ad3909d53d8ac6252a99a3daf0ffe2dfbb"/>
    <w:p>
      <w:pPr>
        <w:pStyle w:val="Heading2"/>
      </w:pPr>
      <w:r>
        <w:rPr>
          <w:rStyle w:val="SectionNumber"/>
        </w:rPr>
        <w:t xml:space="preserve">16.2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28"/>
    <w:bookmarkStart w:id="132" w:name="Xbfd30549e6247e2f3e5132a039875af0e2849bb"/>
    <w:p>
      <w:pPr>
        <w:pStyle w:val="Heading2"/>
      </w:pPr>
      <w:r>
        <w:rPr>
          <w:rStyle w:val="SectionNumber"/>
        </w:rPr>
        <w:t xml:space="preserve">16.3</w:t>
      </w:r>
      <w:r>
        <w:tab/>
      </w:r>
      <w:r>
        <w:t xml:space="preserve">Appendix C: Healthcare NL2SQL Query Examples</w:t>
      </w:r>
    </w:p>
    <w:bookmarkStart w:id="129" w:name="patient-population-analysis"/>
    <w:p>
      <w:pPr>
        <w:pStyle w:val="Heading3"/>
      </w:pPr>
      <w:r>
        <w:rPr>
          <w:rStyle w:val="SectionNumber"/>
        </w:rPr>
        <w:t xml:space="preserve">16.3.1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29"/>
    <w:bookmarkStart w:id="130" w:name="operational-metrics"/>
    <w:p>
      <w:pPr>
        <w:pStyle w:val="Heading3"/>
      </w:pPr>
      <w:r>
        <w:rPr>
          <w:rStyle w:val="SectionNumber"/>
        </w:rPr>
        <w:t xml:space="preserve">16.3.2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30"/>
    <w:bookmarkStart w:id="131" w:name="quality-metrics"/>
    <w:p>
      <w:pPr>
        <w:pStyle w:val="Heading3"/>
      </w:pPr>
      <w:r>
        <w:rPr>
          <w:rStyle w:val="SectionNumber"/>
        </w:rPr>
        <w:t xml:space="preserve">16.3.3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31"/>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2025-12-15T17:13:30Z</dcterms:created>
  <dcterms:modified xsi:type="dcterms:W3CDTF">2025-12-15T17:13:30Z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~34%—the highest among IT sectors—creates institutional memory loss, while low-code implementations demonstrate significant efficiency gains and cost savings. The convergence of technical advances in NL2SQL generation, analytics maturity challenges in healthcare organizations, and workforce turnover creates both urgent need and strategic opportunity for conversational AI platforms with appropriate governance. This paper contributes a three-pillar analytical framework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