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c0b46f26ddee263e3e15b52bea2dd77c961b283"/>
    <w:p>
      <w:pPr>
        <w:pStyle w:val="Heading2"/>
      </w:pPr>
      <w:r>
        <w:rPr>
          <w:rStyle w:val="SectionNumber"/>
        </w:rPr>
        <w:t xml:space="preserve">15.1</w:t>
      </w:r>
      <w:r>
        <w:tab/>
      </w:r>
      <w:r>
        <w:t xml:space="preserve">Appendix A: HIMSS Analytics Maturity Assessment Model (AMAM) Stages</w:t>
      </w:r>
      <w:r>
        <w:t xml:space="preserve"> </w:t>
      </w:r>
      <w:r>
        <w:t xml:space="preserve">(</w:t>
      </w:r>
      <w:hyperlink w:anchor="ref-himss2024">
        <w:r>
          <w:rPr>
            <w:rStyle w:val="Hyperlink"/>
          </w:rPr>
          <w:t xml:space="preserve">2</w:t>
        </w:r>
      </w:hyperlink>
      <w:r>
        <w:t xml:space="preserve">)</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Rationale</w:t>
      </w:r>
      <w:r>
        <w:t xml:space="preserve">: Aligned with NCQA HEDIS measures for Comprehensive Diabetes Care (CDC), monitoring HbA1c testing compliance in older adult populations.</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Rationale</w:t>
      </w:r>
      <w:r>
        <w:t xml:space="preserve">: Supports CMS Hospital Readmissions Reduction Program (HRRP) tracking by identifying 30-day all-cause readmissions for Heart Failure (HF) index stays, with standard exclusions (hospice).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2026-01-15T06:32:02Z</dcterms:created>
  <dcterms:modified xsi:type="dcterms:W3CDTF">2026-01-15T06:32:02Z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