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Style w:val="Section Number"/>
          <w:rtl w:val="0"/>
          <w:lang w:val="en-US"/>
        </w:rPr>
        <w:t>Healthcare Analytics Challenges: A Three-Pillar Framework Connecting Analytics Maturity, Workforce Agility, and Technical Enablement</w:t>
      </w:r>
    </w:p>
    <w:p>
      <w:pPr>
        <w:pStyle w:val="Author"/>
      </w:pPr>
      <w:r>
        <w:rPr>
          <w:rStyle w:val="Section Number"/>
          <w:rtl w:val="0"/>
          <w:lang w:val="en-US"/>
        </w:rPr>
        <w:t>Samuel T Harrold, Yuimedi</w:t>
      </w:r>
    </w:p>
    <w:p>
      <w:pPr>
        <w:pStyle w:val="Date"/>
      </w:pPr>
      <w:r>
        <w:rPr>
          <w:rStyle w:val="Section Number"/>
          <w:rtl w:val="0"/>
          <w:lang w:val="en-US"/>
        </w:rPr>
        <w:t>January 2026</w:t>
      </w:r>
    </w:p>
    <w:p>
      <w:pPr>
        <w:pStyle w:val="Abstract Title"/>
      </w:pPr>
      <w:r>
        <w:rPr>
          <w:rStyle w:val="Section Number"/>
          <w:rtl w:val="0"/>
          <w:lang w:val="en-US"/>
        </w:rPr>
        <w:t>Abstract</w:t>
      </w:r>
    </w:p>
    <w:p>
      <w:pPr>
        <w:pStyle w:val="Abstract"/>
      </w:pPr>
      <w:r>
        <w:rPr>
          <w:rFonts w:ascii="Aptos" w:cs="Aptos" w:hAnsi="Aptos" w:eastAsia="Aptos"/>
          <w:b w:val="1"/>
          <w:bCs w:val="1"/>
          <w:rtl w:val="0"/>
          <w:lang w:val="en-US"/>
        </w:rPr>
        <w:t>Background:</w:t>
      </w:r>
      <w:r>
        <w:rPr>
          <w:rStyle w:val="Section Number"/>
          <w:rtl w:val="0"/>
          <w:lang w:val="en-US"/>
        </w:rPr>
        <w:t xml:space="preserve"> Healthcare organizations face three interconnected challenges: low analytics maturity, with only 39 organizations globally having achieved HIMSS AMAM Stage 6-7; systemic instability from high leadership turnover (53% of CIOs with &lt;3 years tenure) and persistent digital skills shortages; and technical barriers in natural language to SQL generation. When these challenges interact, they create institutional memory loss that threatens data-driven healthcare transformation.</w:t>
      </w:r>
    </w:p>
    <w:p>
      <w:pPr>
        <w:pStyle w:val="Abstract"/>
      </w:pPr>
      <w:r>
        <w:rPr>
          <w:rFonts w:ascii="Aptos" w:cs="Aptos" w:hAnsi="Aptos" w:eastAsia="Aptos"/>
          <w:b w:val="1"/>
          <w:bCs w:val="1"/>
          <w:rtl w:val="0"/>
          <w:lang w:val="en-US"/>
        </w:rPr>
        <w:t>Objective:</w:t>
      </w:r>
      <w:r>
        <w:rPr>
          <w:rStyle w:val="Section Number"/>
          <w:rtl w:val="0"/>
          <w:lang w:val="en-US"/>
        </w:rPr>
        <w:t xml:space="preserve"> This research develops a three-pillar analytical framework connecting analytics maturity, workforce agility, and technical enablement. The framework reveals how these capabilities interconnect and compound each other.</w:t>
      </w:r>
    </w:p>
    <w:p>
      <w:pPr>
        <w:pStyle w:val="Abstract"/>
      </w:pPr>
      <w:r>
        <w:rPr>
          <w:rFonts w:ascii="Aptos" w:cs="Aptos" w:hAnsi="Aptos" w:eastAsia="Aptos"/>
          <w:b w:val="1"/>
          <w:bCs w:val="1"/>
          <w:rtl w:val="0"/>
          <w:lang w:val="en-US"/>
        </w:rPr>
        <w:t>Methods:</w:t>
      </w:r>
      <w:r>
        <w:rPr>
          <w:rStyle w:val="Section Number"/>
          <w:rtl w:val="0"/>
          <w:lang w:val="en-US"/>
        </w:rPr>
        <w:t xml:space="preserve"> We conducted a narrative literature review of peer-reviewed studies and industry reports on natural language to SQL (NL2SQL) generation, healthcare analytics maturity, and workforce turnover. Grey literature was assessed using the AACODS checklist. Evidence was synthesized through the three-pillar analytical framework to examine how these challenges interconnect and compound.</w:t>
      </w:r>
    </w:p>
    <w:p>
      <w:pPr>
        <w:pStyle w:val="Abstract"/>
      </w:pPr>
      <w:r>
        <w:rPr>
          <w:rFonts w:ascii="Aptos" w:cs="Aptos" w:hAnsi="Aptos" w:eastAsia="Aptos"/>
          <w:b w:val="1"/>
          <w:bCs w:val="1"/>
          <w:rtl w:val="0"/>
          <w:lang w:val="en-US"/>
        </w:rPr>
        <w:t>Results:</w:t>
      </w:r>
      <w:r>
        <w:rPr>
          <w:rStyle w:val="Section Number"/>
          <w:rtl w:val="0"/>
          <w:lang w:val="en-US"/>
        </w:rPr>
        <w:t xml:space="preserve"> Healthcare-specific text-to-SQL benchmarks show significant progress, though current models are </w:t>
      </w:r>
      <w:r>
        <w:rPr>
          <w:rStyle w:val="Section Number"/>
          <w:rtl w:val="0"/>
          <w:lang w:val="en-US"/>
        </w:rPr>
        <w:t>“</w:t>
      </w:r>
      <w:r>
        <w:rPr>
          <w:rStyle w:val="Section Number"/>
          <w:rtl w:val="0"/>
          <w:lang w:val="en-US"/>
        </w:rPr>
        <w:t>not yet sufficiently accurate for unsupervised use</w:t>
      </w:r>
      <w:r>
        <w:rPr>
          <w:rStyle w:val="Section Number"/>
          <w:rtl w:val="0"/>
          <w:lang w:val="en-US"/>
        </w:rPr>
        <w:t xml:space="preserve">” </w:t>
      </w:r>
      <w:r>
        <w:rPr>
          <w:rStyle w:val="Section Number"/>
          <w:rtl w:val="0"/>
          <w:lang w:val="en-US"/>
        </w:rPr>
        <w:t>in clinical settings. Most healthcare organizations remain at HIMSS AMAM Stages 0-3 with limited predictive capabilities. Healthcare IT turnover significantly exceeds other IT sectors, creating measurable institutional memory loss. The framework reveals a compounding dynamic: low-maturity organizations experience higher turnover, which degrades the institutional knowledge needed for maturity advancement, while technical barriers prevent the capture of expertise before it is lost.</w:t>
      </w:r>
    </w:p>
    <w:p>
      <w:pPr>
        <w:pStyle w:val="Abstract"/>
      </w:pPr>
      <w:r>
        <w:rPr>
          <w:rFonts w:ascii="Aptos" w:cs="Aptos" w:hAnsi="Aptos" w:eastAsia="Aptos"/>
          <w:b w:val="1"/>
          <w:bCs w:val="1"/>
          <w:rtl w:val="0"/>
          <w:lang w:val="en-US"/>
        </w:rPr>
        <w:t>Conclusions:</w:t>
      </w:r>
      <w:r>
        <w:rPr>
          <w:rStyle w:val="Section Number"/>
          <w:rtl w:val="0"/>
          <w:lang w:val="en-US"/>
        </w:rPr>
        <w:t xml:space="preserve"> We contribute a three-pillar analytical framework synthesizing evidence on analytics maturity, workforce agility, and technical enablement. The framework reveals a compounding effect: low maturity accelerates turnover, which degrades maturity, and low enablement prevents recovery. This analytical lens enables organizational self-assessment and informs future research on technological interventions, such as conversational AI platforms.</w:t>
      </w:r>
    </w:p>
    <w:p>
      <w:pPr>
        <w:pStyle w:val="TOC Heading"/>
      </w:pPr>
      <w:r>
        <w:rPr>
          <w:rStyle w:val="Section Number"/>
          <w:rtl w:val="0"/>
          <w:lang w:val="en-US"/>
        </w:rPr>
        <w:t>Table of Contents</w:t>
      </w:r>
    </w:p>
    <w:p>
      <w:pPr>
        <w:pStyle w:val="Body"/>
      </w:pPr>
      <w:r>
        <w:rPr/>
        <w:fldChar w:fldCharType="begin" w:fldLock="0"/>
      </w:r>
      <w:r>
        <w:instrText xml:space="preserve"> TOC \o 1-3 \t "heading 4, 4"</w:instrText>
      </w:r>
      <w:r>
        <w:rPr/>
        <w:fldChar w:fldCharType="separate" w:fldLock="0"/>
      </w:r>
    </w:p>
    <w:p>
      <w:pPr>
        <w:pStyle w:val="TOC 1"/>
        <w:bidi w:val="0"/>
      </w:pPr>
      <w:r>
        <w:rPr>
          <w:rFonts w:cs="Arial Unicode MS" w:eastAsia="Arial Unicode MS"/>
          <w:rtl w:val="0"/>
          <w:lang w:val="fr-FR"/>
        </w:rPr>
        <w:t>1 Introduction</w:t>
        <w:tab/>
      </w:r>
      <w:r>
        <w:rPr/>
        <w:fldChar w:fldCharType="begin" w:fldLock="0"/>
      </w:r>
      <w:r>
        <w:instrText xml:space="preserve"> PAGEREF _Toc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1.1 The Compounding Crisis in Healthcare Analytics</w:t>
        <w:tab/>
      </w:r>
      <w:r>
        <w:rPr/>
        <w:fldChar w:fldCharType="begin" w:fldLock="0"/>
      </w:r>
      <w:r>
        <w:instrText xml:space="preserve"> PAGEREF _Toc1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1.2 Pillar 1: Low Healthcare Analytics Maturity</w:t>
        <w:tab/>
      </w:r>
      <w:r>
        <w:rPr/>
        <w:fldChar w:fldCharType="begin" w:fldLock="0"/>
      </w:r>
      <w:r>
        <w:instrText xml:space="preserve"> PAGEREF _Toc2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1.3 Pillar 2: Institutional Memory Loss from Workforce Instability</w:t>
        <w:tab/>
      </w:r>
      <w:r>
        <w:rPr/>
        <w:fldChar w:fldCharType="begin" w:fldLock="0"/>
      </w:r>
      <w:r>
        <w:instrText xml:space="preserve"> PAGEREF _Toc3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1.4 Pillar 3: Technical Barriers to Data Access</w:t>
        <w:tab/>
      </w:r>
      <w:r>
        <w:rPr/>
        <w:fldChar w:fldCharType="begin" w:fldLock="0"/>
      </w:r>
      <w:r>
        <w:instrText xml:space="preserve"> PAGEREF _Toc4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fr-FR"/>
        </w:rPr>
        <w:t>1.5 Objectives</w:t>
        <w:tab/>
      </w:r>
      <w:r>
        <w:rPr/>
        <w:fldChar w:fldCharType="begin" w:fldLock="0"/>
      </w:r>
      <w:r>
        <w:instrText xml:space="preserve"> PAGEREF _Toc5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en-US"/>
        </w:rPr>
        <w:t>1.5.1 Primary Objective</w:t>
        <w:tab/>
      </w:r>
      <w:r>
        <w:rPr/>
        <w:fldChar w:fldCharType="begin" w:fldLock="0"/>
      </w:r>
      <w:r>
        <w:instrText xml:space="preserve"> PAGEREF _Toc6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en-US"/>
        </w:rPr>
        <w:t>1.5.2 Secondary Objectives</w:t>
        <w:tab/>
      </w:r>
      <w:r>
        <w:rPr/>
        <w:fldChar w:fldCharType="begin" w:fldLock="0"/>
      </w:r>
      <w:r>
        <w:instrText xml:space="preserve"> PAGEREF _Toc7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it-IT"/>
        </w:rPr>
        <w:t>1.5.3 Non-Goals</w:t>
        <w:tab/>
      </w:r>
      <w:r>
        <w:rPr/>
        <w:fldChar w:fldCharType="begin" w:fldLock="0"/>
      </w:r>
      <w:r>
        <w:instrText xml:space="preserve"> PAGEREF _Toc8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fr-FR"/>
        </w:rPr>
        <w:t>1.6 Contributions</w:t>
        <w:tab/>
      </w:r>
      <w:r>
        <w:rPr/>
        <w:fldChar w:fldCharType="begin" w:fldLock="0"/>
      </w:r>
      <w:r>
        <w:instrText xml:space="preserve"> PAGEREF _Toc9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en-US"/>
        </w:rPr>
        <w:t>1.6.1 Illustrative Application: The Validated Query Cycle as a Governance Forcing Function</w:t>
        <w:tab/>
      </w:r>
      <w:r>
        <w:rPr/>
        <w:fldChar w:fldCharType="begin" w:fldLock="0"/>
      </w:r>
      <w:r>
        <w:instrText xml:space="preserve"> PAGEREF _Toc10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rPr>
        <w:t>1.7 Document Structure</w:t>
        <w:tab/>
      </w:r>
      <w:r>
        <w:rPr/>
        <w:fldChar w:fldCharType="begin" w:fldLock="0"/>
      </w:r>
      <w:r>
        <w:instrText xml:space="preserve"> PAGEREF _Toc11 \h </w:instrText>
      </w:r>
      <w:r>
        <w:rPr/>
        <w:fldChar w:fldCharType="separate" w:fldLock="0"/>
      </w:r>
      <w:r>
        <w:rPr>
          <w:rFonts w:cs="Arial Unicode MS" w:eastAsia="Arial Unicode MS"/>
          <w:rtl w:val="0"/>
        </w:rPr>
        <w:t>14</w:t>
      </w:r>
      <w:r>
        <w:rPr/>
        <w:fldChar w:fldCharType="end" w:fldLock="0"/>
      </w:r>
    </w:p>
    <w:p>
      <w:pPr>
        <w:pStyle w:val="TOC 1"/>
        <w:bidi w:val="0"/>
      </w:pPr>
      <w:r>
        <w:rPr>
          <w:rFonts w:cs="Arial Unicode MS" w:eastAsia="Arial Unicode MS"/>
          <w:rtl w:val="0"/>
          <w:lang w:val="en-US"/>
        </w:rPr>
        <w:t>2 Methodology</w:t>
        <w:tab/>
      </w:r>
      <w:r>
        <w:rPr/>
        <w:fldChar w:fldCharType="begin" w:fldLock="0"/>
      </w:r>
      <w:r>
        <w:instrText xml:space="preserve"> PAGEREF _Toc12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2.1 Review Approach</w:t>
        <w:tab/>
      </w:r>
      <w:r>
        <w:rPr/>
        <w:fldChar w:fldCharType="begin" w:fldLock="0"/>
      </w:r>
      <w:r>
        <w:instrText xml:space="preserve"> PAGEREF _Toc13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2.2 Stage 1: Identification and Targeted Queries</w:t>
        <w:tab/>
      </w:r>
      <w:r>
        <w:rPr/>
        <w:fldChar w:fldCharType="begin" w:fldLock="0"/>
      </w:r>
      <w:r>
        <w:instrText xml:space="preserve"> PAGEREF _Toc14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2.3 Stage 2: Screening and Selection</w:t>
        <w:tab/>
      </w:r>
      <w:r>
        <w:rPr/>
        <w:fldChar w:fldCharType="begin" w:fldLock="0"/>
      </w:r>
      <w:r>
        <w:instrText xml:space="preserve"> PAGEREF _Toc15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rtl w:val="0"/>
          <w:lang w:val="en-US"/>
        </w:rPr>
        <w:t>2.4 Stage 3: Quality Assessment</w:t>
        <w:tab/>
      </w:r>
      <w:r>
        <w:rPr/>
        <w:fldChar w:fldCharType="begin" w:fldLock="0"/>
      </w:r>
      <w:r>
        <w:instrText xml:space="preserve"> PAGEREF _Toc16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rtl w:val="0"/>
          <w:lang w:val="en-US"/>
        </w:rPr>
        <w:t>2.5 Stage 4: Synthesis and Analysis</w:t>
        <w:tab/>
      </w:r>
      <w:r>
        <w:rPr/>
        <w:fldChar w:fldCharType="begin" w:fldLock="0"/>
      </w:r>
      <w:r>
        <w:instrText xml:space="preserve"> PAGEREF _Toc17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2.6 Methodological Limitations</w:t>
        <w:tab/>
      </w:r>
      <w:r>
        <w:rPr/>
        <w:fldChar w:fldCharType="begin" w:fldLock="0"/>
      </w:r>
      <w:r>
        <w:instrText xml:space="preserve"> PAGEREF _Toc18 \h </w:instrText>
      </w:r>
      <w:r>
        <w:rPr/>
        <w:fldChar w:fldCharType="separate" w:fldLock="0"/>
      </w:r>
      <w:r>
        <w:rPr>
          <w:rFonts w:cs="Arial Unicode MS" w:eastAsia="Arial Unicode MS"/>
          <w:rtl w:val="0"/>
        </w:rPr>
        <w:t>20</w:t>
      </w:r>
      <w:r>
        <w:rPr/>
        <w:fldChar w:fldCharType="end" w:fldLock="0"/>
      </w:r>
    </w:p>
    <w:p>
      <w:pPr>
        <w:pStyle w:val="TOC 1"/>
        <w:bidi w:val="0"/>
      </w:pPr>
      <w:r>
        <w:rPr>
          <w:rFonts w:cs="Arial Unicode MS" w:eastAsia="Arial Unicode MS"/>
          <w:rtl w:val="0"/>
          <w:lang w:val="en-US"/>
        </w:rPr>
        <w:t>3 Framework Development and Validation</w:t>
        <w:tab/>
      </w:r>
      <w:r>
        <w:rPr/>
        <w:fldChar w:fldCharType="begin" w:fldLock="0"/>
      </w:r>
      <w:r>
        <w:instrText xml:space="preserve"> PAGEREF _Toc19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3.1 Framework Development Process</w:t>
        <w:tab/>
      </w:r>
      <w:r>
        <w:rPr/>
        <w:fldChar w:fldCharType="begin" w:fldLock="0"/>
      </w:r>
      <w:r>
        <w:instrText xml:space="preserve"> PAGEREF _Toc20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3.2 Theoretical Grounding</w:t>
        <w:tab/>
      </w:r>
      <w:r>
        <w:rPr/>
        <w:fldChar w:fldCharType="begin" w:fldLock="0"/>
      </w:r>
      <w:r>
        <w:instrText xml:space="preserve"> PAGEREF _Toc21 \h </w:instrText>
      </w:r>
      <w:r>
        <w:rPr/>
        <w:fldChar w:fldCharType="separate" w:fldLock="0"/>
      </w:r>
      <w:r>
        <w:rPr>
          <w:rFonts w:cs="Arial Unicode MS" w:eastAsia="Arial Unicode MS"/>
          <w:rtl w:val="0"/>
        </w:rPr>
        <w:t>22</w:t>
      </w:r>
      <w:r>
        <w:rPr/>
        <w:fldChar w:fldCharType="end" w:fldLock="0"/>
      </w:r>
    </w:p>
    <w:p>
      <w:pPr>
        <w:pStyle w:val="TOC 2"/>
        <w:bidi w:val="0"/>
      </w:pPr>
      <w:r>
        <w:rPr>
          <w:rFonts w:cs="Arial Unicode MS" w:eastAsia="Arial Unicode MS"/>
          <w:rtl w:val="0"/>
          <w:lang w:val="en-US"/>
        </w:rPr>
        <w:t>3.3 Framework Scope and Limitations</w:t>
        <w:tab/>
      </w:r>
      <w:r>
        <w:rPr/>
        <w:fldChar w:fldCharType="begin" w:fldLock="0"/>
      </w:r>
      <w:r>
        <w:instrText xml:space="preserve"> PAGEREF _Toc22 \h </w:instrText>
      </w:r>
      <w:r>
        <w:rPr/>
        <w:fldChar w:fldCharType="separate" w:fldLock="0"/>
      </w:r>
      <w:r>
        <w:rPr>
          <w:rFonts w:cs="Arial Unicode MS" w:eastAsia="Arial Unicode MS"/>
          <w:rtl w:val="0"/>
        </w:rPr>
        <w:t>22</w:t>
      </w:r>
      <w:r>
        <w:rPr/>
        <w:fldChar w:fldCharType="end" w:fldLock="0"/>
      </w:r>
    </w:p>
    <w:p>
      <w:pPr>
        <w:pStyle w:val="TOC 1"/>
        <w:bidi w:val="0"/>
      </w:pPr>
      <w:r>
        <w:rPr>
          <w:rFonts w:cs="Arial Unicode MS" w:eastAsia="Arial Unicode MS"/>
          <w:rtl w:val="0"/>
          <w:lang w:val="en-US"/>
        </w:rPr>
        <w:t>4 Literature Review: Evidence Across the Three Pillars</w:t>
        <w:tab/>
      </w:r>
      <w:r>
        <w:rPr/>
        <w:fldChar w:fldCharType="begin" w:fldLock="0"/>
      </w:r>
      <w:r>
        <w:instrText xml:space="preserve"> PAGEREF _Toc23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4.1 State of Healthcare Analytics Maturity</w:t>
        <w:tab/>
      </w:r>
      <w:r>
        <w:rPr/>
        <w:fldChar w:fldCharType="begin" w:fldLock="0"/>
      </w:r>
      <w:r>
        <w:instrText xml:space="preserve"> PAGEREF _Toc24 \h </w:instrText>
      </w:r>
      <w:r>
        <w:rPr/>
        <w:fldChar w:fldCharType="separate" w:fldLock="0"/>
      </w:r>
      <w:r>
        <w:rPr>
          <w:rFonts w:cs="Arial Unicode MS" w:eastAsia="Arial Unicode MS"/>
          <w:rtl w:val="0"/>
        </w:rPr>
        <w:t>23</w:t>
      </w:r>
      <w:r>
        <w:rPr/>
        <w:fldChar w:fldCharType="end" w:fldLock="0"/>
      </w:r>
    </w:p>
    <w:p>
      <w:pPr>
        <w:pStyle w:val="TOC 3"/>
        <w:bidi w:val="0"/>
      </w:pPr>
      <w:r>
        <w:rPr>
          <w:rFonts w:cs="Arial Unicode MS" w:eastAsia="Arial Unicode MS"/>
          <w:rtl w:val="0"/>
          <w:lang w:val="en-US"/>
        </w:rPr>
        <w:t>4.1.1 Low Organizational Maturity</w:t>
        <w:tab/>
      </w:r>
      <w:r>
        <w:rPr/>
        <w:fldChar w:fldCharType="begin" w:fldLock="0"/>
      </w:r>
      <w:r>
        <w:instrText xml:space="preserve"> PAGEREF _Toc25 \h </w:instrText>
      </w:r>
      <w:r>
        <w:rPr/>
        <w:fldChar w:fldCharType="separate" w:fldLock="0"/>
      </w:r>
      <w:r>
        <w:rPr>
          <w:rFonts w:cs="Arial Unicode MS" w:eastAsia="Arial Unicode MS"/>
          <w:rtl w:val="0"/>
        </w:rPr>
        <w:t>23</w:t>
      </w:r>
      <w:r>
        <w:rPr/>
        <w:fldChar w:fldCharType="end" w:fldLock="0"/>
      </w:r>
    </w:p>
    <w:p>
      <w:pPr>
        <w:pStyle w:val="TOC 3"/>
        <w:bidi w:val="0"/>
      </w:pPr>
      <w:r>
        <w:rPr>
          <w:rFonts w:cs="Arial Unicode MS" w:eastAsia="Arial Unicode MS"/>
          <w:rtl w:val="0"/>
          <w:lang w:val="en-US"/>
        </w:rPr>
        <w:t>4.1.2 Barriers to Analytics Adoption</w:t>
        <w:tab/>
      </w:r>
      <w:r>
        <w:rPr/>
        <w:fldChar w:fldCharType="begin" w:fldLock="0"/>
      </w:r>
      <w:r>
        <w:instrText xml:space="preserve"> PAGEREF _Toc26 \h </w:instrText>
      </w:r>
      <w:r>
        <w:rPr/>
        <w:fldChar w:fldCharType="separate" w:fldLock="0"/>
      </w:r>
      <w:r>
        <w:rPr>
          <w:rFonts w:cs="Arial Unicode MS" w:eastAsia="Arial Unicode MS"/>
          <w:rtl w:val="0"/>
        </w:rPr>
        <w:t>24</w:t>
      </w:r>
      <w:r>
        <w:rPr/>
        <w:fldChar w:fldCharType="end" w:fldLock="0"/>
      </w:r>
    </w:p>
    <w:p>
      <w:pPr>
        <w:pStyle w:val="TOC 3"/>
        <w:bidi w:val="0"/>
      </w:pPr>
      <w:r>
        <w:rPr>
          <w:rFonts w:cs="Arial Unicode MS" w:eastAsia="Arial Unicode MS"/>
          <w:rtl w:val="0"/>
          <w:lang w:val="en-US"/>
        </w:rPr>
        <w:t>4.1.3 The Analytics Skills Gap</w:t>
        <w:tab/>
      </w:r>
      <w:r>
        <w:rPr/>
        <w:fldChar w:fldCharType="begin" w:fldLock="0"/>
      </w:r>
      <w:r>
        <w:instrText xml:space="preserve"> PAGEREF _Toc27 \h </w:instrText>
      </w:r>
      <w:r>
        <w:rPr/>
        <w:fldChar w:fldCharType="separate" w:fldLock="0"/>
      </w:r>
      <w:r>
        <w:rPr>
          <w:rFonts w:cs="Arial Unicode MS" w:eastAsia="Arial Unicode MS"/>
          <w:rtl w:val="0"/>
        </w:rPr>
        <w:t>25</w:t>
      </w:r>
      <w:r>
        <w:rPr/>
        <w:fldChar w:fldCharType="end" w:fldLock="0"/>
      </w:r>
    </w:p>
    <w:p>
      <w:pPr>
        <w:pStyle w:val="TOC 3"/>
        <w:bidi w:val="0"/>
      </w:pPr>
      <w:r>
        <w:rPr>
          <w:rFonts w:cs="Arial Unicode MS" w:eastAsia="Arial Unicode MS"/>
          <w:rtl w:val="0"/>
          <w:lang w:val="en-US"/>
        </w:rPr>
        <w:t>4.1.4 Data Quality as a Barrier to Analytics Maturity</w:t>
        <w:tab/>
      </w:r>
      <w:r>
        <w:rPr/>
        <w:fldChar w:fldCharType="begin" w:fldLock="0"/>
      </w:r>
      <w:r>
        <w:instrText xml:space="preserve"> PAGEREF _Toc28 \h </w:instrText>
      </w:r>
      <w:r>
        <w:rPr/>
        <w:fldChar w:fldCharType="separate" w:fldLock="0"/>
      </w:r>
      <w:r>
        <w:rPr>
          <w:rFonts w:cs="Arial Unicode MS" w:eastAsia="Arial Unicode MS"/>
          <w:rtl w:val="0"/>
        </w:rPr>
        <w:t>25</w:t>
      </w:r>
      <w:r>
        <w:rPr/>
        <w:fldChar w:fldCharType="end" w:fldLock="0"/>
      </w:r>
    </w:p>
    <w:p>
      <w:pPr>
        <w:pStyle w:val="TOC 2"/>
        <w:bidi w:val="0"/>
      </w:pPr>
      <w:r>
        <w:rPr>
          <w:rFonts w:cs="Arial Unicode MS" w:eastAsia="Arial Unicode MS"/>
          <w:rtl w:val="0"/>
          <w:lang w:val="en-US"/>
        </w:rPr>
        <w:t>4.2 Healthcare Workforce Turnover and Knowledge Loss</w:t>
        <w:tab/>
      </w:r>
      <w:r>
        <w:rPr/>
        <w:fldChar w:fldCharType="begin" w:fldLock="0"/>
      </w:r>
      <w:r>
        <w:instrText xml:space="preserve"> PAGEREF _Toc29 \h </w:instrText>
      </w:r>
      <w:r>
        <w:rPr/>
        <w:fldChar w:fldCharType="separate" w:fldLock="0"/>
      </w:r>
      <w:r>
        <w:rPr>
          <w:rFonts w:cs="Arial Unicode MS" w:eastAsia="Arial Unicode MS"/>
          <w:rtl w:val="0"/>
        </w:rPr>
        <w:t>26</w:t>
      </w:r>
      <w:r>
        <w:rPr/>
        <w:fldChar w:fldCharType="end" w:fldLock="0"/>
      </w:r>
    </w:p>
    <w:p>
      <w:pPr>
        <w:pStyle w:val="TOC 3"/>
        <w:bidi w:val="0"/>
      </w:pPr>
      <w:r>
        <w:rPr>
          <w:rFonts w:cs="Arial Unicode MS" w:eastAsia="Arial Unicode MS"/>
          <w:rtl w:val="0"/>
          <w:lang w:val="en-US"/>
        </w:rPr>
        <w:t>4.2.1 Turnover Rates and Financial Impact</w:t>
        <w:tab/>
      </w:r>
      <w:r>
        <w:rPr/>
        <w:fldChar w:fldCharType="begin" w:fldLock="0"/>
      </w:r>
      <w:r>
        <w:instrText xml:space="preserve"> PAGEREF _Toc30 \h </w:instrText>
      </w:r>
      <w:r>
        <w:rPr/>
        <w:fldChar w:fldCharType="separate" w:fldLock="0"/>
      </w:r>
      <w:r>
        <w:rPr>
          <w:rFonts w:cs="Arial Unicode MS" w:eastAsia="Arial Unicode MS"/>
          <w:rtl w:val="0"/>
        </w:rPr>
        <w:t>26</w:t>
      </w:r>
      <w:r>
        <w:rPr/>
        <w:fldChar w:fldCharType="end" w:fldLock="0"/>
      </w:r>
    </w:p>
    <w:p>
      <w:pPr>
        <w:pStyle w:val="TOC 3"/>
        <w:bidi w:val="0"/>
      </w:pPr>
      <w:r>
        <w:rPr>
          <w:rFonts w:cs="Arial Unicode MS" w:eastAsia="Arial Unicode MS"/>
          <w:rtl w:val="0"/>
          <w:lang w:val="en-US"/>
        </w:rPr>
        <w:t>4.2.2 Institutional Memory Loss</w:t>
        <w:tab/>
      </w:r>
      <w:r>
        <w:rPr/>
        <w:fldChar w:fldCharType="begin" w:fldLock="0"/>
      </w:r>
      <w:r>
        <w:instrText xml:space="preserve"> PAGEREF _Toc31 \h </w:instrText>
      </w:r>
      <w:r>
        <w:rPr/>
        <w:fldChar w:fldCharType="separate" w:fldLock="0"/>
      </w:r>
      <w:r>
        <w:rPr>
          <w:rFonts w:cs="Arial Unicode MS" w:eastAsia="Arial Unicode MS"/>
          <w:rtl w:val="0"/>
        </w:rPr>
        <w:t>28</w:t>
      </w:r>
      <w:r>
        <w:rPr/>
        <w:fldChar w:fldCharType="end" w:fldLock="0"/>
      </w:r>
    </w:p>
    <w:p>
      <w:pPr>
        <w:pStyle w:val="TOC 3"/>
        <w:bidi w:val="0"/>
      </w:pPr>
      <w:r>
        <w:rPr>
          <w:rFonts w:cs="Arial Unicode MS" w:eastAsia="Arial Unicode MS"/>
          <w:rtl w:val="0"/>
          <w:lang w:val="en-US"/>
        </w:rPr>
        <w:t>4.2.3 Inadequacy of Traditional Approaches</w:t>
        <w:tab/>
      </w:r>
      <w:r>
        <w:rPr/>
        <w:fldChar w:fldCharType="begin" w:fldLock="0"/>
      </w:r>
      <w:r>
        <w:instrText xml:space="preserve"> PAGEREF _Toc32 \h </w:instrText>
      </w:r>
      <w:r>
        <w:rPr/>
        <w:fldChar w:fldCharType="separate" w:fldLock="0"/>
      </w:r>
      <w:r>
        <w:rPr>
          <w:rFonts w:cs="Arial Unicode MS" w:eastAsia="Arial Unicode MS"/>
          <w:rtl w:val="0"/>
        </w:rPr>
        <w:t>28</w:t>
      </w:r>
      <w:r>
        <w:rPr/>
        <w:fldChar w:fldCharType="end" w:fldLock="0"/>
      </w:r>
    </w:p>
    <w:p>
      <w:pPr>
        <w:pStyle w:val="TOC 2"/>
        <w:bidi w:val="0"/>
      </w:pPr>
      <w:r>
        <w:rPr>
          <w:rFonts w:cs="Arial Unicode MS" w:eastAsia="Arial Unicode MS"/>
          <w:rtl w:val="0"/>
          <w:lang w:val="en-US"/>
        </w:rPr>
        <w:t>4.3 State of Natural Language to SQL Generation</w:t>
        <w:tab/>
      </w:r>
      <w:r>
        <w:rPr/>
        <w:fldChar w:fldCharType="begin" w:fldLock="0"/>
      </w:r>
      <w:r>
        <w:instrText xml:space="preserve"> PAGEREF _Toc33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4.3.1 Evolution and Technical Advances</w:t>
        <w:tab/>
      </w:r>
      <w:r>
        <w:rPr/>
        <w:fldChar w:fldCharType="begin" w:fldLock="0"/>
      </w:r>
      <w:r>
        <w:instrText xml:space="preserve"> PAGEREF _Toc34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4.3.2 Healthcare-Specific Challenges</w:t>
        <w:tab/>
      </w:r>
      <w:r>
        <w:rPr/>
        <w:fldChar w:fldCharType="begin" w:fldLock="0"/>
      </w:r>
      <w:r>
        <w:instrText xml:space="preserve"> PAGEREF _Toc35 \h </w:instrText>
      </w:r>
      <w:r>
        <w:rPr/>
        <w:fldChar w:fldCharType="separate" w:fldLock="0"/>
      </w:r>
      <w:r>
        <w:rPr>
          <w:rFonts w:cs="Arial Unicode MS" w:eastAsia="Arial Unicode MS"/>
          <w:rtl w:val="0"/>
        </w:rPr>
        <w:t>29</w:t>
      </w:r>
      <w:r>
        <w:rPr/>
        <w:fldChar w:fldCharType="end" w:fldLock="0"/>
      </w:r>
    </w:p>
    <w:p>
      <w:pPr>
        <w:pStyle w:val="TOC 3"/>
        <w:bidi w:val="0"/>
      </w:pPr>
      <w:r>
        <w:rPr>
          <w:rFonts w:cs="Arial Unicode MS" w:eastAsia="Arial Unicode MS"/>
          <w:rtl w:val="0"/>
          <w:lang w:val="en-US"/>
        </w:rPr>
        <w:t>4.3.3 Promising Approaches and Limitations</w:t>
        <w:tab/>
      </w:r>
      <w:r>
        <w:rPr/>
        <w:fldChar w:fldCharType="begin" w:fldLock="0"/>
      </w:r>
      <w:r>
        <w:instrText xml:space="preserve"> PAGEREF _Toc36 \h </w:instrText>
      </w:r>
      <w:r>
        <w:rPr/>
        <w:fldChar w:fldCharType="separate" w:fldLock="0"/>
      </w:r>
      <w:r>
        <w:rPr>
          <w:rFonts w:cs="Arial Unicode MS" w:eastAsia="Arial Unicode MS"/>
          <w:rtl w:val="0"/>
        </w:rPr>
        <w:t>30</w:t>
      </w:r>
      <w:r>
        <w:rPr/>
        <w:fldChar w:fldCharType="end" w:fldLock="0"/>
      </w:r>
    </w:p>
    <w:p>
      <w:pPr>
        <w:pStyle w:val="TOC 3"/>
        <w:bidi w:val="0"/>
      </w:pPr>
      <w:r>
        <w:rPr>
          <w:rFonts w:cs="Arial Unicode MS" w:eastAsia="Arial Unicode MS"/>
          <w:rtl w:val="0"/>
          <w:lang w:val="en-US"/>
        </w:rPr>
        <w:t>4.3.4 Productivity and Efficiency Evidence</w:t>
        <w:tab/>
      </w:r>
      <w:r>
        <w:rPr/>
        <w:fldChar w:fldCharType="begin" w:fldLock="0"/>
      </w:r>
      <w:r>
        <w:instrText xml:space="preserve"> PAGEREF _Toc37 \h </w:instrText>
      </w:r>
      <w:r>
        <w:rPr/>
        <w:fldChar w:fldCharType="separate" w:fldLock="0"/>
      </w:r>
      <w:r>
        <w:rPr>
          <w:rFonts w:cs="Arial Unicode MS" w:eastAsia="Arial Unicode MS"/>
          <w:rtl w:val="0"/>
        </w:rPr>
        <w:t>30</w:t>
      </w:r>
      <w:r>
        <w:rPr/>
        <w:fldChar w:fldCharType="end" w:fldLock="0"/>
      </w:r>
    </w:p>
    <w:p>
      <w:pPr>
        <w:pStyle w:val="TOC 2"/>
        <w:bidi w:val="0"/>
      </w:pPr>
      <w:r>
        <w:rPr>
          <w:rFonts w:cs="Arial Unicode MS" w:eastAsia="Arial Unicode MS"/>
          <w:rtl w:val="0"/>
          <w:lang w:val="en-US"/>
        </w:rPr>
        <w:t>4.4 Integration of Evidence: Synthesis Across Three Pillars</w:t>
        <w:tab/>
      </w:r>
      <w:r>
        <w:rPr/>
        <w:fldChar w:fldCharType="begin" w:fldLock="0"/>
      </w:r>
      <w:r>
        <w:instrText xml:space="preserve"> PAGEREF _Toc38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4.4.1 Pillar 1: Analytics Maturity and Democratized Access</w:t>
        <w:tab/>
      </w:r>
      <w:r>
        <w:rPr/>
        <w:fldChar w:fldCharType="begin" w:fldLock="0"/>
      </w:r>
      <w:r>
        <w:instrText xml:space="preserve"> PAGEREF _Toc39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4.4.2 Pillar 2: Workforce Agility and Institutional Memory</w:t>
        <w:tab/>
      </w:r>
      <w:r>
        <w:rPr/>
        <w:fldChar w:fldCharType="begin" w:fldLock="0"/>
      </w:r>
      <w:r>
        <w:instrText xml:space="preserve"> PAGEREF _Toc40 \h </w:instrText>
      </w:r>
      <w:r>
        <w:rPr/>
        <w:fldChar w:fldCharType="separate" w:fldLock="0"/>
      </w:r>
      <w:r>
        <w:rPr>
          <w:rFonts w:cs="Arial Unicode MS" w:eastAsia="Arial Unicode MS"/>
          <w:rtl w:val="0"/>
        </w:rPr>
        <w:t>32</w:t>
      </w:r>
      <w:r>
        <w:rPr/>
        <w:fldChar w:fldCharType="end" w:fldLock="0"/>
      </w:r>
    </w:p>
    <w:p>
      <w:pPr>
        <w:pStyle w:val="TOC 3"/>
        <w:bidi w:val="0"/>
      </w:pPr>
      <w:r>
        <w:rPr>
          <w:rFonts w:cs="Arial Unicode MS" w:eastAsia="Arial Unicode MS"/>
          <w:rtl w:val="0"/>
          <w:lang w:val="en-US"/>
        </w:rPr>
        <w:t>4.4.3 Pillar 3: Technical Enablement as the Catalyst</w:t>
        <w:tab/>
      </w:r>
      <w:r>
        <w:rPr/>
        <w:fldChar w:fldCharType="begin" w:fldLock="0"/>
      </w:r>
      <w:r>
        <w:instrText xml:space="preserve"> PAGEREF _Toc41 \h </w:instrText>
      </w:r>
      <w:r>
        <w:rPr/>
        <w:fldChar w:fldCharType="separate" w:fldLock="0"/>
      </w:r>
      <w:r>
        <w:rPr>
          <w:rFonts w:cs="Arial Unicode MS" w:eastAsia="Arial Unicode MS"/>
          <w:rtl w:val="0"/>
        </w:rPr>
        <w:t>33</w:t>
      </w:r>
      <w:r>
        <w:rPr/>
        <w:fldChar w:fldCharType="end" w:fldLock="0"/>
      </w:r>
    </w:p>
    <w:p>
      <w:pPr>
        <w:pStyle w:val="TOC 2"/>
        <w:bidi w:val="0"/>
      </w:pPr>
      <w:r>
        <w:rPr>
          <w:rFonts w:cs="Arial Unicode MS" w:eastAsia="Arial Unicode MS"/>
          <w:rtl w:val="0"/>
          <w:lang w:val="en-US"/>
        </w:rPr>
        <w:t>4.5 Strategic Alignment with Industry Trends</w:t>
        <w:tab/>
      </w:r>
      <w:r>
        <w:rPr/>
        <w:fldChar w:fldCharType="begin" w:fldLock="0"/>
      </w:r>
      <w:r>
        <w:instrText xml:space="preserve"> PAGEREF _Toc42 \h </w:instrText>
      </w:r>
      <w:r>
        <w:rPr/>
        <w:fldChar w:fldCharType="separate" w:fldLock="0"/>
      </w:r>
      <w:r>
        <w:rPr>
          <w:rFonts w:cs="Arial Unicode MS" w:eastAsia="Arial Unicode MS"/>
          <w:rtl w:val="0"/>
          <w:lang w:val="ru-RU"/>
        </w:rPr>
        <w:t>34</w:t>
      </w:r>
      <w:r>
        <w:rPr/>
        <w:fldChar w:fldCharType="end" w:fldLock="0"/>
      </w:r>
    </w:p>
    <w:p>
      <w:pPr>
        <w:pStyle w:val="TOC 3"/>
        <w:bidi w:val="0"/>
      </w:pPr>
      <w:r>
        <w:rPr>
          <w:rFonts w:cs="Arial Unicode MS" w:eastAsia="Arial Unicode MS"/>
          <w:rtl w:val="0"/>
          <w:lang w:val="en-US"/>
        </w:rPr>
        <w:t>4.5.1 Pillar 1 Alignment: Analytics Maturity Trajectories</w:t>
        <w:tab/>
      </w:r>
      <w:r>
        <w:rPr/>
        <w:fldChar w:fldCharType="begin" w:fldLock="0"/>
      </w:r>
      <w:r>
        <w:instrText xml:space="preserve"> PAGEREF _Toc43 \h </w:instrText>
      </w:r>
      <w:r>
        <w:rPr/>
        <w:fldChar w:fldCharType="separate" w:fldLock="0"/>
      </w:r>
      <w:r>
        <w:rPr>
          <w:rFonts w:cs="Arial Unicode MS" w:eastAsia="Arial Unicode MS"/>
          <w:rtl w:val="0"/>
          <w:lang w:val="ru-RU"/>
        </w:rPr>
        <w:t>34</w:t>
      </w:r>
      <w:r>
        <w:rPr/>
        <w:fldChar w:fldCharType="end" w:fldLock="0"/>
      </w:r>
    </w:p>
    <w:p>
      <w:pPr>
        <w:pStyle w:val="TOC 3"/>
        <w:bidi w:val="0"/>
      </w:pPr>
      <w:r>
        <w:rPr>
          <w:rFonts w:cs="Arial Unicode MS" w:eastAsia="Arial Unicode MS"/>
          <w:rtl w:val="0"/>
          <w:lang w:val="en-US"/>
        </w:rPr>
        <w:t>4.5.2 Pillar 2 Alignment: Workforce Knowledge Risks</w:t>
        <w:tab/>
      </w:r>
      <w:r>
        <w:rPr/>
        <w:fldChar w:fldCharType="begin" w:fldLock="0"/>
      </w:r>
      <w:r>
        <w:instrText xml:space="preserve"> PAGEREF _Toc44 \h </w:instrText>
      </w:r>
      <w:r>
        <w:rPr/>
        <w:fldChar w:fldCharType="separate" w:fldLock="0"/>
      </w:r>
      <w:r>
        <w:rPr>
          <w:rFonts w:cs="Arial Unicode MS" w:eastAsia="Arial Unicode MS"/>
          <w:rtl w:val="0"/>
          <w:lang w:val="ru-RU"/>
        </w:rPr>
        <w:t>34</w:t>
      </w:r>
      <w:r>
        <w:rPr/>
        <w:fldChar w:fldCharType="end" w:fldLock="0"/>
      </w:r>
    </w:p>
    <w:p>
      <w:pPr>
        <w:pStyle w:val="TOC 3"/>
        <w:bidi w:val="0"/>
      </w:pPr>
      <w:r>
        <w:rPr>
          <w:rFonts w:cs="Arial Unicode MS" w:eastAsia="Arial Unicode MS"/>
          <w:rtl w:val="0"/>
          <w:lang w:val="en-US"/>
        </w:rPr>
        <w:t>4.5.3 Pillar 3 Alignment: Technical Enablement ROI</w:t>
        <w:tab/>
      </w:r>
      <w:r>
        <w:rPr/>
        <w:fldChar w:fldCharType="begin" w:fldLock="0"/>
      </w:r>
      <w:r>
        <w:instrText xml:space="preserve"> PAGEREF _Toc45 \h </w:instrText>
      </w:r>
      <w:r>
        <w:rPr/>
        <w:fldChar w:fldCharType="separate" w:fldLock="0"/>
      </w:r>
      <w:r>
        <w:rPr>
          <w:rFonts w:cs="Arial Unicode MS" w:eastAsia="Arial Unicode MS"/>
          <w:rtl w:val="0"/>
          <w:lang w:val="ru-RU"/>
        </w:rPr>
        <w:t>34</w:t>
      </w:r>
      <w:r>
        <w:rPr/>
        <w:fldChar w:fldCharType="end" w:fldLock="0"/>
      </w:r>
    </w:p>
    <w:p>
      <w:pPr>
        <w:pStyle w:val="TOC 2"/>
        <w:bidi w:val="0"/>
      </w:pPr>
      <w:r>
        <w:rPr>
          <w:rFonts w:cs="Arial Unicode MS" w:eastAsia="Arial Unicode MS"/>
          <w:rtl w:val="0"/>
          <w:lang w:val="en-US"/>
        </w:rPr>
        <w:t>4.6 Gaps in Current Literature</w:t>
        <w:tab/>
      </w:r>
      <w:r>
        <w:rPr/>
        <w:fldChar w:fldCharType="begin" w:fldLock="0"/>
      </w:r>
      <w:r>
        <w:instrText xml:space="preserve"> PAGEREF _Toc46 \h </w:instrText>
      </w:r>
      <w:r>
        <w:rPr/>
        <w:fldChar w:fldCharType="separate" w:fldLock="0"/>
      </w:r>
      <w:r>
        <w:rPr>
          <w:rFonts w:cs="Arial Unicode MS" w:eastAsia="Arial Unicode MS"/>
          <w:rtl w:val="0"/>
        </w:rPr>
        <w:t>35</w:t>
      </w:r>
      <w:r>
        <w:rPr/>
        <w:fldChar w:fldCharType="end" w:fldLock="0"/>
      </w:r>
    </w:p>
    <w:p>
      <w:pPr>
        <w:pStyle w:val="TOC 2"/>
        <w:bidi w:val="0"/>
      </w:pPr>
      <w:r>
        <w:rPr>
          <w:rFonts w:cs="Arial Unicode MS" w:eastAsia="Arial Unicode MS"/>
          <w:rtl w:val="0"/>
          <w:lang w:val="en-US"/>
        </w:rPr>
        <w:t>4.7 Why the Problem Persists</w:t>
        <w:tab/>
      </w:r>
      <w:r>
        <w:rPr/>
        <w:fldChar w:fldCharType="begin" w:fldLock="0"/>
      </w:r>
      <w:r>
        <w:instrText xml:space="preserve"> PAGEREF _Toc47 \h </w:instrText>
      </w:r>
      <w:r>
        <w:rPr/>
        <w:fldChar w:fldCharType="separate" w:fldLock="0"/>
      </w:r>
      <w:r>
        <w:rPr>
          <w:rFonts w:cs="Arial Unicode MS" w:eastAsia="Arial Unicode MS"/>
          <w:rtl w:val="0"/>
        </w:rPr>
        <w:t>36</w:t>
      </w:r>
      <w:r>
        <w:rPr/>
        <w:fldChar w:fldCharType="end" w:fldLock="0"/>
      </w:r>
    </w:p>
    <w:p>
      <w:pPr>
        <w:pStyle w:val="TOC 3"/>
        <w:bidi w:val="0"/>
      </w:pPr>
      <w:r>
        <w:rPr>
          <w:rFonts w:cs="Arial Unicode MS" w:eastAsia="Arial Unicode MS"/>
          <w:rtl w:val="0"/>
          <w:lang w:val="en-US"/>
        </w:rPr>
        <w:t>4.7.1 Failed Standardization Approaches</w:t>
        <w:tab/>
      </w:r>
      <w:r>
        <w:rPr/>
        <w:fldChar w:fldCharType="begin" w:fldLock="0"/>
      </w:r>
      <w:r>
        <w:instrText xml:space="preserve"> PAGEREF _Toc48 \h </w:instrText>
      </w:r>
      <w:r>
        <w:rPr/>
        <w:fldChar w:fldCharType="separate" w:fldLock="0"/>
      </w:r>
      <w:r>
        <w:rPr>
          <w:rFonts w:cs="Arial Unicode MS" w:eastAsia="Arial Unicode MS"/>
          <w:rtl w:val="0"/>
        </w:rPr>
        <w:t>36</w:t>
      </w:r>
      <w:r>
        <w:rPr/>
        <w:fldChar w:fldCharType="end" w:fldLock="0"/>
      </w:r>
    </w:p>
    <w:p>
      <w:pPr>
        <w:pStyle w:val="TOC 3"/>
        <w:bidi w:val="0"/>
      </w:pPr>
      <w:r>
        <w:rPr>
          <w:rFonts w:cs="Arial Unicode MS" w:eastAsia="Arial Unicode MS"/>
          <w:rtl w:val="0"/>
          <w:lang w:val="en-US"/>
        </w:rPr>
        <w:t>4.7.2 Deployment Constraint Mismatch</w:t>
        <w:tab/>
      </w:r>
      <w:r>
        <w:rPr/>
        <w:fldChar w:fldCharType="begin" w:fldLock="0"/>
      </w:r>
      <w:r>
        <w:instrText xml:space="preserve"> PAGEREF _Toc49 \h </w:instrText>
      </w:r>
      <w:r>
        <w:rPr/>
        <w:fldChar w:fldCharType="separate" w:fldLock="0"/>
      </w:r>
      <w:r>
        <w:rPr>
          <w:rFonts w:cs="Arial Unicode MS" w:eastAsia="Arial Unicode MS"/>
          <w:rtl w:val="0"/>
        </w:rPr>
        <w:t>37</w:t>
      </w:r>
      <w:r>
        <w:rPr/>
        <w:fldChar w:fldCharType="end" w:fldLock="0"/>
      </w:r>
    </w:p>
    <w:p>
      <w:pPr>
        <w:pStyle w:val="TOC 1"/>
        <w:bidi w:val="0"/>
      </w:pPr>
      <w:r>
        <w:rPr>
          <w:rFonts w:cs="Arial Unicode MS" w:eastAsia="Arial Unicode MS"/>
          <w:rtl w:val="0"/>
          <w:lang w:val="en-US"/>
        </w:rPr>
        <w:t>5 Discussion</w:t>
        <w:tab/>
      </w:r>
      <w:r>
        <w:rPr/>
        <w:fldChar w:fldCharType="begin" w:fldLock="0"/>
      </w:r>
      <w:r>
        <w:instrText xml:space="preserve"> PAGEREF _Toc50 \h </w:instrText>
      </w:r>
      <w:r>
        <w:rPr/>
        <w:fldChar w:fldCharType="separate" w:fldLock="0"/>
      </w:r>
      <w:r>
        <w:rPr>
          <w:rFonts w:cs="Arial Unicode MS" w:eastAsia="Arial Unicode MS"/>
          <w:rtl w:val="0"/>
        </w:rPr>
        <w:t>37</w:t>
      </w:r>
      <w:r>
        <w:rPr/>
        <w:fldChar w:fldCharType="end" w:fldLock="0"/>
      </w:r>
    </w:p>
    <w:p>
      <w:pPr>
        <w:pStyle w:val="TOC 2"/>
        <w:bidi w:val="0"/>
      </w:pPr>
      <w:r>
        <w:rPr>
          <w:rFonts w:cs="Arial Unicode MS" w:eastAsia="Arial Unicode MS"/>
          <w:rtl w:val="0"/>
          <w:lang w:val="en-US"/>
        </w:rPr>
        <w:t>5.1 Strengths of the Evidence Base</w:t>
        <w:tab/>
      </w:r>
      <w:r>
        <w:rPr/>
        <w:fldChar w:fldCharType="begin" w:fldLock="0"/>
      </w:r>
      <w:r>
        <w:instrText xml:space="preserve"> PAGEREF _Toc51 \h </w:instrText>
      </w:r>
      <w:r>
        <w:rPr/>
        <w:fldChar w:fldCharType="separate" w:fldLock="0"/>
      </w:r>
      <w:r>
        <w:rPr>
          <w:rFonts w:cs="Arial Unicode MS" w:eastAsia="Arial Unicode MS"/>
          <w:rtl w:val="0"/>
        </w:rPr>
        <w:t>37</w:t>
      </w:r>
      <w:r>
        <w:rPr/>
        <w:fldChar w:fldCharType="end" w:fldLock="0"/>
      </w:r>
    </w:p>
    <w:p>
      <w:pPr>
        <w:pStyle w:val="TOC 3"/>
        <w:bidi w:val="0"/>
      </w:pPr>
      <w:r>
        <w:rPr>
          <w:rFonts w:cs="Arial Unicode MS" w:eastAsia="Arial Unicode MS"/>
          <w:rtl w:val="0"/>
        </w:rPr>
        <w:t>5.1.1 Benchmarked Data</w:t>
        <w:tab/>
      </w:r>
      <w:r>
        <w:rPr/>
        <w:fldChar w:fldCharType="begin" w:fldLock="0"/>
      </w:r>
      <w:r>
        <w:instrText xml:space="preserve"> PAGEREF _Toc52 \h </w:instrText>
      </w:r>
      <w:r>
        <w:rPr/>
        <w:fldChar w:fldCharType="separate" w:fldLock="0"/>
      </w:r>
      <w:r>
        <w:rPr>
          <w:rFonts w:cs="Arial Unicode MS" w:eastAsia="Arial Unicode MS"/>
          <w:rtl w:val="0"/>
        </w:rPr>
        <w:t>38</w:t>
      </w:r>
      <w:r>
        <w:rPr/>
        <w:fldChar w:fldCharType="end" w:fldLock="0"/>
      </w:r>
    </w:p>
    <w:p>
      <w:pPr>
        <w:pStyle w:val="TOC 3"/>
        <w:bidi w:val="0"/>
      </w:pPr>
      <w:r>
        <w:rPr>
          <w:rFonts w:cs="Arial Unicode MS" w:eastAsia="Arial Unicode MS"/>
          <w:rtl w:val="0"/>
          <w:lang w:val="en-US"/>
        </w:rPr>
        <w:t>5.1.2 Real-world Implementations</w:t>
        <w:tab/>
      </w:r>
      <w:r>
        <w:rPr/>
        <w:fldChar w:fldCharType="begin" w:fldLock="0"/>
      </w:r>
      <w:r>
        <w:instrText xml:space="preserve"> PAGEREF _Toc53 \h </w:instrText>
      </w:r>
      <w:r>
        <w:rPr/>
        <w:fldChar w:fldCharType="separate" w:fldLock="0"/>
      </w:r>
      <w:r>
        <w:rPr>
          <w:rFonts w:cs="Arial Unicode MS" w:eastAsia="Arial Unicode MS"/>
          <w:rtl w:val="0"/>
        </w:rPr>
        <w:t>38</w:t>
      </w:r>
      <w:r>
        <w:rPr/>
        <w:fldChar w:fldCharType="end" w:fldLock="0"/>
      </w:r>
    </w:p>
    <w:p>
      <w:pPr>
        <w:pStyle w:val="TOC 3"/>
        <w:bidi w:val="0"/>
      </w:pPr>
      <w:r>
        <w:rPr>
          <w:rFonts w:cs="Arial Unicode MS" w:eastAsia="Arial Unicode MS"/>
          <w:rtl w:val="0"/>
          <w:lang w:val="en-US"/>
        </w:rPr>
        <w:t>5.1.3 Interconnected Challenges</w:t>
        <w:tab/>
      </w:r>
      <w:r>
        <w:rPr/>
        <w:fldChar w:fldCharType="begin" w:fldLock="0"/>
      </w:r>
      <w:r>
        <w:instrText xml:space="preserve"> PAGEREF _Toc54 \h </w:instrText>
      </w:r>
      <w:r>
        <w:rPr/>
        <w:fldChar w:fldCharType="separate" w:fldLock="0"/>
      </w:r>
      <w:r>
        <w:rPr>
          <w:rFonts w:cs="Arial Unicode MS" w:eastAsia="Arial Unicode MS"/>
          <w:rtl w:val="0"/>
        </w:rPr>
        <w:t>38</w:t>
      </w:r>
      <w:r>
        <w:rPr/>
        <w:fldChar w:fldCharType="end" w:fldLock="0"/>
      </w:r>
    </w:p>
    <w:p>
      <w:pPr>
        <w:pStyle w:val="TOC 3"/>
        <w:bidi w:val="0"/>
      </w:pPr>
      <w:r>
        <w:rPr>
          <w:rFonts w:cs="Arial Unicode MS" w:eastAsia="Arial Unicode MS"/>
          <w:rtl w:val="0"/>
          <w:lang w:val="it-IT"/>
        </w:rPr>
        <w:t>5.1.4 Economic Justification</w:t>
        <w:tab/>
      </w:r>
      <w:r>
        <w:rPr/>
        <w:fldChar w:fldCharType="begin" w:fldLock="0"/>
      </w:r>
      <w:r>
        <w:instrText xml:space="preserve"> PAGEREF _Toc55 \h </w:instrText>
      </w:r>
      <w:r>
        <w:rPr/>
        <w:fldChar w:fldCharType="separate" w:fldLock="0"/>
      </w:r>
      <w:r>
        <w:rPr>
          <w:rFonts w:cs="Arial Unicode MS" w:eastAsia="Arial Unicode MS"/>
          <w:rtl w:val="0"/>
        </w:rPr>
        <w:t>38</w:t>
      </w:r>
      <w:r>
        <w:rPr/>
        <w:fldChar w:fldCharType="end" w:fldLock="0"/>
      </w:r>
    </w:p>
    <w:p>
      <w:pPr>
        <w:pStyle w:val="TOC 3"/>
        <w:bidi w:val="0"/>
      </w:pPr>
      <w:r>
        <w:rPr>
          <w:rFonts w:cs="Arial Unicode MS" w:eastAsia="Arial Unicode MS"/>
          <w:rtl w:val="0"/>
          <w:lang w:val="fr-FR"/>
        </w:rPr>
        <w:t>5.1.5 Evidence Limitations</w:t>
        <w:tab/>
      </w:r>
      <w:r>
        <w:rPr/>
        <w:fldChar w:fldCharType="begin" w:fldLock="0"/>
      </w:r>
      <w:r>
        <w:instrText xml:space="preserve"> PAGEREF _Toc56 \h </w:instrText>
      </w:r>
      <w:r>
        <w:rPr/>
        <w:fldChar w:fldCharType="separate" w:fldLock="0"/>
      </w:r>
      <w:r>
        <w:rPr>
          <w:rFonts w:cs="Arial Unicode MS" w:eastAsia="Arial Unicode MS"/>
          <w:rtl w:val="0"/>
        </w:rPr>
        <w:t>38</w:t>
      </w:r>
      <w:r>
        <w:rPr/>
        <w:fldChar w:fldCharType="end" w:fldLock="0"/>
      </w:r>
    </w:p>
    <w:p>
      <w:pPr>
        <w:pStyle w:val="TOC 2"/>
        <w:bidi w:val="0"/>
      </w:pPr>
      <w:r>
        <w:rPr>
          <w:rFonts w:cs="Arial Unicode MS" w:eastAsia="Arial Unicode MS"/>
          <w:rtl w:val="0"/>
          <w:lang w:val="en-US"/>
        </w:rPr>
        <w:t>5.2 Limitations of the Three-Pillar Framework</w:t>
        <w:tab/>
      </w:r>
      <w:r>
        <w:rPr/>
        <w:fldChar w:fldCharType="begin" w:fldLock="0"/>
      </w:r>
      <w:r>
        <w:instrText xml:space="preserve"> PAGEREF _Toc57 \h </w:instrText>
      </w:r>
      <w:r>
        <w:rPr/>
        <w:fldChar w:fldCharType="separate" w:fldLock="0"/>
      </w:r>
      <w:r>
        <w:rPr>
          <w:rFonts w:cs="Arial Unicode MS" w:eastAsia="Arial Unicode MS"/>
          <w:rtl w:val="0"/>
        </w:rPr>
        <w:t>39</w:t>
      </w:r>
      <w:r>
        <w:rPr/>
        <w:fldChar w:fldCharType="end" w:fldLock="0"/>
      </w:r>
    </w:p>
    <w:p>
      <w:pPr>
        <w:pStyle w:val="TOC 3"/>
        <w:bidi w:val="0"/>
      </w:pPr>
      <w:r>
        <w:rPr>
          <w:rFonts w:cs="Arial Unicode MS" w:eastAsia="Arial Unicode MS"/>
          <w:rtl w:val="0"/>
          <w:lang w:val="en-US"/>
        </w:rPr>
        <w:t>5.2.1 Implementation Complexity</w:t>
        <w:tab/>
      </w:r>
      <w:r>
        <w:rPr/>
        <w:fldChar w:fldCharType="begin" w:fldLock="0"/>
      </w:r>
      <w:r>
        <w:instrText xml:space="preserve"> PAGEREF _Toc58 \h </w:instrText>
      </w:r>
      <w:r>
        <w:rPr/>
        <w:fldChar w:fldCharType="separate" w:fldLock="0"/>
      </w:r>
      <w:r>
        <w:rPr>
          <w:rFonts w:cs="Arial Unicode MS" w:eastAsia="Arial Unicode MS"/>
          <w:rtl w:val="0"/>
        </w:rPr>
        <w:t>39</w:t>
      </w:r>
      <w:r>
        <w:rPr/>
        <w:fldChar w:fldCharType="end" w:fldLock="0"/>
      </w:r>
    </w:p>
    <w:p>
      <w:pPr>
        <w:pStyle w:val="TOC 3"/>
        <w:bidi w:val="0"/>
      </w:pPr>
      <w:r>
        <w:rPr>
          <w:rFonts w:cs="Arial Unicode MS" w:eastAsia="Arial Unicode MS"/>
          <w:rtl w:val="0"/>
          <w:lang w:val="en-US"/>
        </w:rPr>
        <w:t>5.2.2 Context-Specific Customization Requirements</w:t>
        <w:tab/>
      </w:r>
      <w:r>
        <w:rPr/>
        <w:fldChar w:fldCharType="begin" w:fldLock="0"/>
      </w:r>
      <w:r>
        <w:instrText xml:space="preserve"> PAGEREF _Toc59 \h </w:instrText>
      </w:r>
      <w:r>
        <w:rPr/>
        <w:fldChar w:fldCharType="separate" w:fldLock="0"/>
      </w:r>
      <w:r>
        <w:rPr>
          <w:rFonts w:cs="Arial Unicode MS" w:eastAsia="Arial Unicode MS"/>
          <w:rtl w:val="0"/>
        </w:rPr>
        <w:t>39</w:t>
      </w:r>
      <w:r>
        <w:rPr/>
        <w:fldChar w:fldCharType="end" w:fldLock="0"/>
      </w:r>
    </w:p>
    <w:p>
      <w:pPr>
        <w:pStyle w:val="TOC 3"/>
        <w:bidi w:val="0"/>
      </w:pPr>
      <w:r>
        <w:rPr>
          <w:rFonts w:cs="Arial Unicode MS" w:eastAsia="Arial Unicode MS"/>
          <w:rtl w:val="0"/>
          <w:lang w:val="en-US"/>
        </w:rPr>
        <w:t>5.2.3 Long-Term Outcome Uncertainties</w:t>
        <w:tab/>
      </w:r>
      <w:r>
        <w:rPr/>
        <w:fldChar w:fldCharType="begin" w:fldLock="0"/>
      </w:r>
      <w:r>
        <w:instrText xml:space="preserve"> PAGEREF _Toc60 \h </w:instrText>
      </w:r>
      <w:r>
        <w:rPr/>
        <w:fldChar w:fldCharType="separate" w:fldLock="0"/>
      </w:r>
      <w:r>
        <w:rPr>
          <w:rFonts w:cs="Arial Unicode MS" w:eastAsia="Arial Unicode MS"/>
          <w:rtl w:val="0"/>
        </w:rPr>
        <w:t>39</w:t>
      </w:r>
      <w:r>
        <w:rPr/>
        <w:fldChar w:fldCharType="end" w:fldLock="0"/>
      </w:r>
    </w:p>
    <w:p>
      <w:pPr>
        <w:pStyle w:val="TOC 3"/>
        <w:bidi w:val="0"/>
      </w:pPr>
      <w:r>
        <w:rPr>
          <w:rFonts w:cs="Arial Unicode MS" w:eastAsia="Arial Unicode MS"/>
          <w:rtl w:val="0"/>
          <w:lang w:val="en-US"/>
        </w:rPr>
        <w:t>5.2.4 Governance and Quality Assurance Challenges</w:t>
        <w:tab/>
      </w:r>
      <w:r>
        <w:rPr/>
        <w:fldChar w:fldCharType="begin" w:fldLock="0"/>
      </w:r>
      <w:r>
        <w:instrText xml:space="preserve"> PAGEREF _Toc61 \h </w:instrText>
      </w:r>
      <w:r>
        <w:rPr/>
        <w:fldChar w:fldCharType="separate" w:fldLock="0"/>
      </w:r>
      <w:r>
        <w:rPr>
          <w:rFonts w:cs="Arial Unicode MS" w:eastAsia="Arial Unicode MS"/>
          <w:rtl w:val="0"/>
        </w:rPr>
        <w:t>39</w:t>
      </w:r>
      <w:r>
        <w:rPr/>
        <w:fldChar w:fldCharType="end" w:fldLock="0"/>
      </w:r>
    </w:p>
    <w:p>
      <w:pPr>
        <w:pStyle w:val="TOC 3"/>
        <w:bidi w:val="0"/>
      </w:pPr>
      <w:r>
        <w:rPr>
          <w:rFonts w:cs="Arial Unicode MS" w:eastAsia="Arial Unicode MS"/>
          <w:rtl w:val="0"/>
          <w:lang w:val="en-US"/>
        </w:rPr>
        <w:t>5.2.5 Specialty-Specific Application Gaps</w:t>
        <w:tab/>
      </w:r>
      <w:r>
        <w:rPr/>
        <w:fldChar w:fldCharType="begin" w:fldLock="0"/>
      </w:r>
      <w:r>
        <w:instrText xml:space="preserve"> PAGEREF _Toc62 \h </w:instrText>
      </w:r>
      <w:r>
        <w:rPr/>
        <w:fldChar w:fldCharType="separate" w:fldLock="0"/>
      </w:r>
      <w:r>
        <w:rPr>
          <w:rFonts w:cs="Arial Unicode MS" w:eastAsia="Arial Unicode MS"/>
          <w:rtl w:val="0"/>
        </w:rPr>
        <w:t>39</w:t>
      </w:r>
      <w:r>
        <w:rPr/>
        <w:fldChar w:fldCharType="end" w:fldLock="0"/>
      </w:r>
    </w:p>
    <w:p>
      <w:pPr>
        <w:pStyle w:val="TOC 3"/>
        <w:bidi w:val="0"/>
      </w:pPr>
      <w:r>
        <w:rPr>
          <w:rFonts w:cs="Arial Unicode MS" w:eastAsia="Arial Unicode MS"/>
          <w:rtl w:val="0"/>
          <w:lang w:val="en-US"/>
        </w:rPr>
        <w:t>5.2.6 Limitations of the Review Methodology</w:t>
        <w:tab/>
      </w:r>
      <w:r>
        <w:rPr/>
        <w:fldChar w:fldCharType="begin" w:fldLock="0"/>
      </w:r>
      <w:r>
        <w:instrText xml:space="preserve"> PAGEREF _Toc63 \h </w:instrText>
      </w:r>
      <w:r>
        <w:rPr/>
        <w:fldChar w:fldCharType="separate" w:fldLock="0"/>
      </w:r>
      <w:r>
        <w:rPr>
          <w:rFonts w:cs="Arial Unicode MS" w:eastAsia="Arial Unicode MS"/>
          <w:rtl w:val="0"/>
        </w:rPr>
        <w:t>40</w:t>
      </w:r>
      <w:r>
        <w:rPr/>
        <w:fldChar w:fldCharType="end" w:fldLock="0"/>
      </w:r>
    </w:p>
    <w:p>
      <w:pPr>
        <w:pStyle w:val="TOC 2"/>
        <w:bidi w:val="0"/>
      </w:pPr>
      <w:r>
        <w:rPr>
          <w:rFonts w:cs="Arial Unicode MS" w:eastAsia="Arial Unicode MS"/>
          <w:rtl w:val="0"/>
          <w:lang w:val="en-US"/>
        </w:rPr>
        <w:t>5.3 Future Research Directions</w:t>
        <w:tab/>
      </w:r>
      <w:r>
        <w:rPr/>
        <w:fldChar w:fldCharType="begin" w:fldLock="0"/>
      </w:r>
      <w:r>
        <w:instrText xml:space="preserve"> PAGEREF _Toc64 \h </w:instrText>
      </w:r>
      <w:r>
        <w:rPr/>
        <w:fldChar w:fldCharType="separate" w:fldLock="0"/>
      </w:r>
      <w:r>
        <w:rPr>
          <w:rFonts w:cs="Arial Unicode MS" w:eastAsia="Arial Unicode MS"/>
          <w:rtl w:val="0"/>
        </w:rPr>
        <w:t>40</w:t>
      </w:r>
      <w:r>
        <w:rPr/>
        <w:fldChar w:fldCharType="end" w:fldLock="0"/>
      </w:r>
    </w:p>
    <w:p>
      <w:pPr>
        <w:pStyle w:val="TOC 3"/>
        <w:bidi w:val="0"/>
      </w:pPr>
      <w:r>
        <w:rPr>
          <w:rFonts w:cs="Arial Unicode MS" w:eastAsia="Arial Unicode MS"/>
          <w:rtl w:val="0"/>
          <w:lang w:val="en-US"/>
        </w:rPr>
        <w:t>5.3.1 Short-Term Research Priorities (&lt;1 year)</w:t>
        <w:tab/>
      </w:r>
      <w:r>
        <w:rPr/>
        <w:fldChar w:fldCharType="begin" w:fldLock="0"/>
      </w:r>
      <w:r>
        <w:instrText xml:space="preserve"> PAGEREF _Toc65 \h </w:instrText>
      </w:r>
      <w:r>
        <w:rPr/>
        <w:fldChar w:fldCharType="separate" w:fldLock="0"/>
      </w:r>
      <w:r>
        <w:rPr>
          <w:rFonts w:cs="Arial Unicode MS" w:eastAsia="Arial Unicode MS"/>
          <w:rtl w:val="0"/>
        </w:rPr>
        <w:t>40</w:t>
      </w:r>
      <w:r>
        <w:rPr/>
        <w:fldChar w:fldCharType="end" w:fldLock="0"/>
      </w:r>
    </w:p>
    <w:p>
      <w:pPr>
        <w:pStyle w:val="TOC 3"/>
        <w:bidi w:val="0"/>
      </w:pPr>
      <w:r>
        <w:rPr>
          <w:rFonts w:cs="Arial Unicode MS" w:eastAsia="Arial Unicode MS"/>
          <w:rtl w:val="0"/>
          <w:lang w:val="en-US"/>
        </w:rPr>
        <w:t>5.3.2 Medium-Term Research Priorities (1-2 years)</w:t>
        <w:tab/>
      </w:r>
      <w:r>
        <w:rPr/>
        <w:fldChar w:fldCharType="begin" w:fldLock="0"/>
      </w:r>
      <w:r>
        <w:instrText xml:space="preserve"> PAGEREF _Toc66 \h </w:instrText>
      </w:r>
      <w:r>
        <w:rPr/>
        <w:fldChar w:fldCharType="separate" w:fldLock="0"/>
      </w:r>
      <w:r>
        <w:rPr>
          <w:rFonts w:cs="Arial Unicode MS" w:eastAsia="Arial Unicode MS"/>
          <w:rtl w:val="0"/>
        </w:rPr>
        <w:t>40</w:t>
      </w:r>
      <w:r>
        <w:rPr/>
        <w:fldChar w:fldCharType="end" w:fldLock="0"/>
      </w:r>
    </w:p>
    <w:p>
      <w:pPr>
        <w:pStyle w:val="TOC 3"/>
        <w:bidi w:val="0"/>
      </w:pPr>
      <w:r>
        <w:rPr>
          <w:rFonts w:cs="Arial Unicode MS" w:eastAsia="Arial Unicode MS"/>
          <w:rtl w:val="0"/>
          <w:lang w:val="en-US"/>
        </w:rPr>
        <w:t>5.3.3 Long-Term Research Priorities (&gt;2 years)</w:t>
        <w:tab/>
      </w:r>
      <w:r>
        <w:rPr/>
        <w:fldChar w:fldCharType="begin" w:fldLock="0"/>
      </w:r>
      <w:r>
        <w:instrText xml:space="preserve"> PAGEREF _Toc67 \h </w:instrText>
      </w:r>
      <w:r>
        <w:rPr/>
        <w:fldChar w:fldCharType="separate" w:fldLock="0"/>
      </w:r>
      <w:r>
        <w:rPr>
          <w:rFonts w:cs="Arial Unicode MS" w:eastAsia="Arial Unicode MS"/>
          <w:rtl w:val="0"/>
        </w:rPr>
        <w:t>41</w:t>
      </w:r>
      <w:r>
        <w:rPr/>
        <w:fldChar w:fldCharType="end" w:fldLock="0"/>
      </w:r>
    </w:p>
    <w:p>
      <w:pPr>
        <w:pStyle w:val="TOC 2"/>
        <w:bidi w:val="0"/>
      </w:pPr>
      <w:r>
        <w:rPr>
          <w:rFonts w:cs="Arial Unicode MS" w:eastAsia="Arial Unicode MS"/>
          <w:rtl w:val="0"/>
          <w:lang w:val="en-US"/>
        </w:rPr>
        <w:t>5.4 Illustrative Application: Knowledge Preservation Mechanisms</w:t>
        <w:tab/>
      </w:r>
      <w:r>
        <w:rPr/>
        <w:fldChar w:fldCharType="begin" w:fldLock="0"/>
      </w:r>
      <w:r>
        <w:instrText xml:space="preserve"> PAGEREF _Toc68 \h </w:instrText>
      </w:r>
      <w:r>
        <w:rPr/>
        <w:fldChar w:fldCharType="separate" w:fldLock="0"/>
      </w:r>
      <w:r>
        <w:rPr>
          <w:rFonts w:cs="Arial Unicode MS" w:eastAsia="Arial Unicode MS"/>
          <w:rtl w:val="0"/>
        </w:rPr>
        <w:t>41</w:t>
      </w:r>
      <w:r>
        <w:rPr/>
        <w:fldChar w:fldCharType="end" w:fldLock="0"/>
      </w:r>
    </w:p>
    <w:p>
      <w:pPr>
        <w:pStyle w:val="TOC 3"/>
        <w:bidi w:val="0"/>
      </w:pPr>
      <w:r>
        <w:rPr>
          <w:rFonts w:cs="Arial Unicode MS" w:eastAsia="Arial Unicode MS"/>
          <w:rtl w:val="0"/>
          <w:lang w:val="en-US"/>
        </w:rPr>
        <w:t>5.4.1 Resolving the Validator Paradox: Knowledge Ratchet and Standard Work</w:t>
        <w:tab/>
      </w:r>
      <w:r>
        <w:rPr/>
        <w:fldChar w:fldCharType="begin" w:fldLock="0"/>
      </w:r>
      <w:r>
        <w:instrText xml:space="preserve"> PAGEREF _Toc69 \h </w:instrText>
      </w:r>
      <w:r>
        <w:rPr/>
        <w:fldChar w:fldCharType="separate" w:fldLock="0"/>
      </w:r>
      <w:r>
        <w:rPr>
          <w:rFonts w:cs="Arial Unicode MS" w:eastAsia="Arial Unicode MS"/>
          <w:rtl w:val="0"/>
        </w:rPr>
        <w:t>42</w:t>
      </w:r>
      <w:r>
        <w:rPr/>
        <w:fldChar w:fldCharType="end" w:fldLock="0"/>
      </w:r>
    </w:p>
    <w:p>
      <w:pPr>
        <w:pStyle w:val="TOC 3"/>
        <w:bidi w:val="0"/>
      </w:pPr>
      <w:r>
        <w:rPr>
          <w:rFonts w:cs="Arial Unicode MS" w:eastAsia="Arial Unicode MS"/>
          <w:rtl w:val="0"/>
          <w:lang w:val="en-US"/>
        </w:rPr>
        <w:t>5.4.2 Comparative Analysis of Knowledge Preservation Strategies</w:t>
        <w:tab/>
      </w:r>
      <w:r>
        <w:rPr/>
        <w:fldChar w:fldCharType="begin" w:fldLock="0"/>
      </w:r>
      <w:r>
        <w:instrText xml:space="preserve"> PAGEREF _Toc70 \h </w:instrText>
      </w:r>
      <w:r>
        <w:rPr/>
        <w:fldChar w:fldCharType="separate" w:fldLock="0"/>
      </w:r>
      <w:r>
        <w:rPr>
          <w:rFonts w:cs="Arial Unicode MS" w:eastAsia="Arial Unicode MS"/>
          <w:rtl w:val="0"/>
        </w:rPr>
        <w:t>42</w:t>
      </w:r>
      <w:r>
        <w:rPr/>
        <w:fldChar w:fldCharType="end" w:fldLock="0"/>
      </w:r>
    </w:p>
    <w:p>
      <w:pPr>
        <w:pStyle w:val="TOC 3"/>
        <w:bidi w:val="0"/>
      </w:pPr>
      <w:r>
        <w:rPr>
          <w:rFonts w:cs="Arial Unicode MS" w:eastAsia="Arial Unicode MS"/>
          <w:rtl w:val="0"/>
          <w:lang w:val="en-US"/>
        </w:rPr>
        <w:t>5.4.3 Lifecycle Management: Continuous Analytic Integration</w:t>
        <w:tab/>
      </w:r>
      <w:r>
        <w:rPr/>
        <w:fldChar w:fldCharType="begin" w:fldLock="0"/>
      </w:r>
      <w:r>
        <w:instrText xml:space="preserve"> PAGEREF _Toc71 \h </w:instrText>
      </w:r>
      <w:r>
        <w:rPr/>
        <w:fldChar w:fldCharType="separate" w:fldLock="0"/>
      </w:r>
      <w:r>
        <w:rPr>
          <w:rFonts w:cs="Arial Unicode MS" w:eastAsia="Arial Unicode MS"/>
          <w:rtl w:val="0"/>
        </w:rPr>
        <w:t>43</w:t>
      </w:r>
      <w:r>
        <w:rPr/>
        <w:fldChar w:fldCharType="end" w:fldLock="0"/>
      </w:r>
    </w:p>
    <w:p>
      <w:pPr>
        <w:pStyle w:val="TOC 2"/>
        <w:bidi w:val="0"/>
      </w:pPr>
      <w:r>
        <w:rPr>
          <w:rFonts w:cs="Arial Unicode MS" w:eastAsia="Arial Unicode MS"/>
          <w:rtl w:val="0"/>
          <w:lang w:val="en-US"/>
        </w:rPr>
        <w:t>5.5 Strategic Implications for Healthcare Organizations</w:t>
        <w:tab/>
      </w:r>
      <w:r>
        <w:rPr/>
        <w:fldChar w:fldCharType="begin" w:fldLock="0"/>
      </w:r>
      <w:r>
        <w:instrText xml:space="preserve"> PAGEREF _Toc72 \h </w:instrText>
      </w:r>
      <w:r>
        <w:rPr/>
        <w:fldChar w:fldCharType="separate" w:fldLock="0"/>
      </w:r>
      <w:r>
        <w:rPr>
          <w:rFonts w:cs="Arial Unicode MS" w:eastAsia="Arial Unicode MS"/>
          <w:rtl w:val="0"/>
        </w:rPr>
        <w:t>44</w:t>
      </w:r>
      <w:r>
        <w:rPr/>
        <w:fldChar w:fldCharType="end" w:fldLock="0"/>
      </w:r>
    </w:p>
    <w:p>
      <w:pPr>
        <w:pStyle w:val="TOC 3"/>
        <w:bidi w:val="0"/>
      </w:pPr>
      <w:r>
        <w:rPr>
          <w:rFonts w:cs="Arial Unicode MS" w:eastAsia="Arial Unicode MS"/>
          <w:rtl w:val="0"/>
          <w:lang w:val="en-US"/>
        </w:rPr>
        <w:t>5.5.1 Applying the Framework: A Three-Pillar Assessment</w:t>
        <w:tab/>
      </w:r>
      <w:r>
        <w:rPr/>
        <w:fldChar w:fldCharType="begin" w:fldLock="0"/>
      </w:r>
      <w:r>
        <w:instrText xml:space="preserve"> PAGEREF _Toc73 \h </w:instrText>
      </w:r>
      <w:r>
        <w:rPr/>
        <w:fldChar w:fldCharType="separate" w:fldLock="0"/>
      </w:r>
      <w:r>
        <w:rPr>
          <w:rFonts w:cs="Arial Unicode MS" w:eastAsia="Arial Unicode MS"/>
          <w:rtl w:val="0"/>
        </w:rPr>
        <w:t>44</w:t>
      </w:r>
      <w:r>
        <w:rPr/>
        <w:fldChar w:fldCharType="end" w:fldLock="0"/>
      </w:r>
    </w:p>
    <w:p>
      <w:pPr>
        <w:pStyle w:val="TOC 3"/>
        <w:bidi w:val="0"/>
      </w:pPr>
      <w:r>
        <w:rPr>
          <w:rFonts w:cs="Arial Unicode MS" w:eastAsia="Arial Unicode MS"/>
          <w:rtl w:val="0"/>
          <w:lang w:val="en-US"/>
        </w:rPr>
        <w:t>5.5.2 Three-Pillar Assessment Rubric</w:t>
        <w:tab/>
      </w:r>
      <w:r>
        <w:rPr/>
        <w:fldChar w:fldCharType="begin" w:fldLock="0"/>
      </w:r>
      <w:r>
        <w:instrText xml:space="preserve"> PAGEREF _Toc74 \h </w:instrText>
      </w:r>
      <w:r>
        <w:rPr/>
        <w:fldChar w:fldCharType="separate" w:fldLock="0"/>
      </w:r>
      <w:r>
        <w:rPr>
          <w:rFonts w:cs="Arial Unicode MS" w:eastAsia="Arial Unicode MS"/>
          <w:rtl w:val="0"/>
        </w:rPr>
        <w:t>44</w:t>
      </w:r>
      <w:r>
        <w:rPr/>
        <w:fldChar w:fldCharType="end" w:fldLock="0"/>
      </w:r>
    </w:p>
    <w:p>
      <w:pPr>
        <w:pStyle w:val="TOC 3"/>
        <w:bidi w:val="0"/>
      </w:pPr>
      <w:r>
        <w:rPr>
          <w:rFonts w:cs="Arial Unicode MS" w:eastAsia="Arial Unicode MS"/>
          <w:rtl w:val="0"/>
          <w:lang w:val="en-US"/>
        </w:rPr>
        <w:t>5.5.3 Illustrative Application: Implementation Patterns</w:t>
        <w:tab/>
      </w:r>
      <w:r>
        <w:rPr/>
        <w:fldChar w:fldCharType="begin" w:fldLock="0"/>
      </w:r>
      <w:r>
        <w:instrText xml:space="preserve"> PAGEREF _Toc75 \h </w:instrText>
      </w:r>
      <w:r>
        <w:rPr/>
        <w:fldChar w:fldCharType="separate" w:fldLock="0"/>
      </w:r>
      <w:r>
        <w:rPr>
          <w:rFonts w:cs="Arial Unicode MS" w:eastAsia="Arial Unicode MS"/>
          <w:rtl w:val="0"/>
        </w:rPr>
        <w:t>47</w:t>
      </w:r>
      <w:r>
        <w:rPr/>
        <w:fldChar w:fldCharType="end" w:fldLock="0"/>
      </w:r>
    </w:p>
    <w:p>
      <w:pPr>
        <w:pStyle w:val="TOC 3"/>
        <w:bidi w:val="0"/>
      </w:pPr>
      <w:r>
        <w:rPr>
          <w:rFonts w:cs="Arial Unicode MS" w:eastAsia="Arial Unicode MS" w:hint="default"/>
          <w:rtl w:val="0"/>
          <w:lang w:val="de-DE" w:bidi="ar-SA"/>
        </w:rPr>
        <w:t>5.5.4 Mitigating “Shadow IT” with “Golden Queries”</w:t>
        <w:tab/>
      </w:r>
      <w:r>
        <w:rPr/>
        <w:fldChar w:fldCharType="begin" w:fldLock="0"/>
      </w:r>
      <w:r>
        <w:instrText xml:space="preserve"> PAGEREF _Toc76 \h </w:instrText>
      </w:r>
      <w:r>
        <w:rPr/>
        <w:fldChar w:fldCharType="separate" w:fldLock="0"/>
      </w:r>
      <w:r>
        <w:rPr>
          <w:rFonts w:cs="Arial Unicode MS" w:eastAsia="Arial Unicode MS"/>
          <w:rtl w:val="0"/>
        </w:rPr>
        <w:t>47</w:t>
      </w:r>
      <w:r>
        <w:rPr/>
        <w:fldChar w:fldCharType="end" w:fldLock="0"/>
      </w:r>
    </w:p>
    <w:p>
      <w:pPr>
        <w:pStyle w:val="TOC 1"/>
        <w:bidi w:val="0"/>
      </w:pPr>
      <w:r>
        <w:rPr>
          <w:rFonts w:cs="Arial Unicode MS" w:eastAsia="Arial Unicode MS"/>
          <w:rtl w:val="0"/>
          <w:lang w:val="it-IT"/>
        </w:rPr>
        <w:t>6 Conclusion</w:t>
        <w:tab/>
      </w:r>
      <w:r>
        <w:rPr/>
        <w:fldChar w:fldCharType="begin" w:fldLock="0"/>
      </w:r>
      <w:r>
        <w:instrText xml:space="preserve"> PAGEREF _Toc77 \h </w:instrText>
      </w:r>
      <w:r>
        <w:rPr/>
        <w:fldChar w:fldCharType="separate" w:fldLock="0"/>
      </w:r>
      <w:r>
        <w:rPr>
          <w:rFonts w:cs="Arial Unicode MS" w:eastAsia="Arial Unicode MS"/>
          <w:rtl w:val="0"/>
        </w:rPr>
        <w:t>47</w:t>
      </w:r>
      <w:r>
        <w:rPr/>
        <w:fldChar w:fldCharType="end" w:fldLock="0"/>
      </w:r>
    </w:p>
    <w:p>
      <w:pPr>
        <w:pStyle w:val="TOC 2"/>
        <w:bidi w:val="0"/>
      </w:pPr>
      <w:r>
        <w:rPr>
          <w:rFonts w:cs="Arial Unicode MS" w:eastAsia="Arial Unicode MS"/>
          <w:rtl w:val="0"/>
          <w:lang w:val="en-US"/>
        </w:rPr>
        <w:t>6.1 The Three-Pillar Framework</w:t>
        <w:tab/>
      </w:r>
      <w:r>
        <w:rPr/>
        <w:fldChar w:fldCharType="begin" w:fldLock="0"/>
      </w:r>
      <w:r>
        <w:instrText xml:space="preserve"> PAGEREF _Toc78 \h </w:instrText>
      </w:r>
      <w:r>
        <w:rPr/>
        <w:fldChar w:fldCharType="separate" w:fldLock="0"/>
      </w:r>
      <w:r>
        <w:rPr>
          <w:rFonts w:cs="Arial Unicode MS" w:eastAsia="Arial Unicode MS"/>
          <w:rtl w:val="0"/>
        </w:rPr>
        <w:t>47</w:t>
      </w:r>
      <w:r>
        <w:rPr/>
        <w:fldChar w:fldCharType="end" w:fldLock="0"/>
      </w:r>
    </w:p>
    <w:p>
      <w:pPr>
        <w:pStyle w:val="TOC 2"/>
        <w:bidi w:val="0"/>
      </w:pPr>
      <w:r>
        <w:rPr>
          <w:rFonts w:cs="Arial Unicode MS" w:eastAsia="Arial Unicode MS"/>
          <w:rtl w:val="0"/>
          <w:lang w:val="en-US"/>
        </w:rPr>
        <w:t>6.2 Key Findings</w:t>
        <w:tab/>
      </w:r>
      <w:r>
        <w:rPr/>
        <w:fldChar w:fldCharType="begin" w:fldLock="0"/>
      </w:r>
      <w:r>
        <w:instrText xml:space="preserve"> PAGEREF _Toc79 \h </w:instrText>
      </w:r>
      <w:r>
        <w:rPr/>
        <w:fldChar w:fldCharType="separate" w:fldLock="0"/>
      </w:r>
      <w:r>
        <w:rPr>
          <w:rFonts w:cs="Arial Unicode MS" w:eastAsia="Arial Unicode MS"/>
          <w:rtl w:val="0"/>
        </w:rPr>
        <w:t>48</w:t>
      </w:r>
      <w:r>
        <w:rPr/>
        <w:fldChar w:fldCharType="end" w:fldLock="0"/>
      </w:r>
    </w:p>
    <w:p>
      <w:pPr>
        <w:pStyle w:val="TOC 2"/>
        <w:bidi w:val="0"/>
      </w:pPr>
      <w:r>
        <w:rPr>
          <w:rFonts w:cs="Arial Unicode MS" w:eastAsia="Arial Unicode MS"/>
          <w:rtl w:val="0"/>
          <w:lang w:val="en-US"/>
        </w:rPr>
        <w:t>6.3 Strategic Implications</w:t>
        <w:tab/>
      </w:r>
      <w:r>
        <w:rPr/>
        <w:fldChar w:fldCharType="begin" w:fldLock="0"/>
      </w:r>
      <w:r>
        <w:instrText xml:space="preserve"> PAGEREF _Toc80 \h </w:instrText>
      </w:r>
      <w:r>
        <w:rPr/>
        <w:fldChar w:fldCharType="separate" w:fldLock="0"/>
      </w:r>
      <w:r>
        <w:rPr>
          <w:rFonts w:cs="Arial Unicode MS" w:eastAsia="Arial Unicode MS"/>
          <w:rtl w:val="0"/>
        </w:rPr>
        <w:t>48</w:t>
      </w:r>
      <w:r>
        <w:rPr/>
        <w:fldChar w:fldCharType="end" w:fldLock="0"/>
      </w:r>
    </w:p>
    <w:p>
      <w:pPr>
        <w:pStyle w:val="TOC 1"/>
        <w:bidi w:val="0"/>
      </w:pPr>
      <w:r>
        <w:rPr>
          <w:rFonts w:cs="Arial Unicode MS" w:eastAsia="Arial Unicode MS"/>
          <w:rtl w:val="0"/>
          <w:lang w:val="en-US"/>
        </w:rPr>
        <w:t>7 Acknowledgments</w:t>
        <w:tab/>
      </w:r>
      <w:r>
        <w:rPr/>
        <w:fldChar w:fldCharType="begin" w:fldLock="0"/>
      </w:r>
      <w:r>
        <w:instrText xml:space="preserve"> PAGEREF _Toc81 \h </w:instrText>
      </w:r>
      <w:r>
        <w:rPr/>
        <w:fldChar w:fldCharType="separate" w:fldLock="0"/>
      </w:r>
      <w:r>
        <w:rPr>
          <w:rFonts w:cs="Arial Unicode MS" w:eastAsia="Arial Unicode MS"/>
          <w:rtl w:val="0"/>
        </w:rPr>
        <w:t>49</w:t>
      </w:r>
      <w:r>
        <w:rPr/>
        <w:fldChar w:fldCharType="end" w:fldLock="0"/>
      </w:r>
    </w:p>
    <w:p>
      <w:pPr>
        <w:pStyle w:val="TOC 1"/>
        <w:bidi w:val="0"/>
      </w:pPr>
      <w:r>
        <w:rPr>
          <w:rFonts w:cs="Arial Unicode MS" w:eastAsia="Arial Unicode MS"/>
          <w:rtl w:val="0"/>
          <w:lang w:val="en-US"/>
        </w:rPr>
        <w:t>8 Author Contributions</w:t>
        <w:tab/>
      </w:r>
      <w:r>
        <w:rPr/>
        <w:fldChar w:fldCharType="begin" w:fldLock="0"/>
      </w:r>
      <w:r>
        <w:instrText xml:space="preserve"> PAGEREF _Toc82 \h </w:instrText>
      </w:r>
      <w:r>
        <w:rPr/>
        <w:fldChar w:fldCharType="separate" w:fldLock="0"/>
      </w:r>
      <w:r>
        <w:rPr>
          <w:rFonts w:cs="Arial Unicode MS" w:eastAsia="Arial Unicode MS"/>
          <w:rtl w:val="0"/>
        </w:rPr>
        <w:t>49</w:t>
      </w:r>
      <w:r>
        <w:rPr/>
        <w:fldChar w:fldCharType="end" w:fldLock="0"/>
      </w:r>
    </w:p>
    <w:p>
      <w:pPr>
        <w:pStyle w:val="TOC 1"/>
        <w:bidi w:val="0"/>
      </w:pPr>
      <w:r>
        <w:rPr>
          <w:rFonts w:cs="Arial Unicode MS" w:eastAsia="Arial Unicode MS"/>
          <w:rtl w:val="0"/>
          <w:lang w:val="en-US"/>
        </w:rPr>
        <w:t>9 Conflicts of Interest</w:t>
        <w:tab/>
      </w:r>
      <w:r>
        <w:rPr/>
        <w:fldChar w:fldCharType="begin" w:fldLock="0"/>
      </w:r>
      <w:r>
        <w:instrText xml:space="preserve"> PAGEREF _Toc83 \h </w:instrText>
      </w:r>
      <w:r>
        <w:rPr/>
        <w:fldChar w:fldCharType="separate" w:fldLock="0"/>
      </w:r>
      <w:r>
        <w:rPr>
          <w:rFonts w:cs="Arial Unicode MS" w:eastAsia="Arial Unicode MS"/>
          <w:rtl w:val="0"/>
        </w:rPr>
        <w:t>49</w:t>
      </w:r>
      <w:r>
        <w:rPr/>
        <w:fldChar w:fldCharType="end" w:fldLock="0"/>
      </w:r>
    </w:p>
    <w:p>
      <w:pPr>
        <w:pStyle w:val="TOC 1"/>
        <w:bidi w:val="0"/>
      </w:pPr>
      <w:r>
        <w:rPr>
          <w:rFonts w:cs="Arial Unicode MS" w:eastAsia="Arial Unicode MS"/>
          <w:rtl w:val="0"/>
          <w:lang w:val="en-US"/>
        </w:rPr>
        <w:t>10 Data Availability</w:t>
        <w:tab/>
      </w:r>
      <w:r>
        <w:rPr/>
        <w:fldChar w:fldCharType="begin" w:fldLock="0"/>
      </w:r>
      <w:r>
        <w:instrText xml:space="preserve"> PAGEREF _Toc84 \h </w:instrText>
      </w:r>
      <w:r>
        <w:rPr/>
        <w:fldChar w:fldCharType="separate" w:fldLock="0"/>
      </w:r>
      <w:r>
        <w:rPr>
          <w:rFonts w:cs="Arial Unicode MS" w:eastAsia="Arial Unicode MS"/>
          <w:rtl w:val="0"/>
        </w:rPr>
        <w:t>49</w:t>
      </w:r>
      <w:r>
        <w:rPr/>
        <w:fldChar w:fldCharType="end" w:fldLock="0"/>
      </w:r>
    </w:p>
    <w:p>
      <w:pPr>
        <w:pStyle w:val="TOC 1"/>
        <w:bidi w:val="0"/>
      </w:pPr>
      <w:r>
        <w:rPr>
          <w:rFonts w:cs="Arial Unicode MS" w:eastAsia="Arial Unicode MS"/>
          <w:rtl w:val="0"/>
          <w:lang w:val="en-US"/>
        </w:rPr>
        <w:t>11 Code Availability</w:t>
        <w:tab/>
      </w:r>
      <w:r>
        <w:rPr/>
        <w:fldChar w:fldCharType="begin" w:fldLock="0"/>
      </w:r>
      <w:r>
        <w:instrText xml:space="preserve"> PAGEREF _Toc85 \h </w:instrText>
      </w:r>
      <w:r>
        <w:rPr/>
        <w:fldChar w:fldCharType="separate" w:fldLock="0"/>
      </w:r>
      <w:r>
        <w:rPr>
          <w:rFonts w:cs="Arial Unicode MS" w:eastAsia="Arial Unicode MS"/>
          <w:rtl w:val="0"/>
        </w:rPr>
        <w:t>49</w:t>
      </w:r>
      <w:r>
        <w:rPr/>
        <w:fldChar w:fldCharType="end" w:fldLock="0"/>
      </w:r>
    </w:p>
    <w:p>
      <w:pPr>
        <w:pStyle w:val="TOC 1"/>
        <w:bidi w:val="0"/>
      </w:pPr>
      <w:r>
        <w:rPr>
          <w:rFonts w:cs="Arial Unicode MS" w:eastAsia="Arial Unicode MS"/>
          <w:rtl w:val="0"/>
          <w:lang w:val="en-US"/>
        </w:rPr>
        <w:t>12 Funding</w:t>
        <w:tab/>
      </w:r>
      <w:r>
        <w:rPr/>
        <w:fldChar w:fldCharType="begin" w:fldLock="0"/>
      </w:r>
      <w:r>
        <w:instrText xml:space="preserve"> PAGEREF _Toc86 \h </w:instrText>
      </w:r>
      <w:r>
        <w:rPr/>
        <w:fldChar w:fldCharType="separate" w:fldLock="0"/>
      </w:r>
      <w:r>
        <w:rPr>
          <w:rFonts w:cs="Arial Unicode MS" w:eastAsia="Arial Unicode MS"/>
          <w:rtl w:val="0"/>
        </w:rPr>
        <w:t>50</w:t>
      </w:r>
      <w:r>
        <w:rPr/>
        <w:fldChar w:fldCharType="end" w:fldLock="0"/>
      </w:r>
    </w:p>
    <w:p>
      <w:pPr>
        <w:pStyle w:val="TOC 1"/>
        <w:bidi w:val="0"/>
      </w:pPr>
      <w:r>
        <w:rPr>
          <w:rFonts w:cs="Arial Unicode MS" w:eastAsia="Arial Unicode MS"/>
          <w:rtl w:val="0"/>
          <w:lang w:val="it-IT"/>
        </w:rPr>
        <w:t>13 Abbreviations</w:t>
        <w:tab/>
      </w:r>
      <w:r>
        <w:rPr/>
        <w:fldChar w:fldCharType="begin" w:fldLock="0"/>
      </w:r>
      <w:r>
        <w:instrText xml:space="preserve"> PAGEREF _Toc87 \h </w:instrText>
      </w:r>
      <w:r>
        <w:rPr/>
        <w:fldChar w:fldCharType="separate" w:fldLock="0"/>
      </w:r>
      <w:r>
        <w:rPr>
          <w:rFonts w:cs="Arial Unicode MS" w:eastAsia="Arial Unicode MS"/>
          <w:rtl w:val="0"/>
        </w:rPr>
        <w:t>50</w:t>
      </w:r>
      <w:r>
        <w:rPr/>
        <w:fldChar w:fldCharType="end" w:fldLock="0"/>
      </w:r>
    </w:p>
    <w:p>
      <w:pPr>
        <w:pStyle w:val="TOC 1"/>
        <w:bidi w:val="0"/>
      </w:pPr>
      <w:r>
        <w:rPr>
          <w:rFonts w:cs="Arial Unicode MS" w:eastAsia="Arial Unicode MS"/>
          <w:rtl w:val="0"/>
          <w:lang w:val="da-DK"/>
        </w:rPr>
        <w:t>14 Multimedia Appendix</w:t>
        <w:tab/>
      </w:r>
      <w:r>
        <w:rPr/>
        <w:fldChar w:fldCharType="begin" w:fldLock="0"/>
      </w:r>
      <w:r>
        <w:instrText xml:space="preserve"> PAGEREF _Toc88 \h </w:instrText>
      </w:r>
      <w:r>
        <w:rPr/>
        <w:fldChar w:fldCharType="separate" w:fldLock="0"/>
      </w:r>
      <w:r>
        <w:rPr>
          <w:rFonts w:cs="Arial Unicode MS" w:eastAsia="Arial Unicode MS"/>
          <w:rtl w:val="0"/>
        </w:rPr>
        <w:t>50</w:t>
      </w:r>
      <w:r>
        <w:rPr/>
        <w:fldChar w:fldCharType="end" w:fldLock="0"/>
      </w:r>
    </w:p>
    <w:p>
      <w:pPr>
        <w:pStyle w:val="TOC 1"/>
        <w:bidi w:val="0"/>
      </w:pPr>
      <w:r>
        <w:rPr>
          <w:rFonts w:cs="Arial Unicode MS" w:eastAsia="Arial Unicode MS"/>
          <w:rtl w:val="0"/>
          <w:lang w:val="fr-FR"/>
        </w:rPr>
        <w:t>15 References</w:t>
        <w:tab/>
      </w:r>
      <w:r>
        <w:rPr/>
        <w:fldChar w:fldCharType="begin" w:fldLock="0"/>
      </w:r>
      <w:r>
        <w:instrText xml:space="preserve"> PAGEREF _Toc89 \h </w:instrText>
      </w:r>
      <w:r>
        <w:rPr/>
        <w:fldChar w:fldCharType="separate" w:fldLock="0"/>
      </w:r>
      <w:r>
        <w:rPr>
          <w:rFonts w:cs="Arial Unicode MS" w:eastAsia="Arial Unicode MS"/>
          <w:rtl w:val="0"/>
        </w:rPr>
        <w:t>50</w:t>
      </w:r>
      <w:r>
        <w:rPr/>
        <w:fldChar w:fldCharType="end" w:fldLock="0"/>
      </w:r>
    </w:p>
    <w:p>
      <w:pPr>
        <w:pStyle w:val="Body"/>
      </w:pPr>
      <w:r>
        <w:rPr/>
        <w:fldChar w:fldCharType="end" w:fldLock="0"/>
      </w:r>
    </w:p>
    <w:p>
      <w:pPr>
        <w:pStyle w:val="Heading"/>
      </w:pPr>
      <w:bookmarkStart w:name="_Toc" w:id="0"/>
      <w:bookmarkStart w:name="introduction" w:id="1"/>
      <w:r>
        <w:rPr>
          <w:rStyle w:val="Section Number"/>
          <w:rtl w:val="0"/>
          <w:lang w:val="fr-FR"/>
        </w:rPr>
        <w:t>1</w:t>
        <w:tab/>
        <w:t>Introduction</w:t>
      </w:r>
      <w:bookmarkEnd w:id="1"/>
      <w:bookmarkEnd w:id="0"/>
    </w:p>
    <w:p>
      <w:pPr>
        <w:pStyle w:val="Heading 2"/>
      </w:pPr>
      <w:bookmarkStart w:name="_Toc1" w:id="2"/>
      <w:bookmarkStart w:name="X37feef0d06bb6f8757a98346a328361a6a1740f" w:id="3"/>
      <w:r>
        <w:rPr>
          <w:rStyle w:val="Section Number"/>
          <w:rtl w:val="0"/>
          <w:lang w:val="en-US"/>
        </w:rPr>
        <w:t>1.1</w:t>
        <w:tab/>
        <w:t>The Compounding Crisis in Healthcare Analytics</w:t>
      </w:r>
      <w:bookmarkEnd w:id="2"/>
    </w:p>
    <w:p>
      <w:pPr>
        <w:pStyle w:val="First Paragraph"/>
      </w:pPr>
      <w:r>
        <w:rPr>
          <w:rStyle w:val="Section Number"/>
          <w:rtl w:val="0"/>
          <w:lang w:val="en-US"/>
        </w:rPr>
        <w:t>Healthcare organizations face three critical, interconnected challenges that form a compounding crisis, collectively threatening their ability to become data-driven enterprises. Unlike technology or financial services, healthcare combines complex clinical workflows, extensive regulatory requirements, and a workforce with limited technical training but deep domain expertise (</w:t>
      </w:r>
      <w:r>
        <w:rPr>
          <w:rStyle w:val="Hyperlink.0"/>
        </w:rPr>
        <w:fldChar w:fldCharType="begin" w:fldLock="0"/>
      </w:r>
      <w:r>
        <w:rPr>
          <w:rStyle w:val="Hyperlink.0"/>
        </w:rPr>
        <w:instrText xml:space="preserve"> HYPERLINK \l "refamerican2023" </w:instrText>
      </w:r>
      <w:r>
        <w:rPr>
          <w:rStyle w:val="Hyperlink.0"/>
        </w:rPr>
        <w:fldChar w:fldCharType="separate" w:fldLock="0"/>
      </w:r>
      <w:r>
        <w:rPr>
          <w:rStyle w:val="Hyperlink.0"/>
          <w:rtl w:val="0"/>
        </w:rPr>
        <w:t>1</w:t>
      </w:r>
      <w:r>
        <w:rPr/>
        <w:fldChar w:fldCharType="end" w:fldLock="0"/>
      </w:r>
      <w:r>
        <w:rPr>
          <w:rStyle w:val="Section Number"/>
          <w:rtl w:val="0"/>
          <w:lang w:val="en-US"/>
        </w:rPr>
        <w:t>). This paper introduces a three-pillar framework that examines how these challenges interconnect and reinforce one another.</w:t>
      </w:r>
    </w:p>
    <w:p>
      <w:pPr>
        <w:pStyle w:val="Body Text"/>
      </w:pPr>
      <w:r>
        <w:rPr>
          <w:rStyle w:val="Section Number"/>
          <w:rtl w:val="0"/>
          <w:lang w:val="en-US"/>
        </w:rPr>
        <w:t>The framework follows a logical progression from observation to root cause:</w:t>
      </w:r>
    </w:p>
    <w:p>
      <w:pPr>
        <w:pStyle w:val="Body"/>
        <w:numPr>
          <w:ilvl w:val="0"/>
          <w:numId w:val="2"/>
        </w:numPr>
        <w:rPr>
          <w:lang w:val="en-US"/>
        </w:rPr>
      </w:pPr>
      <w:r>
        <w:rPr>
          <w:rFonts w:ascii="Aptos" w:cs="Aptos" w:hAnsi="Aptos" w:eastAsia="Aptos"/>
          <w:i w:val="1"/>
          <w:iCs w:val="1"/>
          <w:rtl w:val="0"/>
          <w:lang w:val="en-US"/>
        </w:rPr>
        <w:t>Pillar 1: Low Analytics Maturity (The Observation):</w:t>
      </w:r>
      <w:r>
        <w:rPr>
          <w:rStyle w:val="Section Number"/>
          <w:rtl w:val="0"/>
          <w:lang w:val="en-US"/>
        </w:rPr>
        <w:t xml:space="preserve"> The most visible symptom is healthcare</w:t>
      </w:r>
      <w:r>
        <w:rPr>
          <w:rStyle w:val="Section Number"/>
          <w:rtl w:val="1"/>
        </w:rPr>
        <w:t>’</w:t>
      </w:r>
      <w:r>
        <w:rPr>
          <w:rStyle w:val="Section Number"/>
          <w:rtl w:val="0"/>
          <w:lang w:val="en-US"/>
        </w:rPr>
        <w:t>s struggle to advance its analytics capabilities. Despite massive investments in data infrastructure, most organizations remain at low maturity levels, unable to leverage their data for predictive or prescriptive insights.</w:t>
      </w:r>
    </w:p>
    <w:p>
      <w:pPr>
        <w:pStyle w:val="Body"/>
        <w:numPr>
          <w:ilvl w:val="0"/>
          <w:numId w:val="2"/>
        </w:numPr>
        <w:rPr>
          <w:lang w:val="en-US"/>
        </w:rPr>
      </w:pPr>
      <w:r>
        <w:rPr>
          <w:rFonts w:ascii="Aptos" w:cs="Aptos" w:hAnsi="Aptos" w:eastAsia="Aptos"/>
          <w:i w:val="1"/>
          <w:iCs w:val="1"/>
          <w:rtl w:val="0"/>
          <w:lang w:val="en-US"/>
        </w:rPr>
        <w:t>Pillar 2: Workforce Instability (The Cause):</w:t>
      </w:r>
      <w:r>
        <w:rPr>
          <w:rStyle w:val="Section Number"/>
          <w:rtl w:val="0"/>
          <w:lang w:val="en-US"/>
        </w:rPr>
        <w:t xml:space="preserve"> This low maturity is not a static state but is actively driven by a systemic workforce crisis. High turnover at leadership, operational, and specialized levels creates a constant drain of institutional knowledge, preventing the accumulation of expertise required for maturity advancement.</w:t>
      </w:r>
    </w:p>
    <w:p>
      <w:pPr>
        <w:pStyle w:val="Body"/>
        <w:numPr>
          <w:ilvl w:val="0"/>
          <w:numId w:val="2"/>
        </w:numPr>
        <w:rPr>
          <w:lang w:val="en-US"/>
        </w:rPr>
      </w:pPr>
      <w:r>
        <w:rPr>
          <w:rFonts w:ascii="Aptos" w:cs="Aptos" w:hAnsi="Aptos" w:eastAsia="Aptos"/>
          <w:i w:val="1"/>
          <w:iCs w:val="1"/>
          <w:rtl w:val="0"/>
          <w:lang w:val="en-US"/>
        </w:rPr>
        <w:t>Pillar 3: Technical Barriers (The Root Mechanism):</w:t>
      </w:r>
      <w:r>
        <w:rPr>
          <w:rStyle w:val="Section Number"/>
          <w:rtl w:val="0"/>
          <w:lang w:val="en-US"/>
        </w:rPr>
        <w:t xml:space="preserve"> The cycle is perpetuated by technical barriers that prevent organizations from capturing expertise before it is lost. The gap between clinical domain experts and the technical skills required for data access (e.g., SQL) creates a dependency on a small pool of specialists, making the system fragile and vulnerable to knowledge loss.</w:t>
      </w:r>
    </w:p>
    <w:p>
      <w:pPr>
        <w:pStyle w:val="First Paragraph"/>
      </w:pPr>
      <w:r>
        <w:rPr>
          <w:rStyle w:val="Section Number"/>
          <w:rtl w:val="0"/>
          <w:lang w:val="en-US"/>
        </w:rPr>
        <w:t>This introduction will now examine the evidence for each of these pillars in turn, establishing the foundation for the integrated framework that is the central contribution of this paper.</w:t>
      </w:r>
      <w:bookmarkEnd w:id="3"/>
    </w:p>
    <w:p>
      <w:pPr>
        <w:pStyle w:val="Heading 2"/>
      </w:pPr>
      <w:bookmarkStart w:name="_Toc2" w:id="4"/>
      <w:bookmarkStart w:name="X18b5f2802afe12926ad399c4c40d87d8ea46424" w:id="5"/>
      <w:r>
        <w:rPr>
          <w:rStyle w:val="Section Number"/>
          <w:rtl w:val="0"/>
          <w:lang w:val="en-US"/>
        </w:rPr>
        <w:t>1.2</w:t>
        <w:tab/>
        <w:t>Pillar 1: Low Healthcare Analytics Maturity</w:t>
      </w:r>
      <w:bookmarkEnd w:id="4"/>
    </w:p>
    <w:p>
      <w:pPr>
        <w:pStyle w:val="First Paragraph"/>
      </w:pPr>
      <w:r>
        <w:rPr>
          <w:rStyle w:val="Section Number"/>
          <w:rtl w:val="0"/>
          <w:lang w:val="en-US"/>
        </w:rPr>
        <w:t>The Healthcare Information Management Systems Society (HIMSS) Analytics Maturity Assessment Model (AMAM) provides the industry standard for measuring analytics capabilities. Recent assessments reveal a sobering reality: as of late 2024, only 26 organizations worldwide had achieved Stage 6 maturity, with merely 13 reaching Stage 7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rPr>
        <w:t>2</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"refhimss2024news" </w:instrText>
      </w:r>
      <w:r>
        <w:rPr>
          <w:rStyle w:val="Hyperlink.0"/>
        </w:rPr>
        <w:fldChar w:fldCharType="separate" w:fldLock="0"/>
      </w:r>
      <w:r>
        <w:rPr>
          <w:rStyle w:val="Hyperlink.0"/>
          <w:rtl w:val="0"/>
        </w:rPr>
        <w:t>3</w:t>
      </w:r>
      <w:r>
        <w:rPr/>
        <w:fldChar w:fldCharType="end" w:fldLock="0"/>
      </w:r>
      <w:r>
        <w:rPr>
          <w:rStyle w:val="Section Number"/>
          <w:rtl w:val="0"/>
          <w:lang w:val="en-US"/>
        </w:rPr>
        <w:t>). Despite this progress, the vast majority of organizations remain at Stages 0-3, characterized by fragmented data, limited automated reporting, and minimal predictive capabilities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rPr>
        <w:t>2</w:t>
      </w:r>
      <w:r>
        <w:rPr/>
        <w:fldChar w:fldCharType="end" w:fldLock="0"/>
      </w:r>
      <w:r>
        <w:rPr>
          <w:rStyle w:val="Section Number"/>
          <w:rtl w:val="0"/>
          <w:lang w:val="en-US"/>
        </w:rPr>
        <w:t>). This low maturity severely constrains evidence-based decision making.</w:t>
      </w:r>
      <w:bookmarkEnd w:id="5"/>
    </w:p>
    <w:p>
      <w:pPr>
        <w:pStyle w:val="Heading 2"/>
      </w:pPr>
      <w:bookmarkStart w:name="_Toc3" w:id="6"/>
      <w:bookmarkStart w:name="X33f8c7d545efbf3d73fe1d2ded281bb9c47f0b4" w:id="7"/>
      <w:r>
        <w:rPr>
          <w:rStyle w:val="Section Number"/>
          <w:rtl w:val="0"/>
          <w:lang w:val="en-US"/>
        </w:rPr>
        <w:t>1.3</w:t>
        <w:tab/>
        <w:t>Pillar 2: Institutional Memory Loss from Workforce Instability</w:t>
      </w:r>
      <w:bookmarkEnd w:id="6"/>
    </w:p>
    <w:p>
      <w:pPr>
        <w:pStyle w:val="First Paragraph"/>
      </w:pPr>
      <w:r>
        <w:rPr>
          <w:rStyle w:val="Section Number"/>
          <w:rtl w:val="0"/>
          <w:lang w:val="en-US"/>
        </w:rPr>
        <w:t>Healthcare faces an institutional memory crisis that has evolved from simple turnover to systemic instability. This crisis unfolds at three levels:</w:t>
      </w:r>
    </w:p>
    <w:p>
      <w:pPr>
        <w:pStyle w:val="Compact"/>
        <w:numPr>
          <w:ilvl w:val="0"/>
          <w:numId w:val="4"/>
        </w:numPr>
        <w:rPr>
          <w:lang w:val="en-US"/>
        </w:rPr>
      </w:pPr>
      <w:r>
        <w:rPr>
          <w:rFonts w:ascii="Aptos" w:cs="Aptos" w:hAnsi="Aptos" w:eastAsia="Aptos"/>
          <w:i w:val="1"/>
          <w:iCs w:val="1"/>
          <w:rtl w:val="0"/>
          <w:lang w:val="en-US"/>
        </w:rPr>
        <w:t>Strategic Level:</w:t>
      </w:r>
      <w:r>
        <w:rPr>
          <w:rStyle w:val="Section Number"/>
          <w:rtl w:val="0"/>
          <w:lang w:val="en-US"/>
        </w:rPr>
        <w:t xml:space="preserve"> Leadership churn is acute, with 53% of healthcare CIOs having a tenure of less than three years, leading to frequent shifts in analytics strategy (</w:t>
      </w:r>
      <w:r>
        <w:rPr>
          <w:rStyle w:val="Hyperlink.0"/>
        </w:rPr>
        <w:fldChar w:fldCharType="begin" w:fldLock="0"/>
      </w:r>
      <w:r>
        <w:rPr>
          <w:rStyle w:val="Hyperlink.0"/>
        </w:rPr>
        <w:instrText xml:space="preserve"> HYPERLINK \l "refwittkieffer2024" </w:instrText>
      </w:r>
      <w:r>
        <w:rPr>
          <w:rStyle w:val="Hyperlink.0"/>
        </w:rPr>
        <w:fldChar w:fldCharType="separate" w:fldLock="0"/>
      </w:r>
      <w:r>
        <w:rPr>
          <w:rStyle w:val="Hyperlink.0"/>
          <w:rtl w:val="0"/>
          <w:lang w:val="en-US"/>
        </w:rPr>
        <w:t>4</w:t>
      </w:r>
      <w:r>
        <w:rPr/>
        <w:fldChar w:fldCharType="end" w:fldLock="0"/>
      </w:r>
      <w:r>
        <w:rPr>
          <w:rStyle w:val="Section Number"/>
          <w:rtl w:val="0"/>
          <w:lang w:val="en-US"/>
        </w:rPr>
        <w:t>).</w:t>
      </w:r>
    </w:p>
    <w:p>
      <w:pPr>
        <w:pStyle w:val="Compact"/>
        <w:numPr>
          <w:ilvl w:val="0"/>
          <w:numId w:val="4"/>
        </w:numPr>
        <w:rPr>
          <w:lang w:val="en-US"/>
        </w:rPr>
      </w:pPr>
      <w:r>
        <w:rPr>
          <w:rFonts w:ascii="Aptos" w:cs="Aptos" w:hAnsi="Aptos" w:eastAsia="Aptos"/>
          <w:i w:val="1"/>
          <w:iCs w:val="1"/>
          <w:rtl w:val="0"/>
          <w:lang w:val="en-US"/>
        </w:rPr>
        <w:t>Operational Level:</w:t>
      </w:r>
      <w:r>
        <w:rPr>
          <w:rStyle w:val="Section Number"/>
          <w:rtl w:val="0"/>
          <w:lang w:val="en-US"/>
        </w:rPr>
        <w:t xml:space="preserve"> 79% of healthcare provider organizations report persistent shortages in </w:t>
      </w:r>
      <w:r>
        <w:rPr>
          <w:rStyle w:val="Section Number"/>
          <w:rtl w:val="0"/>
          <w:lang w:val="en-US"/>
        </w:rPr>
        <w:t>“</w:t>
      </w:r>
      <w:r>
        <w:rPr>
          <w:rStyle w:val="Section Number"/>
          <w:rtl w:val="0"/>
          <w:lang w:val="en-US"/>
        </w:rPr>
        <w:t>Information and Digital Health</w:t>
      </w:r>
      <w:r>
        <w:rPr>
          <w:rStyle w:val="Section Number"/>
          <w:rtl w:val="0"/>
          <w:lang w:val="en-US"/>
        </w:rPr>
        <w:t xml:space="preserve">” </w:t>
      </w:r>
      <w:r>
        <w:rPr>
          <w:rStyle w:val="Section Number"/>
          <w:rtl w:val="0"/>
          <w:lang w:val="en-US"/>
        </w:rPr>
        <w:t>roles, leaving critical technical positions vacant (</w:t>
      </w:r>
      <w:r>
        <w:rPr>
          <w:rStyle w:val="Hyperlink.0"/>
        </w:rPr>
        <w:fldChar w:fldCharType="begin" w:fldLock="0"/>
      </w:r>
      <w:r>
        <w:rPr>
          <w:rStyle w:val="Hyperlink.0"/>
        </w:rPr>
        <w:instrText xml:space="preserve"> HYPERLINK \l "refhimssworkforce2024" </w:instrText>
      </w:r>
      <w:r>
        <w:rPr>
          <w:rStyle w:val="Hyperlink.0"/>
        </w:rPr>
        <w:fldChar w:fldCharType="separate" w:fldLock="0"/>
      </w:r>
      <w:r>
        <w:rPr>
          <w:rStyle w:val="Hyperlink.0"/>
          <w:rtl w:val="0"/>
          <w:lang w:val="en-US"/>
        </w:rPr>
        <w:t>5</w:t>
      </w:r>
      <w:r>
        <w:rPr/>
        <w:fldChar w:fldCharType="end" w:fldLock="0"/>
      </w:r>
      <w:r>
        <w:rPr>
          <w:rStyle w:val="Section Number"/>
          <w:rtl w:val="0"/>
          <w:lang w:val="en-US"/>
        </w:rPr>
        <w:t>).</w:t>
      </w:r>
    </w:p>
    <w:p>
      <w:pPr>
        <w:pStyle w:val="Compact"/>
        <w:numPr>
          <w:ilvl w:val="0"/>
          <w:numId w:val="4"/>
        </w:numPr>
        <w:rPr>
          <w:lang w:val="en-US"/>
        </w:rPr>
      </w:pPr>
      <w:r>
        <w:rPr>
          <w:rFonts w:ascii="Aptos" w:cs="Aptos" w:hAnsi="Aptos" w:eastAsia="Aptos"/>
          <w:i w:val="1"/>
          <w:iCs w:val="1"/>
          <w:rtl w:val="0"/>
          <w:lang w:val="en-US"/>
        </w:rPr>
        <w:t>Foundational Level:</w:t>
      </w:r>
      <w:r>
        <w:rPr>
          <w:rStyle w:val="Section Number"/>
          <w:rtl w:val="0"/>
          <w:lang w:val="en-US"/>
        </w:rPr>
        <w:t xml:space="preserve"> A 2025 analysis found that 55% of public health informatics specialists intended to leave their positions, preventing the accumulation of the tacit knowledge needed to maintain analytics infrastructure (</w:t>
      </w:r>
      <w:r>
        <w:rPr>
          <w:rStyle w:val="Hyperlink.0"/>
        </w:rPr>
        <w:fldChar w:fldCharType="begin" w:fldLock="0"/>
      </w:r>
      <w:r>
        <w:rPr>
          <w:rStyle w:val="Hyperlink.0"/>
        </w:rPr>
        <w:instrText xml:space="preserve"> HYPERLINK \l "refrajamani2025" </w:instrText>
      </w:r>
      <w:r>
        <w:rPr>
          <w:rStyle w:val="Hyperlink.0"/>
        </w:rPr>
        <w:fldChar w:fldCharType="separate" w:fldLock="0"/>
      </w:r>
      <w:r>
        <w:rPr>
          <w:rStyle w:val="Hyperlink.0"/>
          <w:rtl w:val="0"/>
          <w:lang w:val="en-US"/>
        </w:rPr>
        <w:t>6</w:t>
      </w:r>
      <w:r>
        <w:rPr/>
        <w:fldChar w:fldCharType="end" w:fldLock="0"/>
      </w:r>
      <w:r>
        <w:rPr>
          <w:rStyle w:val="Section Number"/>
          <w:rtl w:val="0"/>
          <w:lang w:val="en-US"/>
        </w:rPr>
        <w:t>).</w:t>
      </w:r>
    </w:p>
    <w:p>
      <w:pPr>
        <w:pStyle w:val="First Paragraph"/>
      </w:pPr>
      <w:r>
        <w:rPr>
          <w:rStyle w:val="Section Number"/>
          <w:rtl w:val="0"/>
          <w:lang w:val="en-US"/>
        </w:rPr>
        <w:t>This multi-layered churn creates a cascade of knowledge loss. When experienced analysts leave, they take with them irreplaceable tacit knowledge: business rules, data anomalies, and analytical context that traditional documentation fails to capture. The challenge is not new; a foundational 2004 study established that healthcare IT staff had the lowest expected tenure for new hires among all IT sectors at just 2.9 years (</w:t>
      </w:r>
      <w:r>
        <w:rPr>
          <w:rStyle w:val="Hyperlink.0"/>
        </w:rPr>
        <w:fldChar w:fldCharType="begin" w:fldLock="0"/>
      </w:r>
      <w:r>
        <w:rPr>
          <w:rStyle w:val="Hyperlink.0"/>
        </w:rPr>
        <w:instrText xml:space="preserve"> HYPERLINK \l "refang2004" </w:instrText>
      </w:r>
      <w:r>
        <w:rPr>
          <w:rStyle w:val="Hyperlink.0"/>
        </w:rPr>
        <w:fldChar w:fldCharType="separate" w:fldLock="0"/>
      </w:r>
      <w:r>
        <w:rPr>
          <w:rStyle w:val="Hyperlink.0"/>
          <w:rtl w:val="0"/>
        </w:rPr>
        <w:t>7</w:t>
      </w:r>
      <w:r>
        <w:rPr/>
        <w:fldChar w:fldCharType="end" w:fldLock="0"/>
      </w:r>
      <w:r>
        <w:rPr>
          <w:rStyle w:val="Section Number"/>
          <w:rtl w:val="0"/>
          <w:lang w:val="en-US"/>
        </w:rPr>
        <w:t>). That this two-decade-old study remains a key benchmark is itself evidence of the crisis: the industry is so unstable it has lost the ability to track its own attrition.</w:t>
      </w:r>
      <w:bookmarkEnd w:id="7"/>
    </w:p>
    <w:p>
      <w:pPr>
        <w:pStyle w:val="Heading 2"/>
      </w:pPr>
      <w:bookmarkStart w:name="_Toc4" w:id="8"/>
      <w:bookmarkStart w:name="X49b8951ca6f1a24deb88bd132e1edd0636258a2" w:id="9"/>
      <w:r>
        <w:rPr>
          <w:rStyle w:val="Section Number"/>
          <w:rtl w:val="0"/>
          <w:lang w:val="en-US"/>
        </w:rPr>
        <w:t>1.4</w:t>
        <w:tab/>
        <w:t>Pillar 3: Technical Barriers to Data Access</w:t>
      </w:r>
      <w:bookmarkEnd w:id="8"/>
    </w:p>
    <w:p>
      <w:pPr>
        <w:pStyle w:val="First Paragraph"/>
      </w:pPr>
      <w:r>
        <w:rPr>
          <w:rStyle w:val="Section Number"/>
          <w:rtl w:val="0"/>
          <w:lang w:val="en-US"/>
        </w:rPr>
        <w:t xml:space="preserve">Against this backdrop of organizational immaturity and workforce instability, technical barriers perpetuate the cycle. Accessing healthcare insights requires navigating a complex technical landscape. While the immediate barrier is often the </w:t>
      </w:r>
      <w:r>
        <w:rPr>
          <w:rStyle w:val="Section Number"/>
          <w:rtl w:val="0"/>
          <w:lang w:val="en-US"/>
        </w:rPr>
        <w:t>“</w:t>
      </w:r>
      <w:r>
        <w:rPr>
          <w:rStyle w:val="Section Number"/>
          <w:rtl w:val="0"/>
          <w:lang w:val="en-US"/>
        </w:rPr>
        <w:t>technical skills gap</w:t>
      </w:r>
      <w:r>
        <w:rPr>
          <w:rStyle w:val="Section Number"/>
          <w:rtl w:val="0"/>
          <w:lang w:val="en-US"/>
        </w:rPr>
        <w:t>”—</w:t>
      </w:r>
      <w:r>
        <w:rPr>
          <w:rStyle w:val="Section Number"/>
          <w:rtl w:val="0"/>
          <w:lang w:val="en-US"/>
        </w:rPr>
        <w:t>where clinical experts lack SQL expertise</w:t>
      </w:r>
      <w:r>
        <w:rPr>
          <w:rStyle w:val="Section Number"/>
          <w:rtl w:val="0"/>
          <w:lang w:val="en-US"/>
        </w:rPr>
        <w:t>—</w:t>
      </w:r>
      <w:r>
        <w:rPr>
          <w:rStyle w:val="Section Number"/>
          <w:rtl w:val="0"/>
          <w:lang w:val="en-US"/>
        </w:rPr>
        <w:t>this is merely the surface of deeper challenges in semantic interoperability and data quality (</w:t>
      </w:r>
      <w:r>
        <w:rPr>
          <w:rStyle w:val="Hyperlink.0"/>
        </w:rPr>
        <w:fldChar w:fldCharType="begin" w:fldLock="0"/>
      </w:r>
      <w:r>
        <w:rPr>
          <w:rStyle w:val="Hyperlink.0"/>
        </w:rPr>
        <w:instrText xml:space="preserve"> HYPERLINK \l "refgal2019" </w:instrText>
      </w:r>
      <w:r>
        <w:rPr>
          <w:rStyle w:val="Hyperlink.0"/>
        </w:rPr>
        <w:fldChar w:fldCharType="separate" w:fldLock="0"/>
      </w:r>
      <w:r>
        <w:rPr>
          <w:rStyle w:val="Hyperlink.0"/>
          <w:rtl w:val="0"/>
        </w:rPr>
        <w:t>8</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"refzhang2024" </w:instrText>
      </w:r>
      <w:r>
        <w:rPr>
          <w:rStyle w:val="Hyperlink.0"/>
        </w:rPr>
        <w:fldChar w:fldCharType="separate" w:fldLock="0"/>
      </w:r>
      <w:r>
        <w:rPr>
          <w:rStyle w:val="Hyperlink.0"/>
          <w:rtl w:val="0"/>
        </w:rPr>
        <w:t>9</w:t>
      </w:r>
      <w:r>
        <w:rPr/>
        <w:fldChar w:fldCharType="end" w:fldLock="0"/>
      </w:r>
      <w:r>
        <w:rPr>
          <w:rStyle w:val="Section Number"/>
          <w:rtl w:val="0"/>
          <w:lang w:val="en-US"/>
        </w:rPr>
        <w:t>).</w:t>
      </w:r>
    </w:p>
    <w:p>
      <w:pPr>
        <w:pStyle w:val="Body Text"/>
      </w:pPr>
      <w:r>
        <w:rPr>
          <w:rStyle w:val="Section Number"/>
          <w:rtl w:val="0"/>
          <w:lang w:val="en-US"/>
        </w:rPr>
        <w:t xml:space="preserve">In this context, Natural Language to SQL (NL2SQL) generation is not a </w:t>
      </w:r>
      <w:r>
        <w:rPr>
          <w:rStyle w:val="Section Number"/>
          <w:rtl w:val="0"/>
          <w:lang w:val="en-US"/>
        </w:rPr>
        <w:t>“</w:t>
      </w:r>
      <w:r>
        <w:rPr>
          <w:rStyle w:val="Section Number"/>
          <w:rtl w:val="0"/>
          <w:lang w:val="en-US"/>
        </w:rPr>
        <w:t>magic bullet</w:t>
      </w:r>
      <w:r>
        <w:rPr>
          <w:rStyle w:val="Section Number"/>
          <w:rtl w:val="0"/>
          <w:lang w:val="en-US"/>
        </w:rPr>
        <w:t xml:space="preserve">” </w:t>
      </w:r>
      <w:r>
        <w:rPr>
          <w:rStyle w:val="Section Number"/>
          <w:rtl w:val="0"/>
          <w:lang w:val="en-US"/>
        </w:rPr>
        <w:t xml:space="preserve">but a democratizing interface layer and a governance forcing function. For an AI system to translate a natural language question into a correct SQL query, technical prerequisites must be met: validated data models, explicit business logic, and codified definitions. The AI interface forces the organization to make this knowledge explicit, moving it from the minds of a few experts into a durable, shared system. It provides a bridge that allows non-technical domain experts to interact with data </w:t>
      </w:r>
      <w:r>
        <w:rPr>
          <w:rFonts w:ascii="Aptos" w:cs="Aptos" w:hAnsi="Aptos" w:eastAsia="Aptos"/>
          <w:i w:val="1"/>
          <w:iCs w:val="1"/>
          <w:rtl w:val="0"/>
          <w:lang w:val="en-US"/>
        </w:rPr>
        <w:t>alongside</w:t>
      </w:r>
      <w:r>
        <w:rPr>
          <w:rStyle w:val="Section Number"/>
          <w:rtl w:val="0"/>
          <w:lang w:val="en-US"/>
        </w:rPr>
        <w:t xml:space="preserve"> these modernization efforts, unlocking value from imperfect systems while broader interoperability efforts continue (</w:t>
      </w:r>
      <w:r>
        <w:rPr>
          <w:rStyle w:val="Hyperlink.0"/>
        </w:rPr>
        <w:fldChar w:fldCharType="begin" w:fldLock="0"/>
      </w:r>
      <w:r>
        <w:rPr>
          <w:rStyle w:val="Hyperlink.0"/>
        </w:rPr>
        <w:instrText xml:space="preserve"> HYPERLINK \l "refanthropic2025" </w:instrText>
      </w:r>
      <w:r>
        <w:rPr>
          <w:rStyle w:val="Hyperlink.0"/>
        </w:rPr>
        <w:fldChar w:fldCharType="separate" w:fldLock="0"/>
      </w:r>
      <w:r>
        <w:rPr>
          <w:rStyle w:val="Hyperlink.0"/>
          <w:rtl w:val="0"/>
        </w:rPr>
        <w:t>10</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"refarora2025" </w:instrText>
      </w:r>
      <w:r>
        <w:rPr>
          <w:rStyle w:val="Hyperlink.0"/>
        </w:rPr>
        <w:fldChar w:fldCharType="separate" w:fldLock="0"/>
      </w:r>
      <w:r>
        <w:rPr>
          <w:rStyle w:val="Hyperlink.0"/>
          <w:rtl w:val="0"/>
        </w:rPr>
        <w:t>13</w:t>
      </w:r>
      <w:r>
        <w:rPr/>
        <w:fldChar w:fldCharType="end" w:fldLock="0"/>
      </w:r>
      <w:r>
        <w:rPr>
          <w:rStyle w:val="Section Number"/>
          <w:rtl w:val="0"/>
          <w:lang w:val="en-US"/>
        </w:rPr>
        <w:t>).</w:t>
      </w:r>
    </w:p>
    <w:p>
      <w:pPr>
        <w:pStyle w:val="Body Text"/>
      </w:pPr>
      <w:r>
        <w:rPr>
          <w:rStyle w:val="Section Number"/>
          <w:rtl w:val="0"/>
          <w:lang w:val="en-US"/>
        </w:rPr>
        <w:t>The implications of these three interconnected challenges are measurable in both operational and clinical terms. When analytics barriers are addressed, outcomes improve substantially: one Medicare ACO reduced readmission rates from 24% to 17.8% and achieved $1.6 million in cost savings by implementing data analytics to overcome EHR fragmentation (</w:t>
      </w:r>
      <w:r>
        <w:rPr>
          <w:rStyle w:val="Hyperlink.0"/>
        </w:rPr>
        <w:fldChar w:fldCharType="begin" w:fldLock="0"/>
      </w:r>
      <w:r>
        <w:rPr>
          <w:rStyle w:val="Hyperlink.0"/>
        </w:rPr>
        <w:instrText xml:space="preserve"> HYPERLINK \l "reflatrella2024" </w:instrText>
      </w:r>
      <w:r>
        <w:rPr>
          <w:rStyle w:val="Hyperlink.0"/>
        </w:rPr>
        <w:fldChar w:fldCharType="separate" w:fldLock="0"/>
      </w:r>
      <w:r>
        <w:rPr>
          <w:rStyle w:val="Hyperlink.0"/>
          <w:rtl w:val="0"/>
        </w:rPr>
        <w:t>14</w:t>
      </w:r>
      <w:r>
        <w:rPr/>
        <w:fldChar w:fldCharType="end" w:fldLock="0"/>
      </w:r>
      <w:r>
        <w:rPr>
          <w:rStyle w:val="Section Number"/>
          <w:rtl w:val="0"/>
          <w:lang w:val="en-US"/>
        </w:rPr>
        <w:t>). Yet, barriers remain pervasive, with 68% of healthcare organizations citing data interoperability as the leading obstacle, followed by privacy concerns (64%) and insufficient staff training (59%) (</w:t>
      </w:r>
      <w:r>
        <w:rPr>
          <w:rStyle w:val="Hyperlink.0"/>
        </w:rPr>
        <w:fldChar w:fldCharType="begin" w:fldLock="0"/>
      </w:r>
      <w:r>
        <w:rPr>
          <w:rStyle w:val="Hyperlink.0"/>
        </w:rPr>
        <w:instrText xml:space="preserve"> HYPERLINK \l "refnashid2023" </w:instrText>
      </w:r>
      <w:r>
        <w:rPr>
          <w:rStyle w:val="Hyperlink.0"/>
        </w:rPr>
        <w:fldChar w:fldCharType="separate" w:fldLock="0"/>
      </w:r>
      <w:r>
        <w:rPr>
          <w:rStyle w:val="Hyperlink.0"/>
          <w:rtl w:val="0"/>
        </w:rPr>
        <w:t>15</w:t>
      </w:r>
      <w:r>
        <w:rPr/>
        <w:fldChar w:fldCharType="end" w:fldLock="0"/>
      </w:r>
      <w:r>
        <w:rPr>
          <w:rStyle w:val="Section Number"/>
          <w:rtl w:val="0"/>
          <w:lang w:val="en-US"/>
        </w:rPr>
        <w:t>). Adoption of big data analytics faces validated barriers including employee resistance to change and lack of organizational readiness, which directly stall data-driven initiatives (</w:t>
      </w:r>
      <w:r>
        <w:rPr>
          <w:rStyle w:val="Hyperlink.0"/>
        </w:rPr>
        <w:fldChar w:fldCharType="begin" w:fldLock="0"/>
      </w:r>
      <w:r>
        <w:rPr>
          <w:rStyle w:val="Hyperlink.0"/>
        </w:rPr>
        <w:instrText xml:space="preserve"> HYPERLINK \l "refshahbaz2019" </w:instrText>
      </w:r>
      <w:r>
        <w:rPr>
          <w:rStyle w:val="Hyperlink.0"/>
        </w:rPr>
        <w:fldChar w:fldCharType="separate" w:fldLock="0"/>
      </w:r>
      <w:r>
        <w:rPr>
          <w:rStyle w:val="Hyperlink.0"/>
          <w:rtl w:val="0"/>
        </w:rPr>
        <w:t>16</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"refkamble2019" </w:instrText>
      </w:r>
      <w:r>
        <w:rPr>
          <w:rStyle w:val="Hyperlink.0"/>
        </w:rPr>
        <w:fldChar w:fldCharType="separate" w:fldLock="0"/>
      </w:r>
      <w:r>
        <w:rPr>
          <w:rStyle w:val="Hyperlink.0"/>
          <w:rtl w:val="0"/>
        </w:rPr>
        <w:t>17</w:t>
      </w:r>
      <w:r>
        <w:rPr/>
        <w:fldChar w:fldCharType="end" w:fldLock="0"/>
      </w:r>
      <w:r>
        <w:rPr>
          <w:rStyle w:val="Section Number"/>
          <w:rtl w:val="0"/>
          <w:lang w:val="en-US"/>
        </w:rPr>
        <w:t>). Together, these three pillars represent a compounding cycle of operational inefficiencies with demonstrated implications for healthcare delivery.</w:t>
      </w:r>
      <w:bookmarkEnd w:id="9"/>
    </w:p>
    <w:p>
      <w:pPr>
        <w:pStyle w:val="Heading 2"/>
      </w:pPr>
      <w:bookmarkStart w:name="_Toc5" w:id="10"/>
      <w:bookmarkStart w:name="objectives" w:id="11"/>
      <w:r>
        <w:rPr>
          <w:rStyle w:val="Section Number"/>
          <w:rtl w:val="0"/>
          <w:lang w:val="fr-FR"/>
        </w:rPr>
        <w:t>1.5</w:t>
        <w:tab/>
        <w:t>Objectives</w:t>
      </w:r>
      <w:bookmarkEnd w:id="10"/>
    </w:p>
    <w:p>
      <w:pPr>
        <w:pStyle w:val="First Paragraph"/>
      </w:pPr>
      <w:r>
        <w:rPr>
          <w:rStyle w:val="Section Number"/>
          <w:rtl w:val="0"/>
          <w:lang w:val="en-US"/>
        </w:rPr>
        <w:t>This research aims to develop a framework for understanding healthcare</w:t>
      </w:r>
      <w:r>
        <w:rPr>
          <w:rStyle w:val="Section Number"/>
          <w:rtl w:val="0"/>
          <w:lang w:val="en-US"/>
        </w:rPr>
        <w:t>’</w:t>
      </w:r>
      <w:r>
        <w:rPr>
          <w:rStyle w:val="Section Number"/>
          <w:rtl w:val="0"/>
          <w:lang w:val="en-US"/>
        </w:rPr>
        <w:t>s interconnected analytics challenges. The specific objectives are as follows:</w:t>
      </w:r>
      <w:bookmarkEnd w:id="11"/>
    </w:p>
    <w:p>
      <w:pPr>
        <w:pStyle w:val="Heading 3"/>
      </w:pPr>
      <w:bookmarkStart w:name="_Toc6" w:id="12"/>
      <w:bookmarkStart w:name="primaryobjective" w:id="13"/>
      <w:r>
        <w:rPr>
          <w:rStyle w:val="Section Number"/>
          <w:rtl w:val="0"/>
          <w:lang w:val="en-US"/>
        </w:rPr>
        <w:t>1.5.1</w:t>
        <w:tab/>
        <w:t>Primary Objective</w:t>
      </w:r>
      <w:bookmarkEnd w:id="12"/>
    </w:p>
    <w:p>
      <w:pPr>
        <w:pStyle w:val="First Paragraph"/>
      </w:pPr>
      <w:r>
        <w:rPr>
          <w:rStyle w:val="Section Number"/>
          <w:rtl w:val="0"/>
          <w:lang w:val="en-US"/>
        </w:rPr>
        <w:t>Develop and validate a three-pillar analytical framework that explains how analytics maturity, workforce agility, and technical enablement interconnect and compound each other.</w:t>
      </w:r>
      <w:bookmarkEnd w:id="13"/>
    </w:p>
    <w:p>
      <w:pPr>
        <w:pStyle w:val="Heading 3"/>
      </w:pPr>
      <w:bookmarkStart w:name="_Toc7" w:id="14"/>
      <w:bookmarkStart w:name="secondaryobjectives" w:id="15"/>
      <w:r>
        <w:rPr>
          <w:rStyle w:val="Section Number"/>
          <w:rtl w:val="0"/>
          <w:lang w:val="en-US"/>
        </w:rPr>
        <w:t>1.5.2</w:t>
        <w:tab/>
        <w:t>Secondary Objectives</w:t>
      </w:r>
      <w:bookmarkEnd w:id="14"/>
    </w:p>
    <w:p>
      <w:pPr>
        <w:pStyle w:val="Compact"/>
        <w:numPr>
          <w:ilvl w:val="0"/>
          <w:numId w:val="5"/>
        </w:numPr>
        <w:rPr>
          <w:lang w:val="en-US"/>
        </w:rPr>
      </w:pPr>
      <w:r>
        <w:rPr>
          <w:rFonts w:ascii="Aptos" w:cs="Aptos" w:hAnsi="Aptos" w:eastAsia="Aptos"/>
          <w:i w:val="1"/>
          <w:iCs w:val="1"/>
          <w:rtl w:val="0"/>
          <w:lang w:val="en-US"/>
        </w:rPr>
        <w:t>Synthesize current evidence</w:t>
      </w:r>
      <w:r>
        <w:rPr>
          <w:rStyle w:val="Section Number"/>
          <w:rtl w:val="0"/>
          <w:lang w:val="en-US"/>
        </w:rPr>
        <w:t xml:space="preserve"> on natural language to SQL generation as a technical barrier.</w:t>
      </w:r>
    </w:p>
    <w:p>
      <w:pPr>
        <w:pStyle w:val="Compact"/>
        <w:numPr>
          <w:ilvl w:val="0"/>
          <w:numId w:val="2"/>
        </w:numPr>
        <w:rPr>
          <w:lang w:val="en-US"/>
        </w:rPr>
      </w:pPr>
      <w:r>
        <w:rPr>
          <w:rFonts w:ascii="Aptos" w:cs="Aptos" w:hAnsi="Aptos" w:eastAsia="Aptos"/>
          <w:i w:val="1"/>
          <w:iCs w:val="1"/>
          <w:rtl w:val="0"/>
          <w:lang w:val="en-US"/>
        </w:rPr>
        <w:t>Document the extent</w:t>
      </w:r>
      <w:r>
        <w:rPr>
          <w:rStyle w:val="Section Number"/>
          <w:rtl w:val="0"/>
          <w:lang w:val="en-US"/>
        </w:rPr>
        <w:t xml:space="preserve"> of analytics maturity challenges in healthcare organizations globally.</w:t>
      </w:r>
    </w:p>
    <w:p>
      <w:pPr>
        <w:pStyle w:val="Compact"/>
        <w:numPr>
          <w:ilvl w:val="0"/>
          <w:numId w:val="2"/>
        </w:numPr>
        <w:rPr>
          <w:lang w:val="en-US"/>
        </w:rPr>
      </w:pPr>
      <w:r>
        <w:rPr>
          <w:rFonts w:ascii="Aptos" w:cs="Aptos" w:hAnsi="Aptos" w:eastAsia="Aptos"/>
          <w:i w:val="1"/>
          <w:iCs w:val="1"/>
          <w:rtl w:val="0"/>
          <w:lang w:val="en-US"/>
        </w:rPr>
        <w:t>Quantify the impact</w:t>
      </w:r>
      <w:r>
        <w:rPr>
          <w:rStyle w:val="Section Number"/>
          <w:rtl w:val="0"/>
          <w:lang w:val="en-US"/>
        </w:rPr>
        <w:t xml:space="preserve"> of workforce turnover on institutional memory and analytics capabilities.</w:t>
      </w:r>
    </w:p>
    <w:p>
      <w:pPr>
        <w:pStyle w:val="Compact"/>
        <w:numPr>
          <w:ilvl w:val="0"/>
          <w:numId w:val="2"/>
        </w:numPr>
        <w:rPr>
          <w:lang w:val="en-US"/>
        </w:rPr>
      </w:pPr>
      <w:r>
        <w:rPr>
          <w:rFonts w:ascii="Aptos" w:cs="Aptos" w:hAnsi="Aptos" w:eastAsia="Aptos"/>
          <w:i w:val="1"/>
          <w:iCs w:val="1"/>
          <w:rtl w:val="0"/>
          <w:lang w:val="en-US"/>
        </w:rPr>
        <w:t>Reveal interconnections</w:t>
      </w:r>
      <w:r>
        <w:rPr>
          <w:rStyle w:val="Section Number"/>
          <w:rtl w:val="0"/>
          <w:lang w:val="en-US"/>
        </w:rPr>
        <w:t xml:space="preserve"> between the three pillars through evidence synthesis.</w:t>
      </w:r>
    </w:p>
    <w:p>
      <w:pPr>
        <w:pStyle w:val="Compact"/>
        <w:numPr>
          <w:ilvl w:val="0"/>
          <w:numId w:val="2"/>
        </w:numPr>
        <w:rPr>
          <w:lang w:val="en-US"/>
        </w:rPr>
      </w:pPr>
      <w:r>
        <w:rPr>
          <w:rFonts w:ascii="Aptos" w:cs="Aptos" w:hAnsi="Aptos" w:eastAsia="Aptos"/>
          <w:i w:val="1"/>
          <w:iCs w:val="1"/>
          <w:rtl w:val="0"/>
          <w:lang w:val="en-US"/>
        </w:rPr>
        <w:t>Provide an assessment rubric</w:t>
      </w:r>
      <w:r>
        <w:rPr>
          <w:rStyle w:val="Section Number"/>
          <w:rtl w:val="0"/>
          <w:lang w:val="en-US"/>
        </w:rPr>
        <w:t xml:space="preserve"> for organizational self-evaluation.</w:t>
      </w:r>
      <w:bookmarkEnd w:id="15"/>
    </w:p>
    <w:p>
      <w:pPr>
        <w:pStyle w:val="Heading 3"/>
      </w:pPr>
      <w:bookmarkStart w:name="_Toc8" w:id="16"/>
      <w:bookmarkStart w:name="nongoals" w:id="17"/>
      <w:r>
        <w:rPr>
          <w:rStyle w:val="Section Number"/>
          <w:rtl w:val="0"/>
          <w:lang w:val="en-US"/>
        </w:rPr>
        <w:t>1.5.3</w:t>
        <w:tab/>
        <w:t>Non-Goals</w:t>
      </w:r>
      <w:bookmarkEnd w:id="16"/>
    </w:p>
    <w:p>
      <w:pPr>
        <w:pStyle w:val="First Paragraph"/>
      </w:pPr>
      <w:r>
        <w:rPr>
          <w:rStyle w:val="Section Number"/>
          <w:rtl w:val="0"/>
          <w:lang w:val="en-US"/>
        </w:rPr>
        <w:t>This research does not address:</w:t>
      </w:r>
    </w:p>
    <w:p>
      <w:pPr>
        <w:pStyle w:val="Compact"/>
        <w:numPr>
          <w:ilvl w:val="0"/>
          <w:numId w:val="4"/>
        </w:numPr>
        <w:rPr>
          <w:lang w:val="en-US"/>
        </w:rPr>
      </w:pPr>
      <w:r>
        <w:rPr>
          <w:rStyle w:val="Section Number"/>
          <w:rtl w:val="0"/>
          <w:lang w:val="en-US"/>
        </w:rPr>
        <w:t>Specific vendor comparisons or product recommendations.</w:t>
      </w:r>
    </w:p>
    <w:p>
      <w:pPr>
        <w:pStyle w:val="Compact"/>
        <w:numPr>
          <w:ilvl w:val="0"/>
          <w:numId w:val="4"/>
        </w:numPr>
        <w:rPr>
          <w:lang w:val="en-US"/>
        </w:rPr>
      </w:pPr>
      <w:r>
        <w:rPr>
          <w:rStyle w:val="Section Number"/>
          <w:rtl w:val="0"/>
          <w:lang w:val="en-US"/>
        </w:rPr>
        <w:t>Implementation details for particular healthcare IT environments.</w:t>
      </w:r>
    </w:p>
    <w:p>
      <w:pPr>
        <w:pStyle w:val="Compact"/>
        <w:numPr>
          <w:ilvl w:val="0"/>
          <w:numId w:val="4"/>
        </w:numPr>
        <w:rPr>
          <w:lang w:val="en-US"/>
        </w:rPr>
      </w:pPr>
      <w:r>
        <w:rPr>
          <w:rStyle w:val="Section Number"/>
          <w:rtl w:val="0"/>
          <w:lang w:val="en-US"/>
        </w:rPr>
        <w:t>Regulatory compliance strategies for specific jurisdictions.</w:t>
      </w:r>
    </w:p>
    <w:p>
      <w:pPr>
        <w:pStyle w:val="Compact"/>
        <w:numPr>
          <w:ilvl w:val="0"/>
          <w:numId w:val="4"/>
        </w:numPr>
        <w:rPr>
          <w:lang w:val="en-US"/>
        </w:rPr>
      </w:pPr>
      <w:r>
        <w:rPr>
          <w:rStyle w:val="Section Number"/>
          <w:rtl w:val="0"/>
          <w:lang w:val="en-US"/>
        </w:rPr>
        <w:t>Technical architecture specifications for conversational AI systems.</w:t>
      </w:r>
    </w:p>
    <w:p>
      <w:pPr>
        <w:pStyle w:val="First Paragraph"/>
      </w:pPr>
      <w:r>
        <w:rPr>
          <w:rFonts w:ascii="Aptos" w:cs="Aptos" w:hAnsi="Aptos" w:eastAsia="Aptos"/>
          <w:i w:val="1"/>
          <w:iCs w:val="1"/>
          <w:rtl w:val="0"/>
          <w:lang w:val="en-US"/>
        </w:rPr>
        <w:t>Note: Analysis of market dynamics and structural factors explaining why institution-specific analytics challenges persist is within the scope of this paper. This market-level analysis provides context for evaluating solution approaches and differs from product comparisons, which would evaluate or recommend specific vendor offerings.</w:t>
      </w:r>
      <w:bookmarkEnd w:id="17"/>
    </w:p>
    <w:p>
      <w:pPr>
        <w:pStyle w:val="Heading 2"/>
      </w:pPr>
      <w:bookmarkStart w:name="_Toc9" w:id="18"/>
      <w:bookmarkStart w:name="contributions" w:id="19"/>
      <w:r>
        <w:rPr>
          <w:rStyle w:val="Section Number"/>
          <w:rtl w:val="0"/>
          <w:lang w:val="fr-FR"/>
        </w:rPr>
        <w:t>1.6</w:t>
        <w:tab/>
        <w:t>Contributions</w:t>
      </w:r>
      <w:bookmarkEnd w:id="18"/>
    </w:p>
    <w:p>
      <w:pPr>
        <w:pStyle w:val="First Paragraph"/>
      </w:pPr>
      <w:r>
        <w:rPr>
          <w:rStyle w:val="Section Number"/>
          <w:rtl w:val="0"/>
          <w:lang w:val="en-US"/>
        </w:rPr>
        <w:t>This paper makes the following contributions to the healthcare informatics literature:</w:t>
      </w:r>
    </w:p>
    <w:p>
      <w:pPr>
        <w:pStyle w:val="Body"/>
        <w:numPr>
          <w:ilvl w:val="0"/>
          <w:numId w:val="6"/>
        </w:numPr>
        <w:rPr>
          <w:lang w:val="en-US"/>
        </w:rPr>
      </w:pPr>
      <w:r>
        <w:rPr>
          <w:rFonts w:ascii="Aptos" w:cs="Aptos" w:hAnsi="Aptos" w:eastAsia="Aptos"/>
          <w:i w:val="1"/>
          <w:iCs w:val="1"/>
          <w:rtl w:val="0"/>
          <w:lang w:val="en-US"/>
        </w:rPr>
        <w:t>Three-Pillar Analytical Framework</w:t>
      </w:r>
      <w:r>
        <w:rPr>
          <w:rStyle w:val="Section Number"/>
          <w:rtl w:val="0"/>
          <w:lang w:val="en-US"/>
        </w:rPr>
        <w:t>: We synthesize evidence from three disconnected research domains</w:t>
      </w:r>
      <w:r>
        <w:rPr>
          <w:rStyle w:val="Section Number"/>
          <w:rtl w:val="0"/>
          <w:lang w:val="en-US"/>
        </w:rPr>
        <w:t>—</w:t>
      </w:r>
      <w:r>
        <w:rPr>
          <w:rStyle w:val="Section Number"/>
          <w:rtl w:val="0"/>
          <w:lang w:val="en-US"/>
        </w:rPr>
        <w:t>healthcare analytics maturity, workforce turnover, and natural language processing</w:t>
      </w:r>
      <w:r>
        <w:rPr>
          <w:rStyle w:val="Section Number"/>
          <w:rtl w:val="0"/>
          <w:lang w:val="en-US"/>
        </w:rPr>
        <w:t>—</w:t>
      </w:r>
      <w:r>
        <w:rPr>
          <w:rStyle w:val="Section Number"/>
          <w:rtl w:val="0"/>
          <w:lang w:val="en-US"/>
        </w:rPr>
        <w:t>into a unified analytical framework. This framework reveals how these challenges interconnect and compound each other: low maturity accelerates turnover, turnover degrades agility, and low technical enablement prevents recovery. The framework provides a lens for organizational self-assessment and research prioritization.</w:t>
      </w:r>
    </w:p>
    <w:p>
      <w:pPr>
        <w:pStyle w:val="Body"/>
        <w:numPr>
          <w:ilvl w:val="0"/>
          <w:numId w:val="2"/>
        </w:numPr>
        <w:rPr>
          <w:lang w:val="en-US"/>
        </w:rPr>
      </w:pPr>
      <w:r>
        <w:rPr>
          <w:rFonts w:ascii="Aptos" w:cs="Aptos" w:hAnsi="Aptos" w:eastAsia="Aptos"/>
          <w:i w:val="1"/>
          <w:iCs w:val="1"/>
          <w:rtl w:val="0"/>
          <w:lang w:val="en-US"/>
        </w:rPr>
        <w:t>Evidence Synthesis</w:t>
      </w:r>
      <w:r>
        <w:rPr>
          <w:rStyle w:val="Section Number"/>
          <w:rtl w:val="0"/>
          <w:lang w:val="en-US"/>
        </w:rPr>
        <w:t>: We document the current state of each pillar through a comprehensive literature review, providing healthcare organizations with consolidated evidence on analytics maturity benchmarks, the impact of workforce turnover, and NL2SQL technical capabilities.</w:t>
      </w:r>
    </w:p>
    <w:p>
      <w:pPr>
        <w:pStyle w:val="Body"/>
        <w:numPr>
          <w:ilvl w:val="0"/>
          <w:numId w:val="2"/>
        </w:numPr>
        <w:rPr>
          <w:lang w:val="fr-FR"/>
        </w:rPr>
      </w:pPr>
      <w:r>
        <w:rPr>
          <w:rFonts w:ascii="Aptos" w:cs="Aptos" w:hAnsi="Aptos" w:eastAsia="Aptos"/>
          <w:i w:val="1"/>
          <w:iCs w:val="1"/>
          <w:rtl w:val="0"/>
          <w:lang w:val="fr-FR"/>
        </w:rPr>
        <w:t>Illustrative Application</w:t>
      </w:r>
      <w:r>
        <w:rPr>
          <w:rStyle w:val="Section Number"/>
          <w:rtl w:val="0"/>
          <w:lang w:val="en-US"/>
        </w:rPr>
        <w:t>: Drawing on established knowledge management literature, we describe the validated query cycle as an example of how the framework can inform technology design. This concept addresses institutional memory loss through a six-step process that allows domain experts to validate and store queries, ensuring that knowledge persists independently of staff tenure. Figures 1 and 2 illustrate this architecture and cycle.</w:t>
      </w:r>
    </w:p>
    <w:p>
      <w:pPr>
        <w:pStyle w:val="Captioned Figure"/>
      </w:pPr>
      <w:r>
        <w:rPr>
          <w:rStyle w:val="Section Number"/>
        </w:rPr>
        <w:drawing xmlns:a="http://schemas.openxmlformats.org/drawingml/2006/main">
          <wp:inline distT="0" distB="0" distL="0" distR="0">
            <wp:extent cx="5334000" cy="5196681"/>
            <wp:effectExtent l="0" t="0" r="0" b="0"/>
            <wp:docPr id="1073741825" name="officeArt object" descr="Healthcare Analytics Architecture. Solid lines indicate the primary data flow from clinical user natural language queries through a conversational AI interface to a healthcare NLP engine for context-aware SQL generation. Bi-directional arrows at steps 5 and 8 represent the iterative ‘Query &amp; Refine’ loop where users refine their intent based on delivered insights. The critical validation step (dotted bi-directional line) shows domain experts confirming or correcting generated SQL before results are trusted. Validated NL-SQL-Rationale triples flow to organizational memory (dashed line), where they persist independent of staff tenure and inform future query generation."/>
            <wp:cNvGraphicFramePr/>
            <a:graphic xmlns:a="http://schemas.openxmlformats.org/drawingml/2006/main">
              <a:graphicData uri="http://schemas.openxmlformats.org/drawingml/2006/picture">
                <pic:pic xmlns:pic="http://schemas.openxmlformats.org/drawingml/2006/picture">
                  <pic:nvPicPr>
                    <pic:cNvPr id="1073741825" name="Healthcare Analytics Architecture. Solid lines indicate the primary data flow from clinical user natural language queries through a conversational AI interface to a healthcare NLP engine for context-aware SQL generation. Bi-directional arrows at steps 5 " descr="Healthcare Analytics Architecture. Solid lines indicate the primary data flow from clinical user natural language queries through a conversational AI interface to a healthcare NLP engine for context-aware SQL generation. Bi-directional arrows at steps 5 and 8 represent the iterative ‘Query &amp; Refine’ loop where users refine their intent based on delivered insights. The critical validation step (dotted bi-directional line) shows domain experts confirming or correcting generated SQL before results are trusted. Validated NL-SQL-Rationale triples flow to organizational memory (dashed line), where they persist independent of staff tenure and inform future query generation."/>
                    <pic:cNvPicPr>
                      <a:picLocks noChangeAspect="1"/>
                    </pic:cNvPicPr>
                  </pic:nvPicPr>
                  <pic:blipFill>
                    <a:blip r:embed="rId4">
                      <a:extLst/>
                    </a:blip>
                    <a:stretch>
                      <a:fillRect/>
                    </a:stretch>
                  </pic:blipFill>
                  <pic:spPr>
                    <a:xfrm>
                      <a:off x="0" y="0"/>
                      <a:ext cx="5334000" cy="5196681"/>
                    </a:xfrm>
                    <a:prstGeom prst="rect">
                      <a:avLst/>
                    </a:prstGeom>
                    <a:ln w="12700" cap="flat">
                      <a:noFill/>
                      <a:miter lim="400000"/>
                    </a:ln>
                    <a:effectLst/>
                  </pic:spPr>
                </pic:pic>
              </a:graphicData>
            </a:graphic>
          </wp:inline>
        </w:drawing>
      </w:r>
    </w:p>
    <w:p>
      <w:pPr>
        <w:pStyle w:val="Image Caption"/>
      </w:pPr>
      <w:r>
        <w:rPr>
          <w:rtl w:val="0"/>
        </w:rPr>
        <w:t xml:space="preserve">Figure 1. </w:t>
      </w:r>
      <w:r>
        <w:rPr>
          <w:rStyle w:val="Section Number"/>
          <w:rtl w:val="0"/>
          <w:lang w:val="en-US"/>
        </w:rPr>
        <w:t xml:space="preserve">Healthcare Analytics Architecture. Solid lines indicate the primary data flow from clinical user natural language queries through a conversational AI interface to a healthcare NLP engine for context-aware SQL generation. Bi-directional arrows at steps 5 and 8 represent the iterative </w:t>
      </w:r>
      <w:r>
        <w:rPr>
          <w:rStyle w:val="Section Number"/>
          <w:rtl w:val="0"/>
          <w:lang w:val="en-US"/>
        </w:rPr>
        <w:t>‘</w:t>
      </w:r>
      <w:r>
        <w:rPr>
          <w:rStyle w:val="Section Number"/>
          <w:rtl w:val="0"/>
          <w:lang w:val="en-US"/>
        </w:rPr>
        <w:t>Query &amp; Refine</w:t>
      </w:r>
      <w:r>
        <w:rPr>
          <w:rStyle w:val="Section Number"/>
          <w:rtl w:val="0"/>
          <w:lang w:val="en-US"/>
        </w:rPr>
        <w:t xml:space="preserve">’ </w:t>
      </w:r>
      <w:r>
        <w:rPr>
          <w:rStyle w:val="Section Number"/>
          <w:rtl w:val="0"/>
          <w:lang w:val="en-US"/>
        </w:rPr>
        <w:t>loop where users refine their intent based on delivered insights. The critical validation step (dotted bi-directional line) shows domain experts confirming or correcting generated SQL before results are trusted. Validated NL-SQL-Rationale triples flow to organizational memory (dashed line), where they persist independent of staff tenure and inform future query generation.</w:t>
      </w:r>
      <w:bookmarkEnd w:id="19"/>
    </w:p>
    <w:p>
      <w:pPr>
        <w:pStyle w:val="Heading 3"/>
      </w:pPr>
      <w:bookmarkStart w:name="_Toc10" w:id="20"/>
      <w:bookmarkStart w:name="X73e2d26b24a344d10ad0c1fcb47d8011eb5e98e" w:id="21"/>
      <w:r>
        <w:rPr>
          <w:rStyle w:val="Section Number"/>
          <w:rtl w:val="0"/>
          <w:lang w:val="en-US"/>
        </w:rPr>
        <w:t>1.6.1</w:t>
        <w:tab/>
        <w:t>Illustrative Application: The Validated Query Cycle as a Governance Forcing Function</w:t>
      </w:r>
      <w:bookmarkEnd w:id="20"/>
    </w:p>
    <w:p>
      <w:pPr>
        <w:pStyle w:val="First Paragraph"/>
      </w:pPr>
      <w:r>
        <w:rPr>
          <w:rStyle w:val="Section Number"/>
          <w:rtl w:val="0"/>
          <w:lang w:val="en-US"/>
        </w:rPr>
        <w:t xml:space="preserve">To demonstrate how the three-pillar framework might inform technology design, we describe a validated query cycle. This cycle functions as a </w:t>
      </w:r>
      <w:r>
        <w:rPr>
          <w:rFonts w:ascii="Aptos" w:cs="Aptos" w:hAnsi="Aptos" w:eastAsia="Aptos"/>
          <w:i w:val="1"/>
          <w:iCs w:val="1"/>
          <w:rtl w:val="0"/>
          <w:lang w:val="en-US"/>
        </w:rPr>
        <w:t>Governance Forcing Function</w:t>
      </w:r>
      <w:r>
        <w:rPr>
          <w:rStyle w:val="Section Number"/>
          <w:rtl w:val="0"/>
          <w:lang w:val="en-US"/>
        </w:rPr>
        <w:t>, a mechanism that uses technical implementation to compel the adoption of stronger data governance practices. It directly addresses institutional memory loss (Pillar 2) by systematically converting tacit knowledge into an explicit, durable asset, thereby reducing technical barriers (Pillar 3) and enabling organizations to advance their analytics maturity (Pillar 1).</w:t>
      </w:r>
    </w:p>
    <w:p>
      <w:pPr>
        <w:pStyle w:val="Body Text"/>
      </w:pPr>
      <w:r>
        <w:rPr>
          <w:rStyle w:val="Section Number"/>
          <w:rtl w:val="0"/>
          <w:lang w:val="en-US"/>
        </w:rPr>
        <w:t>The six-step cycle (Figure 2) illustrates this approach:</w:t>
      </w:r>
    </w:p>
    <w:p>
      <w:pPr>
        <w:pStyle w:val="Body"/>
        <w:numPr>
          <w:ilvl w:val="0"/>
          <w:numId w:val="7"/>
        </w:numPr>
        <w:rPr>
          <w:lang w:val="pt-PT"/>
        </w:rPr>
      </w:pPr>
      <w:r>
        <w:rPr>
          <w:rFonts w:ascii="Aptos" w:cs="Aptos" w:hAnsi="Aptos" w:eastAsia="Aptos"/>
          <w:i w:val="1"/>
          <w:iCs w:val="1"/>
          <w:rtl w:val="0"/>
          <w:lang w:val="pt-PT"/>
        </w:rPr>
        <w:t>Query</w:t>
      </w:r>
      <w:r>
        <w:rPr>
          <w:rStyle w:val="Section Number"/>
          <w:rtl w:val="0"/>
          <w:lang w:val="en-US"/>
        </w:rPr>
        <w:t xml:space="preserve">: A domain expert (clinician, analyst, or administrator) asks a natural language question, such as, </w:t>
      </w:r>
      <w:r>
        <w:rPr>
          <w:rStyle w:val="Section Number"/>
          <w:rtl w:val="1"/>
          <w:lang w:val="ar-SA" w:bidi="ar-SA"/>
        </w:rPr>
        <w:t>“</w:t>
      </w:r>
      <w:r>
        <w:rPr>
          <w:rStyle w:val="Section Number"/>
          <w:rtl w:val="0"/>
          <w:lang w:val="en-US"/>
        </w:rPr>
        <w:t>What was our 30-day readmission rate for heart failure patients last quarter?</w:t>
      </w:r>
      <w:r>
        <w:rPr>
          <w:rStyle w:val="Section Number"/>
          <w:rtl w:val="0"/>
        </w:rPr>
        <w:t>”</w:t>
      </w:r>
    </w:p>
    <w:p>
      <w:pPr>
        <w:pStyle w:val="Body"/>
        <w:numPr>
          <w:ilvl w:val="0"/>
          <w:numId w:val="2"/>
        </w:numPr>
        <w:rPr>
          <w:lang w:val="de-DE"/>
        </w:rPr>
      </w:pPr>
      <w:r>
        <w:rPr>
          <w:rFonts w:ascii="Aptos" w:cs="Aptos" w:hAnsi="Aptos" w:eastAsia="Aptos"/>
          <w:i w:val="1"/>
          <w:iCs w:val="1"/>
          <w:rtl w:val="0"/>
          <w:lang w:val="de-DE"/>
        </w:rPr>
        <w:t>Generation</w:t>
      </w:r>
      <w:r>
        <w:rPr>
          <w:rStyle w:val="Section Number"/>
          <w:rtl w:val="0"/>
          <w:lang w:val="en-US"/>
        </w:rPr>
        <w:t>: The conversational AI system generates candidate SQL code, leveraging healthcare ontologies and organizational schema knowledge.</w:t>
      </w:r>
    </w:p>
    <w:p>
      <w:pPr>
        <w:pStyle w:val="Body"/>
        <w:numPr>
          <w:ilvl w:val="0"/>
          <w:numId w:val="2"/>
        </w:numPr>
        <w:rPr>
          <w:lang w:val="en-US"/>
        </w:rPr>
      </w:pPr>
      <w:r>
        <w:rPr>
          <w:rFonts w:ascii="Aptos" w:cs="Aptos" w:hAnsi="Aptos" w:eastAsia="Aptos"/>
          <w:i w:val="1"/>
          <w:iCs w:val="1"/>
          <w:rtl w:val="0"/>
          <w:lang w:val="en-US"/>
        </w:rPr>
        <w:t>Validation</w:t>
      </w:r>
      <w:r>
        <w:rPr>
          <w:rStyle w:val="Section Number"/>
          <w:rtl w:val="0"/>
          <w:lang w:val="en-US"/>
        </w:rPr>
        <w:t>: The AI provides a natural language explanation of the SQL logic and results, allowing the domain expert to validate the query</w:t>
      </w:r>
      <w:r>
        <w:rPr>
          <w:rStyle w:val="Section Number"/>
          <w:rtl w:val="1"/>
        </w:rPr>
        <w:t>’</w:t>
      </w:r>
      <w:r>
        <w:rPr>
          <w:rStyle w:val="Section Number"/>
          <w:rtl w:val="0"/>
          <w:lang w:val="en-US"/>
        </w:rPr>
        <w:t xml:space="preserve">s intent without reviewing raw code. This human-in-the-loop step aligns with </w:t>
      </w:r>
      <w:r>
        <w:rPr>
          <w:rStyle w:val="Section Number"/>
          <w:rtl w:val="1"/>
          <w:lang w:val="ar-SA" w:bidi="ar-SA"/>
        </w:rPr>
        <w:t>“</w:t>
      </w:r>
      <w:r>
        <w:rPr>
          <w:rStyle w:val="Section Number"/>
          <w:rtl w:val="0"/>
          <w:lang w:val="en-US"/>
        </w:rPr>
        <w:t>Human-on-the-Loop</w:t>
      </w:r>
      <w:r>
        <w:rPr>
          <w:rStyle w:val="Section Number"/>
          <w:rtl w:val="0"/>
        </w:rPr>
        <w:t xml:space="preserve">” </w:t>
      </w:r>
      <w:r>
        <w:rPr>
          <w:rStyle w:val="Section Number"/>
          <w:rtl w:val="0"/>
          <w:lang w:val="en-US"/>
        </w:rPr>
        <w:t>(HotL) frameworks, transforming validation from a binary check into an iterative knowledge capture process (</w:t>
      </w:r>
      <w:r>
        <w:rPr>
          <w:rStyle w:val="Hyperlink.0"/>
        </w:rPr>
        <w:fldChar w:fldCharType="begin" w:fldLock="0"/>
      </w:r>
      <w:r>
        <w:rPr>
          <w:rStyle w:val="Hyperlink.0"/>
        </w:rPr>
        <w:instrText xml:space="preserve"> HYPERLINK \l "refbravorocca2023" </w:instrText>
      </w:r>
      <w:r>
        <w:rPr>
          <w:rStyle w:val="Hyperlink.0"/>
        </w:rPr>
        <w:fldChar w:fldCharType="separate" w:fldLock="0"/>
      </w:r>
      <w:r>
        <w:rPr>
          <w:rStyle w:val="Hyperlink.0"/>
          <w:rtl w:val="0"/>
        </w:rPr>
        <w:t>18</w:t>
      </w:r>
      <w:r>
        <w:rPr/>
        <w:fldChar w:fldCharType="end" w:fldLock="0"/>
      </w:r>
      <w:r>
        <w:rPr>
          <w:rStyle w:val="Section Number"/>
          <w:rtl w:val="0"/>
        </w:rPr>
        <w:t>,</w:t>
      </w:r>
      <w:r>
        <w:rPr>
          <w:rStyle w:val="Hyperlink.0"/>
        </w:rPr>
        <w:fldChar w:fldCharType="begin" w:fldLock="0"/>
      </w:r>
      <w:r>
        <w:rPr>
          <w:rStyle w:val="Hyperlink.0"/>
        </w:rPr>
        <w:instrText xml:space="preserve"> HYPERLINK \l "refmosqueirarey2023" </w:instrText>
      </w:r>
      <w:r>
        <w:rPr>
          <w:rStyle w:val="Hyperlink.0"/>
        </w:rPr>
        <w:fldChar w:fldCharType="separate" w:fldLock="0"/>
      </w:r>
      <w:r>
        <w:rPr>
          <w:rStyle w:val="Hyperlink.0"/>
          <w:rtl w:val="0"/>
        </w:rPr>
        <w:t>19</w:t>
      </w:r>
      <w:r>
        <w:rPr/>
        <w:fldChar w:fldCharType="end" w:fldLock="0"/>
      </w:r>
      <w:r>
        <w:rPr>
          <w:rStyle w:val="Section Number"/>
          <w:rtl w:val="0"/>
          <w:lang w:val="en-US"/>
        </w:rPr>
        <w:t xml:space="preserve">). This is essential given that current models are </w:t>
      </w:r>
      <w:r>
        <w:rPr>
          <w:rStyle w:val="Section Number"/>
          <w:rtl w:val="1"/>
          <w:lang w:val="ar-SA" w:bidi="ar-SA"/>
        </w:rPr>
        <w:t>“</w:t>
      </w:r>
      <w:r>
        <w:rPr>
          <w:rStyle w:val="Section Number"/>
          <w:rtl w:val="0"/>
          <w:lang w:val="en-US"/>
        </w:rPr>
        <w:t>not yet sufficiently accurate for unsupervised use</w:t>
      </w:r>
      <w:r>
        <w:rPr>
          <w:rStyle w:val="Section Number"/>
          <w:rtl w:val="0"/>
        </w:rPr>
        <w:t xml:space="preserve">” </w:t>
      </w:r>
      <w:r>
        <w:rPr>
          <w:rStyle w:val="Section Number"/>
          <w:rtl w:val="0"/>
          <w:lang w:val="en-US"/>
        </w:rPr>
        <w:t>in clinical settings (</w:t>
      </w:r>
      <w:r>
        <w:rPr>
          <w:rStyle w:val="Hyperlink.0"/>
        </w:rPr>
        <w:fldChar w:fldCharType="begin" w:fldLock="0"/>
      </w:r>
      <w:r>
        <w:rPr>
          <w:rStyle w:val="Hyperlink.0"/>
        </w:rPr>
        <w:instrText xml:space="preserve"> HYPERLINK \l "refziletti2024" </w:instrText>
      </w:r>
      <w:r>
        <w:rPr>
          <w:rStyle w:val="Hyperlink.0"/>
        </w:rPr>
        <w:fldChar w:fldCharType="separate" w:fldLock="0"/>
      </w:r>
      <w:r>
        <w:rPr>
          <w:rStyle w:val="Hyperlink.0"/>
          <w:rtl w:val="0"/>
        </w:rPr>
        <w:t>20</w:t>
      </w:r>
      <w:r>
        <w:rPr/>
        <w:fldChar w:fldCharType="end" w:fldLock="0"/>
      </w:r>
      <w:r>
        <w:rPr>
          <w:rStyle w:val="Section Number"/>
          <w:rtl w:val="0"/>
        </w:rPr>
        <w:t>).</w:t>
      </w:r>
    </w:p>
    <w:p>
      <w:pPr>
        <w:pStyle w:val="Body"/>
        <w:numPr>
          <w:ilvl w:val="0"/>
          <w:numId w:val="2"/>
        </w:numPr>
        <w:rPr>
          <w:lang w:val="it-IT"/>
        </w:rPr>
      </w:pPr>
      <w:r>
        <w:rPr>
          <w:rFonts w:ascii="Aptos" w:cs="Aptos" w:hAnsi="Aptos" w:eastAsia="Aptos"/>
          <w:i w:val="1"/>
          <w:iCs w:val="1"/>
          <w:rtl w:val="0"/>
          <w:lang w:val="it-IT"/>
        </w:rPr>
        <w:t>Storage</w:t>
      </w:r>
      <w:r>
        <w:rPr>
          <w:rStyle w:val="Section Number"/>
          <w:rtl w:val="0"/>
          <w:lang w:val="en-US"/>
        </w:rPr>
        <w:t>: Once validated, the NL-SQL-Rationale triple is stored in organizational memory as a durable knowledge artifact. The Rationale Metadata documents the query</w:t>
      </w:r>
      <w:r>
        <w:rPr>
          <w:rStyle w:val="Section Number"/>
          <w:rtl w:val="1"/>
        </w:rPr>
        <w:t>’</w:t>
      </w:r>
      <w:r>
        <w:rPr>
          <w:rStyle w:val="Section Number"/>
          <w:rtl w:val="0"/>
          <w:lang w:val="en-US"/>
        </w:rPr>
        <w:t xml:space="preserve">s business logic (e.g., </w:t>
      </w:r>
      <w:r>
        <w:rPr>
          <w:rStyle w:val="Section Number"/>
          <w:rtl w:val="1"/>
          <w:lang w:val="ar-SA" w:bidi="ar-SA"/>
        </w:rPr>
        <w:t>“</w:t>
      </w:r>
      <w:r>
        <w:rPr>
          <w:rStyle w:val="Section Number"/>
          <w:rtl w:val="0"/>
          <w:lang w:val="en-US"/>
        </w:rPr>
        <w:t>Excluding Hospice per 2025 CMS rules</w:t>
      </w:r>
      <w:r>
        <w:rPr>
          <w:rStyle w:val="Section Number"/>
          <w:rtl w:val="0"/>
        </w:rPr>
        <w:t>”</w:t>
      </w:r>
      <w:r>
        <w:rPr>
          <w:rStyle w:val="Section Number"/>
          <w:rtl w:val="0"/>
          <w:lang w:val="en-US"/>
        </w:rPr>
        <w:t>) and is a mandatory component of the triple.</w:t>
      </w:r>
    </w:p>
    <w:p>
      <w:pPr>
        <w:pStyle w:val="Body"/>
        <w:numPr>
          <w:ilvl w:val="0"/>
          <w:numId w:val="2"/>
        </w:numPr>
      </w:pPr>
      <w:r>
        <w:rPr>
          <w:rFonts w:ascii="Aptos" w:cs="Aptos" w:hAnsi="Aptos" w:eastAsia="Aptos"/>
          <w:i w:val="1"/>
          <w:iCs w:val="1"/>
          <w:rtl w:val="0"/>
        </w:rPr>
        <w:t>Retrieval</w:t>
      </w:r>
      <w:r>
        <w:rPr>
          <w:rStyle w:val="Section Number"/>
          <w:rtl w:val="0"/>
          <w:lang w:val="en-US"/>
        </w:rPr>
        <w:t>: When future users ask similar questions, the system retrieves relevant validated triples, reducing dependence on individual expertise.</w:t>
      </w:r>
    </w:p>
    <w:p>
      <w:pPr>
        <w:pStyle w:val="Body"/>
        <w:numPr>
          <w:ilvl w:val="0"/>
          <w:numId w:val="2"/>
        </w:numPr>
        <w:rPr>
          <w:lang w:val="en-US"/>
        </w:rPr>
      </w:pPr>
      <w:r>
        <w:rPr>
          <w:rFonts w:ascii="Aptos" w:cs="Aptos" w:hAnsi="Aptos" w:eastAsia="Aptos"/>
          <w:i w:val="1"/>
          <w:iCs w:val="1"/>
          <w:rtl w:val="0"/>
          <w:lang w:val="en-US"/>
        </w:rPr>
        <w:t>Persistence</w:t>
      </w:r>
      <w:r>
        <w:rPr>
          <w:rStyle w:val="Section Number"/>
          <w:rtl w:val="0"/>
          <w:lang w:val="en-US"/>
        </w:rPr>
        <w:t>: When the original expert leaves, their analytical knowledge remains embedded in the system. New staff inherit executable knowledge rather than starting from scratch.</w:t>
      </w:r>
    </w:p>
    <w:p>
      <w:pPr>
        <w:pStyle w:val="Captioned Figure"/>
      </w:pPr>
      <w:r>
        <w:rPr>
          <w:rStyle w:val="Section Number"/>
        </w:rPr>
        <w:drawing xmlns:a="http://schemas.openxmlformats.org/drawingml/2006/main">
          <wp:inline distT="0" distB="0" distL="0" distR="0">
            <wp:extent cx="2781771" cy="5729017"/>
            <wp:effectExtent l="0" t="0" r="0" b="0"/>
            <wp:docPr id="1073741826" name="officeArt object" descr="The Validated Query Cycle, shown as six numbered steps in the diagram. (1) Domain experts ask natural language questions, (2) the system generates candidate SQL, (3) AI provides a natural language explanation of the SQL logic; domain expert confirms the intent and results, (4) validated triples are stored, (5) future queries retrieve validated knowledge, and (6) expertise persists through staff turnover. This cycle breaks the compounding effect where turnover erases institutional memory."/>
            <wp:cNvGraphicFramePr/>
            <a:graphic xmlns:a="http://schemas.openxmlformats.org/drawingml/2006/main">
              <a:graphicData uri="http://schemas.openxmlformats.org/drawingml/2006/picture">
                <pic:pic xmlns:pic="http://schemas.openxmlformats.org/drawingml/2006/picture">
                  <pic:nvPicPr>
                    <pic:cNvPr id="1073741826" name="The Validated Query Cycle, shown as six numbered steps in the diagram. (1) Domain experts ask natural language questions, (2) the system generates candidate SQL, (3) AI provides a natural language explanation of the SQL logic; domain expert confirms the " descr="The Validated Query Cycle, shown as six numbered steps in the diagram. (1) Domain experts ask natural language questions, (2) the system generates candidate SQL, (3) AI provides a natural language explanation of the SQL logic; domain expert confirms the intent and results, (4) validated triples are stored, (5) future queries retrieve validated knowledge, and (6) expertise persists through staff turnover. This cycle breaks the compounding effect where turnover erases institutional memory."/>
                    <pic:cNvPicPr>
                      <a:picLocks noChangeAspect="1"/>
                    </pic:cNvPicPr>
                  </pic:nvPicPr>
                  <pic:blipFill>
                    <a:blip r:embed="rId5">
                      <a:extLst/>
                    </a:blip>
                    <a:stretch>
                      <a:fillRect/>
                    </a:stretch>
                  </pic:blipFill>
                  <pic:spPr>
                    <a:xfrm>
                      <a:off x="0" y="0"/>
                      <a:ext cx="2781771" cy="5729017"/>
                    </a:xfrm>
                    <a:prstGeom prst="rect">
                      <a:avLst/>
                    </a:prstGeom>
                    <a:ln w="12700" cap="flat">
                      <a:noFill/>
                      <a:miter lim="400000"/>
                    </a:ln>
                    <a:effectLst/>
                  </pic:spPr>
                </pic:pic>
              </a:graphicData>
            </a:graphic>
          </wp:inline>
        </w:drawing>
      </w:r>
    </w:p>
    <w:p>
      <w:pPr>
        <w:pStyle w:val="Image Caption"/>
      </w:pPr>
      <w:r>
        <w:rPr>
          <w:rtl w:val="0"/>
        </w:rPr>
        <w:t xml:space="preserve">Figure 2. </w:t>
      </w:r>
      <w:r>
        <w:rPr>
          <w:rStyle w:val="Section Number"/>
          <w:rtl w:val="0"/>
          <w:lang w:val="en-US"/>
        </w:rPr>
        <w:t>The Validated Query Cycle, shown as six numbered steps in the diagram. (1) Domain experts ask natural language questions, (2) the system generates candidate SQL, (3) AI provides a natural language explanation of the SQL logic; domain expert confirms the intent and results, (4) validated triples are stored, (5) future queries retrieve validated knowledge, and (6) expertise persists through staff turnover. This cycle breaks the compounding effect where turnover erases institutional memory.</w:t>
      </w:r>
    </w:p>
    <w:p>
      <w:pPr>
        <w:pStyle w:val="Body Text"/>
      </w:pPr>
      <w:r>
        <w:rPr>
          <w:rStyle w:val="Section Number"/>
          <w:rtl w:val="0"/>
          <w:lang w:val="en-US"/>
        </w:rPr>
        <w:t>This cycle breaks the compounding effect identified in the three-pillar framework: turnover no longer erases analytical knowledge because expertise is embedded in validated query triples rather than individual memory. Low-maturity organizations can accelerate advancement by accumulating validated queries, and technical barriers are reduced because new staff access proven query patterns rather than recreating analytical logic.</w:t>
      </w:r>
      <w:bookmarkEnd w:id="21"/>
    </w:p>
    <w:p>
      <w:pPr>
        <w:pStyle w:val="Heading 2"/>
      </w:pPr>
      <w:bookmarkStart w:name="_Toc11" w:id="22"/>
      <w:bookmarkStart w:name="documentstructure" w:id="23"/>
      <w:r>
        <w:rPr>
          <w:rStyle w:val="Section Number"/>
          <w:rtl w:val="0"/>
          <w:lang w:val="en-US"/>
        </w:rPr>
        <w:t>1.7</w:t>
        <w:tab/>
        <w:t>Document Structure</w:t>
      </w:r>
      <w:bookmarkEnd w:id="22"/>
    </w:p>
    <w:p>
      <w:pPr>
        <w:pStyle w:val="First Paragraph"/>
      </w:pPr>
      <w:r>
        <w:rPr>
          <w:rStyle w:val="Section Number"/>
          <w:rtl w:val="0"/>
          <w:lang w:val="en-US"/>
        </w:rPr>
        <w:t>Following this introduction, the paper proceeds through five main sections. The Methodology section describes the narrative review approach, literature search strategy, and source selection criteria. The Framework Development section documents how the three-pillar framework emerged from the literature and its theoretical grounding. The Literature Review synthesizes evidence across the three pillar domains: natural language to SQL generation, analytics maturity, and workforce dynamics. The Discussion examines implications, limitations, and future research directions. Finally, the Conclusion summarizes the three-pillar analytical framework as this paper</w:t>
      </w:r>
      <w:r>
        <w:rPr>
          <w:rStyle w:val="Section Number"/>
          <w:rtl w:val="0"/>
          <w:lang w:val="en-US"/>
        </w:rPr>
        <w:t>’</w:t>
      </w:r>
      <w:r>
        <w:rPr>
          <w:rStyle w:val="Section Number"/>
          <w:rtl w:val="0"/>
          <w:lang w:val="en-US"/>
        </w:rPr>
        <w:t>s primary contribution to healthcare informatics literature.</w:t>
      </w:r>
      <w:bookmarkEnd w:id="23"/>
    </w:p>
    <w:p>
      <w:pPr>
        <w:pStyle w:val="Heading"/>
      </w:pPr>
      <w:bookmarkStart w:name="_Toc12" w:id="24"/>
      <w:bookmarkStart w:name="methodology" w:id="25"/>
      <w:r>
        <w:rPr>
          <w:rStyle w:val="Section Number"/>
          <w:rtl w:val="0"/>
          <w:lang w:val="en-US"/>
        </w:rPr>
        <w:t>2</w:t>
        <w:tab/>
        <w:t>Methodology</w:t>
      </w:r>
      <w:bookmarkEnd w:id="25"/>
      <w:bookmarkEnd w:id="24"/>
    </w:p>
    <w:p>
      <w:pPr>
        <w:pStyle w:val="Heading 2"/>
      </w:pPr>
      <w:bookmarkStart w:name="_Toc13" w:id="26"/>
      <w:bookmarkStart w:name="reviewapproach" w:id="27"/>
      <w:r>
        <w:rPr>
          <w:rStyle w:val="Section Number"/>
          <w:rtl w:val="0"/>
          <w:lang w:val="en-US"/>
        </w:rPr>
        <w:t>2.1</w:t>
        <w:tab/>
        <w:t>Review Approach</w:t>
      </w:r>
      <w:bookmarkEnd w:id="26"/>
    </w:p>
    <w:p>
      <w:pPr>
        <w:pStyle w:val="First Paragraph"/>
      </w:pPr>
      <w:r>
        <w:rPr>
          <w:rStyle w:val="Section Number"/>
          <w:rtl w:val="0"/>
          <w:lang w:val="en-US"/>
        </w:rPr>
        <w:t>This paper employs a narrative review methodology to synthesize evidence across the three pillars of the framework: analytics maturity, workforce agility, and technical enablement (specifically natural language to SQL generation). Unlike systematic reviews that follow pre-registered protocols with exhaustive searches, narrative reviews provide expert synthesis of relevant literature to construct coherent arguments and identify patterns across diverse evidence sources.</w:t>
      </w:r>
    </w:p>
    <w:p>
      <w:pPr>
        <w:pStyle w:val="Body Text"/>
      </w:pPr>
      <w:r>
        <w:rPr>
          <w:rStyle w:val="Section Number"/>
          <w:rtl w:val="0"/>
          <w:lang w:val="en-US"/>
        </w:rPr>
        <w:t>The narrative review approach was selected because:</w:t>
      </w:r>
    </w:p>
    <w:p>
      <w:pPr>
        <w:pStyle w:val="Compact"/>
        <w:numPr>
          <w:ilvl w:val="0"/>
          <w:numId w:val="8"/>
        </w:numPr>
        <w:rPr>
          <w:lang w:val="en-US"/>
        </w:rPr>
      </w:pPr>
      <w:r>
        <w:rPr>
          <w:rFonts w:ascii="Aptos" w:cs="Aptos" w:hAnsi="Aptos" w:eastAsia="Aptos"/>
          <w:i w:val="1"/>
          <w:iCs w:val="1"/>
          <w:rtl w:val="0"/>
          <w:lang w:val="en-US"/>
        </w:rPr>
        <w:t>Integration across domains</w:t>
      </w:r>
      <w:r>
        <w:rPr>
          <w:rStyle w:val="Section Number"/>
          <w:rtl w:val="0"/>
          <w:lang w:val="en-US"/>
        </w:rPr>
        <w:t>: The paper synthesizes evidence from distinct fields (clinical informatics, human resources, natural language processing) that require interpretive integration rather than statistical pooling</w:t>
      </w:r>
    </w:p>
    <w:p>
      <w:pPr>
        <w:pStyle w:val="Compact"/>
        <w:numPr>
          <w:ilvl w:val="0"/>
          <w:numId w:val="2"/>
        </w:numPr>
        <w:rPr>
          <w:lang w:val="en-US"/>
        </w:rPr>
      </w:pPr>
      <w:r>
        <w:rPr>
          <w:rFonts w:ascii="Aptos" w:cs="Aptos" w:hAnsi="Aptos" w:eastAsia="Aptos"/>
          <w:i w:val="1"/>
          <w:iCs w:val="1"/>
          <w:rtl w:val="0"/>
          <w:lang w:val="en-US"/>
        </w:rPr>
        <w:t>Original analytical framework</w:t>
      </w:r>
      <w:r>
        <w:rPr>
          <w:rStyle w:val="Section Number"/>
          <w:rtl w:val="0"/>
          <w:lang w:val="en-US"/>
        </w:rPr>
        <w:t>: The three-pillar framework emerged iteratively from the literature rather than being pre-specified</w:t>
      </w:r>
    </w:p>
    <w:p>
      <w:pPr>
        <w:pStyle w:val="Compact"/>
        <w:numPr>
          <w:ilvl w:val="0"/>
          <w:numId w:val="2"/>
        </w:numPr>
        <w:rPr>
          <w:lang w:val="en-US"/>
        </w:rPr>
      </w:pPr>
      <w:r>
        <w:rPr>
          <w:rFonts w:ascii="Aptos" w:cs="Aptos" w:hAnsi="Aptos" w:eastAsia="Aptos"/>
          <w:i w:val="1"/>
          <w:iCs w:val="1"/>
          <w:rtl w:val="0"/>
          <w:lang w:val="en-US"/>
        </w:rPr>
        <w:t>Heterogeneous evidence types</w:t>
      </w:r>
      <w:r>
        <w:rPr>
          <w:rStyle w:val="Section Number"/>
          <w:rtl w:val="0"/>
          <w:lang w:val="en-US"/>
        </w:rPr>
        <w:t>: The evidence base includes peer-reviewed research, industry reports, and benchmark datasets that cannot be meaningfully combined through meta-analysis</w:t>
      </w:r>
      <w:bookmarkEnd w:id="27"/>
    </w:p>
    <w:p>
      <w:pPr>
        <w:pStyle w:val="Heading 2"/>
      </w:pPr>
      <w:bookmarkStart w:name="_Toc14" w:id="28"/>
      <w:bookmarkStart w:name="Xf2ae6b5569e3cc2d825c333516e88defbb1cd04" w:id="29"/>
      <w:r>
        <w:rPr>
          <w:rStyle w:val="Section Number"/>
          <w:rtl w:val="0"/>
          <w:lang w:val="en-US"/>
        </w:rPr>
        <w:t>2.2</w:t>
        <w:tab/>
        <w:t>Stage 1: Identification and Targeted Queries</w:t>
      </w:r>
      <w:bookmarkEnd w:id="28"/>
    </w:p>
    <w:p>
      <w:pPr>
        <w:pStyle w:val="First Paragraph"/>
      </w:pPr>
      <w:r>
        <w:rPr>
          <w:rStyle w:val="Section Number"/>
          <w:rtl w:val="0"/>
          <w:lang w:val="en-US"/>
        </w:rPr>
        <w:t>Literature was identified through multiple channels between January 2023 and December 2025:</w:t>
      </w:r>
    </w:p>
    <w:p>
      <w:pPr>
        <w:pStyle w:val="Body Text"/>
      </w:pPr>
      <w:r>
        <w:rPr>
          <w:rStyle w:val="Section Number"/>
          <w:rtl w:val="0"/>
          <w:lang w:val="en-US"/>
        </w:rPr>
        <w:t>Academic Databases:</w:t>
      </w:r>
    </w:p>
    <w:p>
      <w:pPr>
        <w:pStyle w:val="Compact"/>
        <w:numPr>
          <w:ilvl w:val="0"/>
          <w:numId w:val="4"/>
        </w:numPr>
        <w:rPr>
          <w:lang w:val="en-US"/>
        </w:rPr>
      </w:pPr>
      <w:r>
        <w:rPr>
          <w:rStyle w:val="Section Number"/>
          <w:rtl w:val="0"/>
          <w:lang w:val="en-US"/>
        </w:rPr>
        <w:t>Crossref: Cross-disciplinary academic literature, citation metadata</w:t>
      </w:r>
    </w:p>
    <w:p>
      <w:pPr>
        <w:pStyle w:val="Compact"/>
        <w:numPr>
          <w:ilvl w:val="0"/>
          <w:numId w:val="4"/>
        </w:numPr>
        <w:rPr>
          <w:lang w:val="en-US"/>
        </w:rPr>
      </w:pPr>
      <w:r>
        <w:rPr>
          <w:rStyle w:val="Section Number"/>
          <w:rtl w:val="0"/>
          <w:lang w:val="en-US"/>
        </w:rPr>
        <w:t>PubMed: Clinical informatics, healthcare workforce, medical administration</w:t>
      </w:r>
    </w:p>
    <w:p>
      <w:pPr>
        <w:pStyle w:val="Compact"/>
        <w:numPr>
          <w:ilvl w:val="0"/>
          <w:numId w:val="4"/>
        </w:numPr>
        <w:rPr>
          <w:lang w:val="en-US"/>
        </w:rPr>
      </w:pPr>
      <w:r>
        <w:rPr>
          <w:rStyle w:val="Section Number"/>
          <w:rtl w:val="0"/>
          <w:lang w:val="en-US"/>
        </w:rPr>
        <w:t>arXiv: Machine learning and NLP preprints, benchmark studies</w:t>
      </w:r>
    </w:p>
    <w:p>
      <w:pPr>
        <w:pStyle w:val="Compact"/>
        <w:numPr>
          <w:ilvl w:val="0"/>
          <w:numId w:val="4"/>
        </w:numPr>
        <w:rPr>
          <w:lang w:val="en-US"/>
        </w:rPr>
      </w:pPr>
      <w:r>
        <w:rPr>
          <w:rStyle w:val="Section Number"/>
          <w:rtl w:val="0"/>
          <w:lang w:val="en-US"/>
        </w:rPr>
        <w:t>Semantic Scholar: AI and computer science papers, citation analysis</w:t>
      </w:r>
    </w:p>
    <w:p>
      <w:pPr>
        <w:pStyle w:val="First Paragraph"/>
      </w:pPr>
      <w:r>
        <w:rPr>
          <w:rStyle w:val="Section Number"/>
          <w:rtl w:val="0"/>
          <w:lang w:val="en-US"/>
        </w:rPr>
        <w:t>Industry Sources:</w:t>
      </w:r>
    </w:p>
    <w:p>
      <w:pPr>
        <w:pStyle w:val="Compact"/>
        <w:numPr>
          <w:ilvl w:val="0"/>
          <w:numId w:val="4"/>
        </w:numPr>
        <w:rPr>
          <w:lang w:val="en-US"/>
        </w:rPr>
      </w:pPr>
      <w:r>
        <w:rPr>
          <w:rStyle w:val="Section Number"/>
          <w:rtl w:val="0"/>
          <w:lang w:val="en-US"/>
        </w:rPr>
        <w:t>HIMSS: Analytics Maturity Model documentation and industry standards</w:t>
      </w:r>
    </w:p>
    <w:p>
      <w:pPr>
        <w:pStyle w:val="Compact"/>
        <w:numPr>
          <w:ilvl w:val="0"/>
          <w:numId w:val="4"/>
        </w:numPr>
        <w:rPr>
          <w:lang w:val="en-US"/>
        </w:rPr>
      </w:pPr>
      <w:r>
        <w:rPr>
          <w:rStyle w:val="Section Number"/>
          <w:rtl w:val="0"/>
          <w:lang w:val="en-US"/>
        </w:rPr>
        <w:t>Healthcare providers: NHS Trust implementation case studies</w:t>
      </w:r>
    </w:p>
    <w:p>
      <w:pPr>
        <w:pStyle w:val="Compact"/>
        <w:numPr>
          <w:ilvl w:val="0"/>
          <w:numId w:val="4"/>
        </w:numPr>
        <w:rPr>
          <w:lang w:val="en-US"/>
        </w:rPr>
      </w:pPr>
      <w:r>
        <w:rPr>
          <w:rStyle w:val="Section Number"/>
          <w:rtl w:val="0"/>
          <w:lang w:val="en-US"/>
        </w:rPr>
        <w:t>Market research: Precedence Research, Forrester analyst reports</w:t>
      </w:r>
    </w:p>
    <w:p>
      <w:pPr>
        <w:pStyle w:val="Compact"/>
        <w:numPr>
          <w:ilvl w:val="0"/>
          <w:numId w:val="4"/>
        </w:numPr>
        <w:rPr>
          <w:lang w:val="en-US"/>
        </w:rPr>
      </w:pPr>
      <w:r>
        <w:rPr>
          <w:rStyle w:val="Section Number"/>
          <w:rtl w:val="0"/>
          <w:lang w:val="en-US"/>
        </w:rPr>
        <w:t>Technology vendors: Health Catalyst, Oracle, Anthropic technical documentation</w:t>
      </w:r>
    </w:p>
    <w:p>
      <w:pPr>
        <w:pStyle w:val="Compact"/>
        <w:numPr>
          <w:ilvl w:val="0"/>
          <w:numId w:val="4"/>
        </w:numPr>
        <w:rPr>
          <w:lang w:val="en-US"/>
        </w:rPr>
      </w:pPr>
      <w:r>
        <w:rPr>
          <w:rStyle w:val="Section Number"/>
          <w:rtl w:val="0"/>
          <w:lang w:val="en-US"/>
        </w:rPr>
        <w:t>Professional associations: AHIMA/NORC workforce surveys</w:t>
      </w:r>
    </w:p>
    <w:p>
      <w:pPr>
        <w:pStyle w:val="Compact"/>
        <w:numPr>
          <w:ilvl w:val="0"/>
          <w:numId w:val="4"/>
        </w:numPr>
        <w:rPr>
          <w:lang w:val="en-US"/>
        </w:rPr>
      </w:pPr>
      <w:r>
        <w:rPr>
          <w:rStyle w:val="Section Number"/>
          <w:rtl w:val="0"/>
          <w:lang w:val="en-US"/>
        </w:rPr>
        <w:t>Business news: IBM, CNBC coverage of healthcare analytics ventures</w:t>
      </w:r>
    </w:p>
    <w:p>
      <w:pPr>
        <w:pStyle w:val="First Paragraph"/>
      </w:pPr>
      <w:r>
        <w:rPr>
          <w:rStyle w:val="Section Number"/>
          <w:rtl w:val="0"/>
          <w:lang w:val="en-US"/>
        </w:rPr>
        <w:t>Search Concepts and Results:</w:t>
      </w:r>
    </w:p>
    <w:p>
      <w:pPr>
        <w:pStyle w:val="Body Text"/>
      </w:pPr>
      <w:r>
        <w:rPr>
          <w:rStyle w:val="Section Number"/>
          <w:rtl w:val="0"/>
          <w:lang w:val="en-US"/>
        </w:rPr>
        <w:t>Search terms emerged iteratively and were organized around the three-pillar framework. Table 1 summarizes the search concepts and results by source.</w:t>
      </w:r>
    </w:p>
    <w:p>
      <w:pPr>
        <w:pStyle w:val="Table Caption"/>
      </w:pPr>
      <w:r>
        <w:rPr>
          <w:rtl w:val="0"/>
        </w:rPr>
        <w:t xml:space="preserve">Table 1. </w:t>
      </w:r>
      <w:r>
        <w:rPr>
          <w:rStyle w:val="Section Number"/>
          <w:rtl w:val="0"/>
          <w:lang w:val="en-US"/>
        </w:rPr>
        <w:t>Initial search results by database source. Numbers in parentheses indicate studies passing initial screening. Search concepts: Analytics Maturity (</w:t>
      </w:r>
      <w:r>
        <w:rPr>
          <w:rStyle w:val="Section Number"/>
          <w:rtl w:val="0"/>
          <w:lang w:val="en-US"/>
        </w:rPr>
        <w:t>“</w:t>
      </w:r>
      <w:r>
        <w:rPr>
          <w:rStyle w:val="Section Number"/>
          <w:rtl w:val="0"/>
          <w:lang w:val="en-US"/>
        </w:rPr>
        <w:t>healthcare analytics maturity</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HIMSS AMAM</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analytics adoption</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big data analytics adoption</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resistance to change</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analytics standardization failure</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low-code ROI</w:t>
      </w:r>
      <w:r>
        <w:rPr>
          <w:rStyle w:val="Section Number"/>
          <w:rtl w:val="0"/>
          <w:lang w:val="en-US"/>
        </w:rPr>
        <w:t>”</w:t>
      </w:r>
      <w:r>
        <w:rPr>
          <w:rStyle w:val="Section Number"/>
          <w:rtl w:val="0"/>
          <w:lang w:val="en-US"/>
        </w:rPr>
        <w:t>); Workforce Agility (</w:t>
      </w:r>
      <w:r>
        <w:rPr>
          <w:rStyle w:val="Section Number"/>
          <w:rtl w:val="0"/>
          <w:lang w:val="en-US"/>
        </w:rPr>
        <w:t>“</w:t>
      </w:r>
      <w:r>
        <w:rPr>
          <w:rStyle w:val="Section Number"/>
          <w:rtl w:val="0"/>
          <w:lang w:val="en-US"/>
        </w:rPr>
        <w:t>healthcare IT tenure</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IT training time</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turnover cost</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institutional memory loss</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organizational forgetting</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competence loss</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knowledge portal</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SECI model</w:t>
      </w:r>
      <w:r>
        <w:rPr>
          <w:rStyle w:val="Section Number"/>
          <w:rtl w:val="0"/>
          <w:lang w:val="en-US"/>
        </w:rPr>
        <w:t>”</w:t>
      </w:r>
      <w:r>
        <w:rPr>
          <w:rStyle w:val="Section Number"/>
          <w:rtl w:val="0"/>
          <w:lang w:val="en-US"/>
        </w:rPr>
        <w:t>); Technical Enablement (</w:t>
      </w:r>
      <w:r>
        <w:rPr>
          <w:rStyle w:val="Section Number"/>
          <w:rtl w:val="0"/>
          <w:lang w:val="en-US"/>
        </w:rPr>
        <w:t>“</w:t>
      </w:r>
      <w:r>
        <w:rPr>
          <w:rStyle w:val="Section Number"/>
          <w:rtl w:val="0"/>
          <w:lang w:val="en-US"/>
        </w:rPr>
        <w:t>NL2SQL healthcare</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text-to-SQL clinical</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MIMICSQL</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EHRSQL</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schema discovery</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semantic column matching</w:t>
      </w:r>
      <w:r>
        <w:rPr>
          <w:rStyle w:val="Section Number"/>
          <w:rtl w:val="0"/>
          <w:lang w:val="en-US"/>
        </w:rPr>
        <w:t>”</w:t>
      </w:r>
      <w:r>
        <w:rPr>
          <w:rStyle w:val="Section Number"/>
          <w:rtl w:val="0"/>
          <w:lang w:val="en-US"/>
        </w:rPr>
        <w:t xml:space="preserve">, </w:t>
      </w:r>
      <w:r>
        <w:rPr>
          <w:rStyle w:val="Section Number"/>
          <w:rtl w:val="0"/>
          <w:lang w:val="en-US"/>
        </w:rPr>
        <w:t>“</w:t>
      </w:r>
      <w:r>
        <w:rPr>
          <w:rStyle w:val="Section Number"/>
          <w:rtl w:val="0"/>
          <w:lang w:val="en-US"/>
        </w:rPr>
        <w:t>vector embeddings</w:t>
      </w:r>
      <w:r>
        <w:rPr>
          <w:rStyle w:val="Section Number"/>
          <w:rtl w:val="0"/>
          <w:lang w:val="en-US"/>
        </w:rPr>
        <w:t>”</w:t>
      </w:r>
      <w:r>
        <w:rPr>
          <w:rStyle w:val="Section Number"/>
          <w:rtl w:val="0"/>
          <w:lang w:val="en-US"/>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60"/>
        <w:gridCol w:w="1560"/>
        <w:gridCol w:w="1560"/>
        <w:gridCol w:w="1560"/>
        <w:gridCol w:w="1560"/>
        <w:gridCol w:w="1560"/>
      </w:tblGrid>
      <w:tr>
        <w:tblPrEx>
          <w:shd w:val="clear" w:color="auto" w:fill="156082"/>
        </w:tblPrEx>
        <w:trPr>
          <w:trHeight w:val="692" w:hRule="atLeast"/>
          <w:tblHeader/>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Pillar</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Crossref</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PubMed</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arXiv</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Semantic Scholar</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Total (Screened)</w:t>
            </w:r>
          </w:p>
        </w:tc>
      </w:tr>
      <w:tr>
        <w:tblPrEx>
          <w:shd w:val="clear" w:color="auto" w:fill="cad1d7"/>
        </w:tblPrEx>
        <w:trPr>
          <w:trHeight w:val="56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i w:val="1"/>
                <w:iCs w:val="1"/>
                <w:shd w:val="nil" w:color="auto" w:fill="auto"/>
                <w:rtl w:val="0"/>
                <w:lang w:val="en-US"/>
              </w:rPr>
              <w:t>Analytics Maturity</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285</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285 (15)</w:t>
            </w:r>
          </w:p>
        </w:tc>
      </w:tr>
      <w:tr>
        <w:tblPrEx>
          <w:shd w:val="clear" w:color="auto" w:fill="cad1d7"/>
        </w:tblPrEx>
        <w:trPr>
          <w:trHeight w:val="56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i w:val="1"/>
                <w:iCs w:val="1"/>
                <w:shd w:val="nil" w:color="auto" w:fill="auto"/>
                <w:rtl w:val="0"/>
                <w:lang w:val="en-US"/>
              </w:rPr>
              <w:t>Workforce Agility</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142</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142 (12)</w:t>
            </w:r>
          </w:p>
        </w:tc>
      </w:tr>
      <w:tr>
        <w:tblPrEx>
          <w:shd w:val="clear" w:color="auto" w:fill="cad1d7"/>
        </w:tblPrEx>
        <w:trPr>
          <w:trHeight w:val="692"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i w:val="1"/>
                <w:iCs w:val="1"/>
                <w:shd w:val="nil" w:color="auto" w:fill="auto"/>
                <w:rtl w:val="0"/>
                <w:lang w:val="en-US"/>
              </w:rPr>
              <w:t>Technical Enablement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71</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72</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143 (14)</w:t>
            </w:r>
          </w:p>
        </w:tc>
      </w:tr>
      <w:tr>
        <w:tblPrEx>
          <w:shd w:val="clear" w:color="auto" w:fill="cad1d7"/>
        </w:tblPrEx>
        <w:trPr>
          <w:trHeight w:val="280" w:hRule="atLeast"/>
        </w:trPr>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Total</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285</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142</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71</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72</w:t>
            </w:r>
          </w:p>
        </w:tc>
        <w:tc>
          <w:tcPr>
            <w:tcW w:type="dxa" w:w="156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570 (41)</w:t>
            </w:r>
          </w:p>
        </w:tc>
      </w:tr>
    </w:tbl>
    <w:p>
      <w:pPr>
        <w:pStyle w:val="Table Caption"/>
        <w:widowControl w:val="0"/>
      </w:pPr>
    </w:p>
    <w:p>
      <w:pPr>
        <w:pStyle w:val="Body Text"/>
      </w:pPr>
      <w:r>
        <w:rPr>
          <w:rStyle w:val="Section Number"/>
          <w:rtl w:val="0"/>
          <w:lang w:val="en-US"/>
        </w:rPr>
        <w:t>The final corpus includes 115 academic and 20 industry sources (135 total). Targeted queries were employed to address specific evidence gaps identified during the synthesis process.</w:t>
      </w:r>
    </w:p>
    <w:p>
      <w:pPr>
        <w:pStyle w:val="Body Text"/>
      </w:pPr>
      <w:r>
        <w:rPr>
          <w:rStyle w:val="Section Number"/>
          <w:rtl w:val="0"/>
          <w:lang w:val="en-US"/>
        </w:rPr>
        <w:t>Figure 3 illustrates the literature selection process, showing progression from initial database search through screening and quality assessment to the final corpus of included sources.</w:t>
      </w:r>
    </w:p>
    <w:p>
      <w:pPr>
        <w:pStyle w:val="Captioned Figure"/>
      </w:pPr>
      <w:r>
        <w:rPr>
          <w:rStyle w:val="Section Number"/>
        </w:rPr>
        <w:drawing xmlns:a="http://schemas.openxmlformats.org/drawingml/2006/main">
          <wp:inline distT="0" distB="0" distL="0" distR="0">
            <wp:extent cx="4939573" cy="6304949"/>
            <wp:effectExtent l="0" t="0" r="0" b="0"/>
            <wp:docPr id="1073741827" name="officeArt object" descr="Literature Selection Flow Diagram. The diagram shows the progression from initial database search (n ≈ 570) through title/abstract screening, full-text review, and quality assessment (AACODS for grey literature) to the final corpus of 137 sources (125 academic, 12 industry). Diagram source available in figures/literature-flow.mmd."/>
            <wp:cNvGraphicFramePr/>
            <a:graphic xmlns:a="http://schemas.openxmlformats.org/drawingml/2006/main">
              <a:graphicData uri="http://schemas.openxmlformats.org/drawingml/2006/picture">
                <pic:pic xmlns:pic="http://schemas.openxmlformats.org/drawingml/2006/picture">
                  <pic:nvPicPr>
                    <pic:cNvPr id="1073741827" name="Literature Selection Flow Diagram. The diagram shows the progression from initial database search (n ≈ 570) through title/abstract screening, full-text review, and quality assessment (AACODS for grey literature) to the final corpus of 137 sources (125 ac" descr="Literature Selection Flow Diagram. The diagram shows the progression from initial database search (n ≈ 570) through title/abstract screening, full-text review, and quality assessment (AACODS for grey literature) to the final corpus of 137 sources (125 academic, 12 industry). Diagram source available in figures/literature-flow.mmd."/>
                    <pic:cNvPicPr>
                      <a:picLocks noChangeAspect="1"/>
                    </pic:cNvPicPr>
                  </pic:nvPicPr>
                  <pic:blipFill>
                    <a:blip r:embed="rId6">
                      <a:extLst/>
                    </a:blip>
                    <a:stretch>
                      <a:fillRect/>
                    </a:stretch>
                  </pic:blipFill>
                  <pic:spPr>
                    <a:xfrm>
                      <a:off x="0" y="0"/>
                      <a:ext cx="4939573" cy="6304949"/>
                    </a:xfrm>
                    <a:prstGeom prst="rect">
                      <a:avLst/>
                    </a:prstGeom>
                    <a:ln w="12700" cap="flat">
                      <a:noFill/>
                      <a:miter lim="400000"/>
                    </a:ln>
                    <a:effectLst/>
                  </pic:spPr>
                </pic:pic>
              </a:graphicData>
            </a:graphic>
          </wp:inline>
        </w:drawing>
      </w:r>
    </w:p>
    <w:p>
      <w:pPr>
        <w:pStyle w:val="Image Caption"/>
      </w:pPr>
      <w:r>
        <w:rPr>
          <w:rtl w:val="0"/>
        </w:rPr>
        <w:t xml:space="preserve">Figure 3. </w:t>
      </w:r>
      <w:r>
        <w:rPr>
          <w:rStyle w:val="Section Number"/>
          <w:rtl w:val="0"/>
          <w:lang w:val="en-US"/>
        </w:rPr>
        <w:t xml:space="preserve">Literature Selection Flow Diagram. The diagram shows the progression from initial database search (n </w:t>
      </w:r>
      <w:r>
        <w:rPr>
          <w:rStyle w:val="Section Number"/>
          <w:rtl w:val="0"/>
          <w:lang w:val="en-US"/>
        </w:rPr>
        <w:t xml:space="preserve">≈ </w:t>
      </w:r>
      <w:r>
        <w:rPr>
          <w:rStyle w:val="Section Number"/>
          <w:rtl w:val="0"/>
          <w:lang w:val="en-US"/>
        </w:rPr>
        <w:t>570) through title/abstract screening, full-text review, and quality assessment (AACODS for grey literature) to the final corpus of 137 sources (125 academic, 12 industry). Diagram source available in figures/literature-flow.mmd.</w:t>
      </w:r>
      <w:bookmarkEnd w:id="29"/>
    </w:p>
    <w:p>
      <w:pPr>
        <w:pStyle w:val="Heading 2"/>
      </w:pPr>
      <w:bookmarkStart w:name="_Toc15" w:id="30"/>
      <w:bookmarkStart w:name="stage2screeningandselection" w:id="31"/>
      <w:r>
        <w:rPr>
          <w:rStyle w:val="Section Number"/>
          <w:rtl w:val="0"/>
          <w:lang w:val="en-US"/>
        </w:rPr>
        <w:t>2.3</w:t>
        <w:tab/>
        <w:t>Stage 2: Screening and Selection</w:t>
      </w:r>
      <w:bookmarkEnd w:id="30"/>
    </w:p>
    <w:p>
      <w:pPr>
        <w:pStyle w:val="First Paragraph"/>
      </w:pPr>
      <w:r>
        <w:rPr>
          <w:rStyle w:val="Section Number"/>
          <w:rtl w:val="0"/>
          <w:lang w:val="en-US"/>
        </w:rPr>
        <w:t>Sources were selected based on the following criteria:</w:t>
      </w:r>
    </w:p>
    <w:p>
      <w:pPr>
        <w:pStyle w:val="Body Text"/>
      </w:pPr>
      <w:r>
        <w:rPr>
          <w:rStyle w:val="Section Number"/>
          <w:rtl w:val="0"/>
          <w:lang w:val="en-US"/>
        </w:rPr>
        <w:t>Inclusion Criteria:</w:t>
      </w:r>
    </w:p>
    <w:p>
      <w:pPr>
        <w:pStyle w:val="Compact"/>
        <w:numPr>
          <w:ilvl w:val="0"/>
          <w:numId w:val="4"/>
        </w:numPr>
        <w:rPr>
          <w:lang w:val="en-US"/>
        </w:rPr>
      </w:pPr>
      <w:r>
        <w:rPr>
          <w:rStyle w:val="Section Number"/>
          <w:rtl w:val="0"/>
          <w:lang w:val="en-US"/>
        </w:rPr>
        <w:t>Peer-reviewed publications in healthcare informatics, medical informatics, computer science, or health services research</w:t>
      </w:r>
    </w:p>
    <w:p>
      <w:pPr>
        <w:pStyle w:val="Compact"/>
        <w:numPr>
          <w:ilvl w:val="0"/>
          <w:numId w:val="4"/>
        </w:numPr>
        <w:rPr>
          <w:lang w:val="en-US"/>
        </w:rPr>
      </w:pPr>
      <w:r>
        <w:rPr>
          <w:rStyle w:val="Section Number"/>
          <w:rtl w:val="0"/>
          <w:lang w:val="en-US"/>
        </w:rPr>
        <w:t>Industry reports from established healthcare IT organizations (HIMSS, AHIMA, AMIA)</w:t>
      </w:r>
    </w:p>
    <w:p>
      <w:pPr>
        <w:pStyle w:val="Compact"/>
        <w:numPr>
          <w:ilvl w:val="0"/>
          <w:numId w:val="4"/>
        </w:numPr>
        <w:rPr>
          <w:lang w:val="en-US"/>
        </w:rPr>
      </w:pPr>
      <w:r>
        <w:rPr>
          <w:rStyle w:val="Section Number"/>
          <w:rtl w:val="0"/>
          <w:lang w:val="en-US"/>
        </w:rPr>
        <w:t>Publications from 2015-current, with emphasis on 2020-current for rapidly evolving NL2SQL technologies</w:t>
      </w:r>
    </w:p>
    <w:p>
      <w:pPr>
        <w:pStyle w:val="Compact"/>
        <w:numPr>
          <w:ilvl w:val="0"/>
          <w:numId w:val="4"/>
        </w:numPr>
        <w:rPr>
          <w:lang w:val="en-US"/>
        </w:rPr>
      </w:pPr>
      <w:r>
        <w:rPr>
          <w:rStyle w:val="Section Number"/>
          <w:rtl w:val="0"/>
          <w:lang w:val="en-US"/>
        </w:rPr>
        <w:t>English language publications</w:t>
      </w:r>
    </w:p>
    <w:p>
      <w:pPr>
        <w:pStyle w:val="Compact"/>
        <w:numPr>
          <w:ilvl w:val="0"/>
          <w:numId w:val="4"/>
        </w:numPr>
        <w:rPr>
          <w:lang w:val="en-US"/>
        </w:rPr>
      </w:pPr>
      <w:r>
        <w:rPr>
          <w:rStyle w:val="Section Number"/>
          <w:rtl w:val="0"/>
          <w:lang w:val="en-US"/>
        </w:rPr>
        <w:t>Sources with verifiable DOIs, URLs, or institutional attribution</w:t>
      </w:r>
    </w:p>
    <w:p>
      <w:pPr>
        <w:pStyle w:val="First Paragraph"/>
      </w:pPr>
      <w:r>
        <w:rPr>
          <w:rStyle w:val="Section Number"/>
          <w:rtl w:val="0"/>
          <w:lang w:val="en-US"/>
        </w:rPr>
        <w:t>Exclusion Criteria:</w:t>
      </w:r>
    </w:p>
    <w:p>
      <w:pPr>
        <w:pStyle w:val="Compact"/>
        <w:numPr>
          <w:ilvl w:val="0"/>
          <w:numId w:val="4"/>
        </w:numPr>
        <w:rPr>
          <w:lang w:val="en-US"/>
        </w:rPr>
      </w:pPr>
      <w:r>
        <w:rPr>
          <w:rStyle w:val="Section Number"/>
          <w:rtl w:val="0"/>
          <w:lang w:val="en-US"/>
        </w:rPr>
        <w:t>Sources without verifiable attribution or institutional backing</w:t>
      </w:r>
    </w:p>
    <w:p>
      <w:pPr>
        <w:pStyle w:val="Compact"/>
        <w:numPr>
          <w:ilvl w:val="0"/>
          <w:numId w:val="4"/>
        </w:numPr>
        <w:rPr>
          <w:lang w:val="en-US"/>
        </w:rPr>
      </w:pPr>
      <w:r>
        <w:rPr>
          <w:rStyle w:val="Section Number"/>
          <w:rtl w:val="0"/>
          <w:lang w:val="en-US"/>
        </w:rPr>
        <w:t>Vendor marketing materials without independent validation</w:t>
      </w:r>
    </w:p>
    <w:p>
      <w:pPr>
        <w:pStyle w:val="Compact"/>
        <w:numPr>
          <w:ilvl w:val="0"/>
          <w:numId w:val="4"/>
        </w:numPr>
        <w:rPr>
          <w:lang w:val="en-US"/>
        </w:rPr>
      </w:pPr>
      <w:r>
        <w:rPr>
          <w:rStyle w:val="Section Number"/>
          <w:rtl w:val="0"/>
          <w:lang w:val="en-US"/>
        </w:rPr>
        <w:t>Preprints without subsequent peer-reviewed publication (exception: foundational NL2SQL benchmarks where peer review is pending)</w:t>
      </w:r>
    </w:p>
    <w:p>
      <w:pPr>
        <w:pStyle w:val="Compact"/>
        <w:numPr>
          <w:ilvl w:val="0"/>
          <w:numId w:val="4"/>
        </w:numPr>
        <w:rPr>
          <w:lang w:val="en-US"/>
        </w:rPr>
      </w:pPr>
      <w:r>
        <w:rPr>
          <w:rStyle w:val="Section Number"/>
          <w:rtl w:val="0"/>
          <w:lang w:val="en-US"/>
        </w:rPr>
        <w:t>Studies with unverifiable statistics or methodological concerns</w:t>
      </w:r>
      <w:bookmarkEnd w:id="31"/>
    </w:p>
    <w:p>
      <w:pPr>
        <w:pStyle w:val="Heading 2"/>
      </w:pPr>
      <w:bookmarkStart w:name="_Toc16" w:id="32"/>
      <w:bookmarkStart w:name="stage3qualityassessment" w:id="33"/>
      <w:r>
        <w:rPr>
          <w:rStyle w:val="Section Number"/>
          <w:rtl w:val="0"/>
          <w:lang w:val="en-US"/>
        </w:rPr>
        <w:t>2.4</w:t>
        <w:tab/>
        <w:t>Stage 3: Quality Assessment</w:t>
      </w:r>
      <w:bookmarkEnd w:id="32"/>
    </w:p>
    <w:p>
      <w:pPr>
        <w:pStyle w:val="First Paragraph"/>
      </w:pPr>
      <w:r>
        <w:rPr>
          <w:rStyle w:val="Section Number"/>
          <w:rtl w:val="0"/>
          <w:lang w:val="en-US"/>
        </w:rPr>
        <w:t>Grey literature sources were assessed using the AACODS checklist (</w:t>
      </w:r>
      <w:r>
        <w:rPr>
          <w:rStyle w:val="Hyperlink.0"/>
        </w:rPr>
        <w:fldChar w:fldCharType="begin" w:fldLock="0"/>
      </w:r>
      <w:r>
        <w:rPr>
          <w:rStyle w:val="Hyperlink.0"/>
        </w:rPr>
        <w:instrText xml:space="preserve"> HYPERLINK \l "reftyndall2010" </w:instrText>
      </w:r>
      <w:r>
        <w:rPr>
          <w:rStyle w:val="Hyperlink.0"/>
        </w:rPr>
        <w:fldChar w:fldCharType="separate" w:fldLock="0"/>
      </w:r>
      <w:r>
        <w:rPr>
          <w:rStyle w:val="Hyperlink.0"/>
          <w:rtl w:val="0"/>
        </w:rPr>
        <w:t>21</w:t>
      </w:r>
      <w:r>
        <w:rPr/>
        <w:fldChar w:fldCharType="end" w:fldLock="0"/>
      </w:r>
      <w:r>
        <w:rPr>
          <w:rStyle w:val="Section Number"/>
          <w:rtl w:val="0"/>
          <w:lang w:val="en-US"/>
        </w:rPr>
        <w:t>), which evaluates Authority, Accuracy, Coverage, Objectivity, Date, and Significance. Sources with vendor sponsorship were retained when no independent alternative existed but flagged in-text. Table 2 summarizes the assessment.</w:t>
      </w:r>
    </w:p>
    <w:p>
      <w:pPr>
        <w:pStyle w:val="Table Caption"/>
      </w:pPr>
      <w:r>
        <w:rPr>
          <w:rtl w:val="0"/>
        </w:rPr>
        <w:t xml:space="preserve">Table 2. </w:t>
      </w:r>
      <w:r>
        <w:rPr>
          <w:rStyle w:val="Section Number"/>
          <w:rtl w:val="0"/>
          <w:lang w:val="en-US"/>
        </w:rPr>
        <w:t xml:space="preserve">AACODS Assessment of Industry Sources. </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84"/>
        <w:gridCol w:w="1584"/>
        <w:gridCol w:w="1584"/>
        <w:gridCol w:w="1584"/>
        <w:gridCol w:w="1584"/>
      </w:tblGrid>
      <w:tr>
        <w:tblPrEx>
          <w:shd w:val="clear" w:color="auto" w:fill="156082"/>
        </w:tblPrEx>
        <w:trPr>
          <w:trHeight w:val="560" w:hRule="atLeast"/>
          <w:tblHeader/>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 (Citation)</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Authority / Accuracy</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Coverage / Objectivity</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 / Significance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Include</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HIMSS AMAM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"refhimss2024" </w:instrText>
            </w:r>
            <w:r>
              <w:rPr>
                <w:rStyle w:val="Hyperlink.1"/>
                <w:u w:val="none"/>
                <w:shd w:val="nil" w:color="auto" w:fill="auto"/>
                <w:lang w:val="en-US"/>
              </w:rPr>
              <w:fldChar w:fldCharType="separate" w:fldLock="0"/>
            </w:r>
            <w:r>
              <w:rPr>
                <w:rStyle w:val="Hyperlink.1"/>
                <w:u w:val="none"/>
                <w:shd w:val="nil" w:color="auto" w:fill="auto"/>
                <w:rtl w:val="0"/>
                <w:lang w:val="en-US"/>
              </w:rPr>
              <w:t>2</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r>
              <w:rPr>
                <w:shd w:val="nil" w:color="auto" w:fill="auto"/>
                <w:rtl w:val="0"/>
                <w:lang w:val="en-US"/>
              </w:rPr>
              <w:t xml:space="preserve">† </w:t>
            </w:r>
            <w:r>
              <w:rPr>
                <w:shd w:val="nil" w:color="auto" w:fill="auto"/>
                <w:rtl w:val="0"/>
                <w:lang w:val="en-US"/>
              </w:rPr>
              <w:t>/ 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Global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2024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Snowdon / HIMSS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"refsnowdon2024b" </w:instrText>
            </w:r>
            <w:r>
              <w:rPr>
                <w:rStyle w:val="Hyperlink.1"/>
                <w:u w:val="none"/>
                <w:shd w:val="nil" w:color="auto" w:fill="auto"/>
                <w:lang w:val="en-US"/>
              </w:rPr>
              <w:fldChar w:fldCharType="separate" w:fldLock="0"/>
            </w:r>
            <w:r>
              <w:rPr>
                <w:rStyle w:val="Hyperlink.1"/>
                <w:u w:val="none"/>
                <w:shd w:val="nil" w:color="auto" w:fill="auto"/>
                <w:rtl w:val="0"/>
                <w:lang w:val="en-US"/>
              </w:rPr>
              <w:t>22</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r>
              <w:rPr>
                <w:shd w:val="nil" w:color="auto" w:fill="auto"/>
                <w:rtl w:val="0"/>
                <w:lang w:val="en-US"/>
              </w:rPr>
              <w:t xml:space="preserve">‡ </w:t>
            </w:r>
            <w:r>
              <w:rPr>
                <w:shd w:val="nil" w:color="auto" w:fill="auto"/>
                <w:rtl w:val="0"/>
                <w:lang w:val="en-US"/>
              </w:rPr>
              <w:t>/ 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N/A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 / Medium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Health Catalyst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"refhealth2020" </w:instrText>
            </w:r>
            <w:r>
              <w:rPr>
                <w:rStyle w:val="Hyperlink.1"/>
                <w:u w:val="none"/>
                <w:shd w:val="nil" w:color="auto" w:fill="auto"/>
                <w:lang w:val="en-US"/>
              </w:rPr>
              <w:fldChar w:fldCharType="separate" w:fldLock="0"/>
            </w:r>
            <w:r>
              <w:rPr>
                <w:rStyle w:val="Hyperlink.1"/>
                <w:u w:val="none"/>
                <w:shd w:val="nil" w:color="auto" w:fill="auto"/>
                <w:rtl w:val="0"/>
                <w:lang w:val="en-US"/>
              </w:rPr>
              <w:t>23</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Medium</w:t>
            </w:r>
            <w:r>
              <w:rPr>
                <w:shd w:val="nil" w:color="auto" w:fill="auto"/>
                <w:rtl w:val="0"/>
                <w:lang w:val="en-US"/>
              </w:rPr>
              <w:t xml:space="preserve">§ </w:t>
            </w:r>
            <w:r>
              <w:rPr>
                <w:shd w:val="nil" w:color="auto" w:fill="auto"/>
                <w:rtl w:val="0"/>
                <w:lang w:val="en-US"/>
              </w:rPr>
              <w:t>/ Unverifiable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US / </w:t>
            </w:r>
            <w:r>
              <w:rPr>
                <w:shd w:val="nil" w:color="auto" w:fill="auto"/>
                <w:lang w:val="en-US"/>
              </w:rPr>
              <w:br w:type="textWrapping"/>
            </w:r>
            <w:r>
              <w:rPr>
                <w:shd w:val="nil" w:color="auto" w:fill="auto"/>
                <w:rtl w:val="0"/>
                <w:lang w:val="en-US"/>
              </w:rPr>
              <w:t>Low</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2020 / Medium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Berkshire NHS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"refberkshire2024" </w:instrText>
            </w:r>
            <w:r>
              <w:rPr>
                <w:rStyle w:val="Hyperlink.1"/>
                <w:u w:val="none"/>
                <w:shd w:val="nil" w:color="auto" w:fill="auto"/>
                <w:lang w:val="en-US"/>
              </w:rPr>
              <w:fldChar w:fldCharType="separate" w:fldLock="0"/>
            </w:r>
            <w:r>
              <w:rPr>
                <w:rStyle w:val="Hyperlink.1"/>
                <w:u w:val="none"/>
                <w:shd w:val="nil" w:color="auto" w:fill="auto"/>
                <w:rtl w:val="0"/>
                <w:lang w:val="en-US"/>
              </w:rPr>
              <w:t>24</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r>
              <w:rPr>
                <w:shd w:val="nil" w:color="auto" w:fill="auto"/>
                <w:rtl w:val="0"/>
                <w:lang w:val="en-US"/>
              </w:rPr>
              <w:t xml:space="preserve">¶ </w:t>
            </w:r>
            <w:r>
              <w:rPr>
                <w:shd w:val="nil" w:color="auto" w:fill="auto"/>
                <w:rtl w:val="0"/>
                <w:lang w:val="en-US"/>
              </w:rPr>
              <w:t>/ 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Single site / 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2024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Forrester / Microsoft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"refforrester2024" </w:instrText>
            </w:r>
            <w:r>
              <w:rPr>
                <w:rStyle w:val="Hyperlink.1"/>
                <w:u w:val="none"/>
                <w:shd w:val="nil" w:color="auto" w:fill="auto"/>
                <w:lang w:val="en-US"/>
              </w:rPr>
              <w:fldChar w:fldCharType="separate" w:fldLock="0"/>
            </w:r>
            <w:r>
              <w:rPr>
                <w:rStyle w:val="Hyperlink.1"/>
                <w:u w:val="none"/>
                <w:shd w:val="nil" w:color="auto" w:fill="auto"/>
                <w:rtl w:val="0"/>
                <w:lang w:val="en-US"/>
              </w:rPr>
              <w:t>25</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Medium</w:t>
            </w:r>
            <w:r>
              <w:rPr>
                <w:shd w:val="nil" w:color="auto" w:fill="auto"/>
                <w:rtl w:val="0"/>
                <w:lang w:val="en-US"/>
              </w:rPr>
              <w:t xml:space="preserve">∥ </w:t>
            </w:r>
            <w:r>
              <w:rPr>
                <w:shd w:val="nil" w:color="auto" w:fill="auto"/>
                <w:rtl w:val="0"/>
                <w:lang w:val="en-US"/>
              </w:rPr>
              <w:t>/ Unverifiable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Enterprise / Low</w:t>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 / Medium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Oracle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"reforacle2024" </w:instrText>
            </w:r>
            <w:r>
              <w:rPr>
                <w:rStyle w:val="Hyperlink.1"/>
                <w:u w:val="none"/>
                <w:shd w:val="nil" w:color="auto" w:fill="auto"/>
                <w:lang w:val="en-US"/>
              </w:rPr>
              <w:fldChar w:fldCharType="separate" w:fldLock="0"/>
            </w:r>
            <w:r>
              <w:rPr>
                <w:rStyle w:val="Hyperlink.1"/>
                <w:u w:val="none"/>
                <w:shd w:val="nil" w:color="auto" w:fill="auto"/>
                <w:rtl w:val="0"/>
                <w:lang w:val="en-US"/>
              </w:rPr>
              <w:t>26</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Low</w:t>
            </w:r>
            <w:r>
              <w:rPr>
                <w:shd w:val="nil" w:color="auto" w:fill="auto"/>
                <w:rtl w:val="0"/>
                <w:lang w:val="en-US"/>
              </w:rPr>
              <w:t xml:space="preserve">§ </w:t>
            </w:r>
            <w:r>
              <w:rPr>
                <w:shd w:val="nil" w:color="auto" w:fill="auto"/>
                <w:rtl w:val="0"/>
                <w:lang w:val="en-US"/>
              </w:rPr>
              <w:t>/ Unverifiable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N/A / </w:t>
            </w:r>
            <w:r>
              <w:rPr>
                <w:shd w:val="nil" w:color="auto" w:fill="auto"/>
                <w:lang w:val="en-US"/>
              </w:rPr>
              <w:br w:type="textWrapping"/>
            </w:r>
            <w:r>
              <w:rPr>
                <w:shd w:val="nil" w:color="auto" w:fill="auto"/>
                <w:rtl w:val="0"/>
                <w:lang w:val="en-US"/>
              </w:rPr>
              <w:t>Low</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2024 / </w:t>
            </w:r>
            <w:r>
              <w:rPr>
                <w:shd w:val="nil" w:color="auto" w:fill="auto"/>
                <w:lang w:val="en-US"/>
              </w:rPr>
              <w:br w:type="textWrapping"/>
            </w:r>
            <w:r>
              <w:rPr>
                <w:shd w:val="nil" w:color="auto" w:fill="auto"/>
                <w:rtl w:val="0"/>
                <w:lang w:val="en-US"/>
              </w:rPr>
              <w:t>Low</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Precedence Research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"refprecedence2024" </w:instrText>
            </w:r>
            <w:r>
              <w:rPr>
                <w:rStyle w:val="Hyperlink.1"/>
                <w:u w:val="none"/>
                <w:shd w:val="nil" w:color="auto" w:fill="auto"/>
                <w:lang w:val="en-US"/>
              </w:rPr>
              <w:fldChar w:fldCharType="separate" w:fldLock="0"/>
            </w:r>
            <w:r>
              <w:rPr>
                <w:rStyle w:val="Hyperlink.1"/>
                <w:u w:val="none"/>
                <w:shd w:val="nil" w:color="auto" w:fill="auto"/>
                <w:rtl w:val="0"/>
                <w:lang w:val="en-US"/>
              </w:rPr>
              <w:t>27</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Medium# / Unverifiable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Global / Medium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 / Medium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Anthropic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"refanthropic2025" </w:instrText>
            </w:r>
            <w:r>
              <w:rPr>
                <w:rStyle w:val="Hyperlink.1"/>
                <w:u w:val="none"/>
                <w:shd w:val="nil" w:color="auto" w:fill="auto"/>
                <w:lang w:val="en-US"/>
              </w:rPr>
              <w:fldChar w:fldCharType="separate" w:fldLock="0"/>
            </w:r>
            <w:r>
              <w:rPr>
                <w:rStyle w:val="Hyperlink.1"/>
                <w:u w:val="none"/>
                <w:shd w:val="nil" w:color="auto" w:fill="auto"/>
                <w:rtl w:val="0"/>
                <w:lang w:val="en-US"/>
              </w:rPr>
              <w:t>10</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Medium</w:t>
            </w:r>
            <w:r>
              <w:rPr>
                <w:shd w:val="nil" w:color="auto" w:fill="auto"/>
                <w:rtl w:val="0"/>
                <w:lang w:val="en-US"/>
              </w:rPr>
              <w:t xml:space="preserve">§ </w:t>
            </w:r>
            <w:r>
              <w:rPr>
                <w:shd w:val="nil" w:color="auto" w:fill="auto"/>
                <w:rtl w:val="0"/>
                <w:lang w:val="en-US"/>
              </w:rPr>
              <w:t>/ 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 / Medium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2025 / </w:t>
            </w:r>
            <w:r>
              <w:rPr>
                <w:shd w:val="nil" w:color="auto" w:fill="auto"/>
                <w:lang w:val="en-US"/>
              </w:rPr>
              <w:br w:type="textWrapping"/>
            </w:r>
            <w:r>
              <w:rPr>
                <w:shd w:val="nil" w:color="auto" w:fill="auto"/>
                <w:rtl w:val="0"/>
                <w:lang w:val="en-US"/>
              </w:rPr>
              <w:t>Low</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IBM Newsroom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"refibm2022" </w:instrText>
            </w:r>
            <w:r>
              <w:rPr>
                <w:rStyle w:val="Hyperlink.1"/>
                <w:u w:val="none"/>
                <w:shd w:val="nil" w:color="auto" w:fill="auto"/>
                <w:lang w:val="en-US"/>
              </w:rPr>
              <w:fldChar w:fldCharType="separate" w:fldLock="0"/>
            </w:r>
            <w:r>
              <w:rPr>
                <w:rStyle w:val="Hyperlink.1"/>
                <w:u w:val="none"/>
                <w:shd w:val="nil" w:color="auto" w:fill="auto"/>
                <w:rtl w:val="0"/>
                <w:lang w:val="en-US"/>
              </w:rPr>
              <w:t>28</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 / 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N/A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2022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CNBC / Haven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"reflavito2021" </w:instrText>
            </w:r>
            <w:r>
              <w:rPr>
                <w:rStyle w:val="Hyperlink.1"/>
                <w:u w:val="none"/>
                <w:shd w:val="nil" w:color="auto" w:fill="auto"/>
                <w:lang w:val="en-US"/>
              </w:rPr>
              <w:fldChar w:fldCharType="separate" w:fldLock="0"/>
            </w:r>
            <w:r>
              <w:rPr>
                <w:rStyle w:val="Hyperlink.1"/>
                <w:u w:val="none"/>
                <w:shd w:val="nil" w:color="auto" w:fill="auto"/>
                <w:rtl w:val="0"/>
                <w:lang w:val="en-US"/>
              </w:rPr>
              <w:t>29</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 / 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N/A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2021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AHIMA / NORC (</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"refamerican2023" </w:instrText>
            </w:r>
            <w:r>
              <w:rPr>
                <w:rStyle w:val="Hyperlink.1"/>
                <w:u w:val="none"/>
                <w:shd w:val="nil" w:color="auto" w:fill="auto"/>
                <w:lang w:val="en-US"/>
              </w:rPr>
              <w:fldChar w:fldCharType="separate" w:fldLock="0"/>
            </w:r>
            <w:r>
              <w:rPr>
                <w:rStyle w:val="Hyperlink.1"/>
                <w:u w:val="none"/>
                <w:shd w:val="nil" w:color="auto" w:fill="auto"/>
                <w:rtl w:val="0"/>
                <w:lang w:val="en-US"/>
              </w:rPr>
              <w:t>1</w:t>
            </w:r>
            <w:r>
              <w:rPr/>
              <w:fldChar w:fldCharType="end" w:fldLock="0"/>
            </w:r>
            <w:r>
              <w:rPr>
                <w:shd w:val="nil" w:color="auto" w:fill="auto"/>
                <w:rtl w:val="0"/>
                <w:lang w:val="en-US"/>
              </w:rPr>
              <w:t>)</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w:t>
            </w:r>
            <w:r>
              <w:rPr>
                <w:shd w:val="nil" w:color="auto" w:fill="auto"/>
                <w:rtl w:val="0"/>
                <w:lang w:val="en-US"/>
              </w:rPr>
              <w:t xml:space="preserve">†† </w:t>
            </w:r>
            <w:r>
              <w:rPr>
                <w:shd w:val="nil" w:color="auto" w:fill="auto"/>
                <w:rtl w:val="0"/>
                <w:lang w:val="en-US"/>
              </w:rPr>
              <w:t>/ Verifiable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US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2023 / </w:t>
            </w:r>
            <w:r>
              <w:rPr>
                <w:shd w:val="nil" w:color="auto" w:fill="auto"/>
                <w:lang w:val="en-US"/>
              </w:rPr>
              <w:br w:type="textWrapping"/>
            </w:r>
            <w:r>
              <w:rPr>
                <w:shd w:val="nil" w:color="auto" w:fill="auto"/>
                <w:rtl w:val="0"/>
                <w:lang w:val="en-US"/>
              </w:rPr>
              <w:t>High</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Yes</w:t>
            </w:r>
          </w:p>
        </w:tc>
      </w:tr>
    </w:tbl>
    <w:p>
      <w:pPr>
        <w:pStyle w:val="Table Caption"/>
        <w:widowControl w:val="0"/>
      </w:pPr>
    </w:p>
    <w:p>
      <w:pPr>
        <w:pStyle w:val="Body Text"/>
      </w:pPr>
      <w:r>
        <w:rPr>
          <w:rStyle w:val="Section Number"/>
          <w:rtl w:val="0"/>
          <w:lang w:val="en-US"/>
        </w:rPr>
        <w:t>†</w:t>
      </w:r>
      <w:r>
        <w:rPr>
          <w:rStyle w:val="Section Number"/>
          <w:rtl w:val="0"/>
          <w:lang w:val="en-US"/>
        </w:rPr>
        <w:t xml:space="preserve">Industry standards body. </w:t>
      </w:r>
      <w:r>
        <w:rPr>
          <w:rStyle w:val="Section Number"/>
          <w:rtl w:val="0"/>
          <w:lang w:val="en-US"/>
        </w:rPr>
        <w:t>‡</w:t>
      </w:r>
      <w:r>
        <w:rPr>
          <w:rStyle w:val="Section Number"/>
          <w:rtl w:val="0"/>
          <w:lang w:val="en-US"/>
        </w:rPr>
        <w:t xml:space="preserve">HIMSS officer. </w:t>
      </w:r>
      <w:r>
        <w:rPr>
          <w:rStyle w:val="Section Number"/>
          <w:rtl w:val="0"/>
          <w:lang w:val="en-US"/>
        </w:rPr>
        <w:t>§</w:t>
      </w:r>
      <w:r>
        <w:rPr>
          <w:rStyle w:val="Section Number"/>
          <w:rtl w:val="0"/>
          <w:lang w:val="en-US"/>
        </w:rPr>
        <w:t xml:space="preserve">Vendor. </w:t>
      </w:r>
      <w:r>
        <w:rPr>
          <w:rStyle w:val="Section Number"/>
          <w:rtl w:val="0"/>
          <w:lang w:val="en-US"/>
        </w:rPr>
        <w:t>¶</w:t>
      </w:r>
      <w:r>
        <w:rPr>
          <w:rStyle w:val="Section Number"/>
          <w:rtl w:val="0"/>
          <w:lang w:val="en-US"/>
        </w:rPr>
        <w:t xml:space="preserve">NHS trust. </w:t>
      </w:r>
      <w:r>
        <w:rPr>
          <w:rStyle w:val="Section Number"/>
          <w:rtl w:val="0"/>
          <w:lang w:val="en-US"/>
        </w:rPr>
        <w:t>∥</w:t>
      </w:r>
      <w:r>
        <w:rPr>
          <w:rStyle w:val="Section Number"/>
          <w:rtl w:val="0"/>
          <w:lang w:val="en-US"/>
        </w:rPr>
        <w:t xml:space="preserve">Analyst firm. #Market research. Journalism. </w:t>
      </w:r>
      <w:r>
        <w:rPr>
          <w:rStyle w:val="Section Number"/>
          <w:rtl w:val="0"/>
          <w:lang w:val="en-US"/>
        </w:rPr>
        <w:t>††</w:t>
      </w:r>
      <w:r>
        <w:rPr>
          <w:rStyle w:val="Section Number"/>
          <w:rtl w:val="0"/>
          <w:lang w:val="en-US"/>
        </w:rPr>
        <w:t xml:space="preserve">Professional association + academic. </w:t>
      </w:r>
      <w:r>
        <w:rPr>
          <w:rStyle w:val="Section Number"/>
          <w:rtl w:val="0"/>
          <w:lang w:val="en-US"/>
        </w:rPr>
        <w:t>♢</w:t>
      </w:r>
      <w:r>
        <w:rPr>
          <w:rStyle w:val="Section Number"/>
          <w:rtl w:val="0"/>
          <w:lang w:val="en-US"/>
        </w:rPr>
        <w:t>Sponsor. *Vendor sponsorship or low objectivity noted in manuscript text.</w:t>
      </w:r>
      <w:bookmarkEnd w:id="33"/>
    </w:p>
    <w:p>
      <w:pPr>
        <w:pStyle w:val="Heading 2"/>
      </w:pPr>
      <w:bookmarkStart w:name="_Toc17" w:id="34"/>
      <w:bookmarkStart w:name="stage4synthesisandanalysis" w:id="35"/>
      <w:r>
        <w:rPr>
          <w:rStyle w:val="Section Number"/>
          <w:rtl w:val="0"/>
          <w:lang w:val="en-US"/>
        </w:rPr>
        <w:t>2.5</w:t>
        <w:tab/>
        <w:t>Stage 4: Synthesis and Analysis</w:t>
      </w:r>
      <w:bookmarkEnd w:id="34"/>
    </w:p>
    <w:p>
      <w:pPr>
        <w:pStyle w:val="First Paragraph"/>
      </w:pPr>
      <w:r>
        <w:rPr>
          <w:rStyle w:val="Section Number"/>
          <w:rtl w:val="0"/>
          <w:lang w:val="en-US"/>
        </w:rPr>
        <w:t>Reflecting the framework</w:t>
      </w:r>
      <w:r>
        <w:rPr>
          <w:rStyle w:val="Section Number"/>
          <w:rtl w:val="0"/>
          <w:lang w:val="en-US"/>
        </w:rPr>
        <w:t>’</w:t>
      </w:r>
      <w:r>
        <w:rPr>
          <w:rStyle w:val="Section Number"/>
          <w:rtl w:val="0"/>
          <w:lang w:val="en-US"/>
        </w:rPr>
        <w:t>s iterative emergence from the literature, evidence is synthesized thematically below:</w:t>
      </w:r>
    </w:p>
    <w:p>
      <w:pPr>
        <w:pStyle w:val="Compact"/>
        <w:numPr>
          <w:ilvl w:val="0"/>
          <w:numId w:val="9"/>
        </w:numPr>
        <w:rPr>
          <w:lang w:val="en-US"/>
        </w:rPr>
      </w:pPr>
      <w:r>
        <w:rPr>
          <w:rStyle w:val="Section Number"/>
          <w:rtl w:val="0"/>
          <w:lang w:val="en-US"/>
        </w:rPr>
        <w:t>Analytics maturity: Evidence on HIMSS AMAM adoption, healthcare analytics capabilities, and organizational readiness</w:t>
      </w:r>
    </w:p>
    <w:p>
      <w:pPr>
        <w:pStyle w:val="Compact"/>
        <w:numPr>
          <w:ilvl w:val="0"/>
          <w:numId w:val="2"/>
        </w:numPr>
        <w:rPr>
          <w:lang w:val="en-US"/>
        </w:rPr>
      </w:pPr>
      <w:r>
        <w:rPr>
          <w:rStyle w:val="Section Number"/>
          <w:rtl w:val="0"/>
          <w:lang w:val="en-US"/>
        </w:rPr>
        <w:t>Workforce turnover: Evidence on nursing and IT staff turnover rates, institutional memory loss, and knowledge transfer challenges</w:t>
      </w:r>
    </w:p>
    <w:p>
      <w:pPr>
        <w:pStyle w:val="Compact"/>
        <w:numPr>
          <w:ilvl w:val="0"/>
          <w:numId w:val="2"/>
        </w:numPr>
        <w:rPr>
          <w:lang w:val="en-US"/>
        </w:rPr>
      </w:pPr>
      <w:r>
        <w:rPr>
          <w:rStyle w:val="Section Number"/>
          <w:rtl w:val="0"/>
          <w:lang w:val="en-US"/>
        </w:rPr>
        <w:t>Technical barriers: Evidence on NL2SQL benchmarks, healthcare-specific NLP challenges, and low-code implementation patterns</w:t>
      </w:r>
    </w:p>
    <w:p>
      <w:pPr>
        <w:pStyle w:val="First Paragraph"/>
      </w:pPr>
      <w:r>
        <w:rPr>
          <w:rStyle w:val="Section Number"/>
          <w:rtl w:val="0"/>
          <w:lang w:val="en-US"/>
        </w:rPr>
        <w:t>This framework emerged iteratively from the literature rather than being pre-specified, consistent with narrative review methodology.</w:t>
      </w:r>
      <w:bookmarkEnd w:id="35"/>
    </w:p>
    <w:p>
      <w:pPr>
        <w:pStyle w:val="Heading 2"/>
      </w:pPr>
      <w:bookmarkStart w:name="_Toc18" w:id="36"/>
      <w:bookmarkStart w:name="methodologicallimitations" w:id="37"/>
      <w:r>
        <w:rPr>
          <w:rStyle w:val="Section Number"/>
          <w:rtl w:val="0"/>
          <w:lang w:val="en-US"/>
        </w:rPr>
        <w:t>2.6</w:t>
        <w:tab/>
        <w:t>Methodological Limitations</w:t>
      </w:r>
      <w:bookmarkEnd w:id="36"/>
    </w:p>
    <w:p>
      <w:pPr>
        <w:pStyle w:val="First Paragraph"/>
      </w:pPr>
      <w:r>
        <w:rPr>
          <w:rStyle w:val="Section Number"/>
          <w:rtl w:val="0"/>
          <w:lang w:val="en-US"/>
        </w:rPr>
        <w:t>This narrative review has inherent limitations:</w:t>
      </w:r>
    </w:p>
    <w:p>
      <w:pPr>
        <w:pStyle w:val="Compact"/>
        <w:numPr>
          <w:ilvl w:val="0"/>
          <w:numId w:val="4"/>
        </w:numPr>
        <w:rPr>
          <w:lang w:val="en-US"/>
        </w:rPr>
      </w:pPr>
      <w:r>
        <w:rPr>
          <w:rFonts w:ascii="Aptos" w:cs="Aptos" w:hAnsi="Aptos" w:eastAsia="Aptos"/>
          <w:i w:val="1"/>
          <w:iCs w:val="1"/>
          <w:rtl w:val="0"/>
          <w:lang w:val="en-US"/>
        </w:rPr>
        <w:t>Non-exhaustive search</w:t>
      </w:r>
      <w:r>
        <w:rPr>
          <w:rStyle w:val="Section Number"/>
          <w:rtl w:val="0"/>
          <w:lang w:val="en-US"/>
        </w:rPr>
        <w:t>: Literature identification was selective rather than exhaustive; relevant studies may have been missed</w:t>
      </w:r>
    </w:p>
    <w:p>
      <w:pPr>
        <w:pStyle w:val="Compact"/>
        <w:numPr>
          <w:ilvl w:val="0"/>
          <w:numId w:val="4"/>
        </w:numPr>
        <w:rPr>
          <w:lang w:val="en-US"/>
        </w:rPr>
      </w:pPr>
      <w:r>
        <w:rPr>
          <w:rFonts w:ascii="Aptos" w:cs="Aptos" w:hAnsi="Aptos" w:eastAsia="Aptos"/>
          <w:i w:val="1"/>
          <w:iCs w:val="1"/>
          <w:rtl w:val="0"/>
          <w:lang w:val="en-US"/>
        </w:rPr>
        <w:t>Limited formal quality assessment</w:t>
      </w:r>
      <w:r>
        <w:rPr>
          <w:rStyle w:val="Section Number"/>
          <w:rtl w:val="0"/>
          <w:lang w:val="en-US"/>
        </w:rPr>
        <w:t>: Grey literature sources were assessed using the AACODS checklist; however, no standardized quality assessment tool (e.g., GRADE, Cochrane Risk of Bias) was applied to peer-reviewed sources, as these tools are designed for clinical intervention studies rather than narrative reviews</w:t>
      </w:r>
    </w:p>
    <w:p>
      <w:pPr>
        <w:pStyle w:val="Compact"/>
        <w:numPr>
          <w:ilvl w:val="0"/>
          <w:numId w:val="4"/>
        </w:numPr>
        <w:rPr>
          <w:lang w:val="en-US"/>
        </w:rPr>
      </w:pPr>
      <w:r>
        <w:rPr>
          <w:rFonts w:ascii="Aptos" w:cs="Aptos" w:hAnsi="Aptos" w:eastAsia="Aptos"/>
          <w:i w:val="1"/>
          <w:iCs w:val="1"/>
          <w:rtl w:val="0"/>
          <w:lang w:val="en-US"/>
        </w:rPr>
        <w:t>Single-coder bias risk</w:t>
      </w:r>
      <w:r>
        <w:rPr>
          <w:rStyle w:val="Section Number"/>
          <w:rtl w:val="0"/>
          <w:lang w:val="en-US"/>
        </w:rPr>
        <w:t>: Literature screening, data extraction, and thematic analysis were performed by a single author without independent verification. This introduces potential selection and interpretation bias that would be mitigated in systematic reviews through dual-coder protocols with inter-rater reliability assessment</w:t>
      </w:r>
    </w:p>
    <w:p>
      <w:pPr>
        <w:pStyle w:val="Compact"/>
        <w:numPr>
          <w:ilvl w:val="0"/>
          <w:numId w:val="4"/>
        </w:numPr>
        <w:rPr>
          <w:lang w:val="en-US"/>
        </w:rPr>
      </w:pPr>
      <w:r>
        <w:rPr>
          <w:rFonts w:ascii="Aptos" w:cs="Aptos" w:hAnsi="Aptos" w:eastAsia="Aptos"/>
          <w:i w:val="1"/>
          <w:iCs w:val="1"/>
          <w:rtl w:val="0"/>
          <w:lang w:val="en-US"/>
        </w:rPr>
        <w:t>Post-hoc selection criteria</w:t>
      </w:r>
      <w:r>
        <w:rPr>
          <w:rStyle w:val="Section Number"/>
          <w:rtl w:val="0"/>
          <w:lang w:val="en-US"/>
        </w:rPr>
        <w:t>: Inclusion and exclusion criteria were refined during the review process rather than pre-registered</w:t>
      </w:r>
    </w:p>
    <w:p>
      <w:pPr>
        <w:pStyle w:val="Compact"/>
        <w:numPr>
          <w:ilvl w:val="0"/>
          <w:numId w:val="4"/>
        </w:numPr>
        <w:rPr>
          <w:lang w:val="en-US"/>
        </w:rPr>
      </w:pPr>
      <w:r>
        <w:rPr>
          <w:rFonts w:ascii="Aptos" w:cs="Aptos" w:hAnsi="Aptos" w:eastAsia="Aptos"/>
          <w:i w:val="1"/>
          <w:iCs w:val="1"/>
          <w:rtl w:val="0"/>
          <w:lang w:val="en-US"/>
        </w:rPr>
        <w:t>No protocol registration</w:t>
      </w:r>
      <w:r>
        <w:rPr>
          <w:rStyle w:val="Section Number"/>
          <w:rtl w:val="0"/>
          <w:lang w:val="en-US"/>
        </w:rPr>
        <w:t>: This review was not registered in PROSPERO or similar registries</w:t>
      </w:r>
    </w:p>
    <w:p>
      <w:pPr>
        <w:pStyle w:val="Compact"/>
        <w:numPr>
          <w:ilvl w:val="0"/>
          <w:numId w:val="4"/>
        </w:numPr>
        <w:rPr>
          <w:lang w:val="en-US"/>
        </w:rPr>
      </w:pPr>
      <w:r>
        <w:rPr>
          <w:rFonts w:ascii="Aptos" w:cs="Aptos" w:hAnsi="Aptos" w:eastAsia="Aptos"/>
          <w:i w:val="1"/>
          <w:iCs w:val="1"/>
          <w:rtl w:val="0"/>
          <w:lang w:val="en-US"/>
        </w:rPr>
        <w:t>Dated workforce statistics</w:t>
      </w:r>
      <w:r>
        <w:rPr>
          <w:rStyle w:val="Section Number"/>
          <w:rtl w:val="0"/>
          <w:lang w:val="en-US"/>
        </w:rPr>
        <w:t>: The primary healthcare IT turnover statistic (~34% implied for new hires) derives from Ang and Slaughter</w:t>
      </w:r>
      <w:r>
        <w:rPr>
          <w:rStyle w:val="Section Number"/>
          <w:rtl w:val="0"/>
          <w:lang w:val="en-US"/>
        </w:rPr>
        <w:t>’</w:t>
      </w:r>
      <w:r>
        <w:rPr>
          <w:rStyle w:val="Section Number"/>
          <w:rtl w:val="0"/>
          <w:lang w:val="en-US"/>
        </w:rPr>
        <w:t>s 2004 study (</w:t>
      </w:r>
      <w:r>
        <w:rPr>
          <w:rStyle w:val="Hyperlink.0"/>
        </w:rPr>
        <w:fldChar w:fldCharType="begin" w:fldLock="0"/>
      </w:r>
      <w:r>
        <w:rPr>
          <w:rStyle w:val="Hyperlink.0"/>
        </w:rPr>
        <w:instrText xml:space="preserve"> HYPERLINK \l "refang2004" </w:instrText>
      </w:r>
      <w:r>
        <w:rPr>
          <w:rStyle w:val="Hyperlink.0"/>
        </w:rPr>
        <w:fldChar w:fldCharType="separate" w:fldLock="0"/>
      </w:r>
      <w:r>
        <w:rPr>
          <w:rStyle w:val="Hyperlink.0"/>
          <w:rtl w:val="0"/>
          <w:lang w:val="en-US"/>
        </w:rPr>
        <w:t>7</w:t>
      </w:r>
      <w:r>
        <w:rPr/>
        <w:fldChar w:fldCharType="end" w:fldLock="0"/>
      </w:r>
      <w:r>
        <w:rPr>
          <w:rStyle w:val="Section Number"/>
          <w:rtl w:val="0"/>
          <w:lang w:val="en-US"/>
        </w:rPr>
        <w:t>). While recent surveys confirm workforce challenges persist (</w:t>
      </w:r>
      <w:r>
        <w:rPr>
          <w:rStyle w:val="Hyperlink.0"/>
        </w:rPr>
        <w:fldChar w:fldCharType="begin" w:fldLock="0"/>
      </w:r>
      <w:r>
        <w:rPr>
          <w:rStyle w:val="Hyperlink.0"/>
        </w:rPr>
        <w:instrText xml:space="preserve"> HYPERLINK \l "refamerican2023" </w:instrText>
      </w:r>
      <w:r>
        <w:rPr>
          <w:rStyle w:val="Hyperlink.0"/>
        </w:rPr>
        <w:fldChar w:fldCharType="separate" w:fldLock="0"/>
      </w:r>
      <w:r>
        <w:rPr>
          <w:rStyle w:val="Hyperlink.0"/>
          <w:rtl w:val="0"/>
          <w:lang w:val="en-US"/>
        </w:rPr>
        <w:t>1</w:t>
      </w:r>
      <w:r>
        <w:rPr/>
        <w:fldChar w:fldCharType="end" w:fldLock="0"/>
      </w:r>
      <w:r>
        <w:rPr>
          <w:rStyle w:val="Section Number"/>
          <w:rtl w:val="0"/>
          <w:lang w:val="en-US"/>
        </w:rPr>
        <w:t>) and contemporary evidence suggests the situation may have worsened (55% intent to leave among public health informatics specialists (</w:t>
      </w:r>
      <w:r>
        <w:rPr>
          <w:rStyle w:val="Hyperlink.0"/>
        </w:rPr>
        <w:fldChar w:fldCharType="begin" w:fldLock="0"/>
      </w:r>
      <w:r>
        <w:rPr>
          <w:rStyle w:val="Hyperlink.0"/>
        </w:rPr>
        <w:instrText xml:space="preserve"> HYPERLINK \l "refrajamani2025" </w:instrText>
      </w:r>
      <w:r>
        <w:rPr>
          <w:rStyle w:val="Hyperlink.0"/>
        </w:rPr>
        <w:fldChar w:fldCharType="separate" w:fldLock="0"/>
      </w:r>
      <w:r>
        <w:rPr>
          <w:rStyle w:val="Hyperlink.0"/>
          <w:rtl w:val="0"/>
          <w:lang w:val="en-US"/>
        </w:rPr>
        <w:t>6</w:t>
      </w:r>
      <w:r>
        <w:rPr/>
        <w:fldChar w:fldCharType="end" w:fldLock="0"/>
      </w:r>
      <w:r>
        <w:rPr>
          <w:rStyle w:val="Section Number"/>
          <w:rtl w:val="0"/>
          <w:lang w:val="en-US"/>
        </w:rPr>
        <w:t xml:space="preserve">)), no study has directly replicated the 2004 tenure measurement methodology. This paper reframes this </w:t>
      </w:r>
      <w:r>
        <w:rPr>
          <w:rStyle w:val="Section Number"/>
          <w:rtl w:val="0"/>
          <w:lang w:val="en-US"/>
        </w:rPr>
        <w:t>“</w:t>
      </w:r>
      <w:r>
        <w:rPr>
          <w:rStyle w:val="Section Number"/>
          <w:rtl w:val="0"/>
          <w:lang w:val="en-US"/>
        </w:rPr>
        <w:t>data desert</w:t>
      </w:r>
      <w:r>
        <w:rPr>
          <w:rStyle w:val="Section Number"/>
          <w:rtl w:val="0"/>
          <w:lang w:val="en-US"/>
        </w:rPr>
        <w:t xml:space="preserve">” </w:t>
      </w:r>
      <w:r>
        <w:rPr>
          <w:rStyle w:val="Section Number"/>
          <w:rtl w:val="0"/>
          <w:lang w:val="en-US"/>
        </w:rPr>
        <w:t>as evidence of the crisis itself: the industry is too unstable to track its own attrition effectively. Future research should address this methodological gap.</w:t>
      </w:r>
    </w:p>
    <w:p>
      <w:pPr>
        <w:pStyle w:val="First Paragraph"/>
      </w:pPr>
      <w:r>
        <w:rPr>
          <w:rStyle w:val="Section Number"/>
          <w:rtl w:val="0"/>
          <w:lang w:val="en-US"/>
        </w:rPr>
        <w:t>These limitations are balanced against the strengths of narrative review methodology: ability to synthesize heterogeneous evidence types across disciplinary boundaries, flexibility to pursue emerging themes, and capacity to construct novel analytical frameworks that illuminate connections between previously disconnected research domains.</w:t>
      </w:r>
      <w:bookmarkEnd w:id="37"/>
    </w:p>
    <w:p>
      <w:pPr>
        <w:pStyle w:val="Heading"/>
      </w:pPr>
      <w:bookmarkStart w:name="_Toc19" w:id="38"/>
      <w:bookmarkStart w:name="frameworkdevelopmentandvalidation" w:id="39"/>
      <w:r>
        <w:rPr>
          <w:rStyle w:val="Section Number"/>
          <w:rtl w:val="0"/>
          <w:lang w:val="en-US"/>
        </w:rPr>
        <w:t>3</w:t>
        <w:tab/>
        <w:t>Framework Development and Validation</w:t>
      </w:r>
      <w:bookmarkEnd w:id="38"/>
    </w:p>
    <w:p>
      <w:pPr>
        <w:pStyle w:val="First Paragraph"/>
      </w:pPr>
      <w:r>
        <w:rPr>
          <w:rStyle w:val="Section Number"/>
          <w:rtl w:val="0"/>
          <w:lang w:val="en-US"/>
        </w:rPr>
        <w:t>This paper</w:t>
      </w:r>
      <w:r>
        <w:rPr>
          <w:rStyle w:val="Section Number"/>
          <w:rtl w:val="0"/>
          <w:lang w:val="en-US"/>
        </w:rPr>
        <w:t>’</w:t>
      </w:r>
      <w:r>
        <w:rPr>
          <w:rStyle w:val="Section Number"/>
          <w:rtl w:val="0"/>
          <w:lang w:val="en-US"/>
        </w:rPr>
        <w:t>s primary contribution is the three-pillar analytical framework for understanding healthcare analytics challenges: (1) analytics maturity, (2) workforce agility, and (3) technical enablement. This section documents the framework</w:t>
      </w:r>
      <w:r>
        <w:rPr>
          <w:rStyle w:val="Section Number"/>
          <w:rtl w:val="0"/>
          <w:lang w:val="en-US"/>
        </w:rPr>
        <w:t>’</w:t>
      </w:r>
      <w:r>
        <w:rPr>
          <w:rStyle w:val="Section Number"/>
          <w:rtl w:val="0"/>
          <w:lang w:val="en-US"/>
        </w:rPr>
        <w:t>s development process and theoretical grounding.</w:t>
      </w:r>
      <w:bookmarkEnd w:id="39"/>
    </w:p>
    <w:p>
      <w:pPr>
        <w:pStyle w:val="Heading 2"/>
      </w:pPr>
      <w:bookmarkStart w:name="_Toc20" w:id="40"/>
      <w:bookmarkStart w:name="frameworkdevelopmentprocess" w:id="41"/>
      <w:r>
        <w:rPr>
          <w:rStyle w:val="Section Number"/>
          <w:rtl w:val="0"/>
          <w:lang w:val="en-US"/>
        </w:rPr>
        <w:t>3.1</w:t>
        <w:tab/>
        <w:t>Framework Development Process</w:t>
      </w:r>
      <w:bookmarkEnd w:id="40"/>
    </w:p>
    <w:p>
      <w:pPr>
        <w:pStyle w:val="First Paragraph"/>
      </w:pPr>
      <w:r>
        <w:rPr>
          <w:rStyle w:val="Section Number"/>
          <w:rtl w:val="0"/>
          <w:lang w:val="en-US"/>
        </w:rPr>
        <w:t>The three-pillar framework emerged through iterative analysis of the literature corpus. Initial review identified numerous disconnected research streams: NL2SQL technical advances, HIMSS maturity models, healthcare workforce turnover studies, knowledge management theory, and healthcare IT implementation case studies. These appeared as isolated topics until thematic analysis revealed recurring patterns of interdependence.</w:t>
      </w:r>
    </w:p>
    <w:p>
      <w:pPr>
        <w:pStyle w:val="Body Text"/>
      </w:pPr>
      <w:r>
        <w:rPr>
          <w:rStyle w:val="Section Number"/>
          <w:rtl w:val="0"/>
          <w:lang w:val="en-US"/>
        </w:rPr>
        <w:t>The framework development followed these steps:</w:t>
      </w:r>
    </w:p>
    <w:p>
      <w:pPr>
        <w:pStyle w:val="Compact"/>
        <w:numPr>
          <w:ilvl w:val="0"/>
          <w:numId w:val="10"/>
        </w:numPr>
        <w:rPr>
          <w:lang w:val="en-US"/>
        </w:rPr>
      </w:pPr>
      <w:r>
        <w:rPr>
          <w:rFonts w:ascii="Aptos" w:cs="Aptos" w:hAnsi="Aptos" w:eastAsia="Aptos"/>
          <w:i w:val="1"/>
          <w:iCs w:val="1"/>
          <w:rtl w:val="0"/>
          <w:lang w:val="en-US"/>
        </w:rPr>
        <w:t>Theme Extraction</w:t>
      </w:r>
      <w:r>
        <w:rPr>
          <w:rStyle w:val="Section Number"/>
          <w:rtl w:val="0"/>
          <w:lang w:val="en-US"/>
        </w:rPr>
        <w:t>: Systematic coding of included sources identified recurring themes across technical, organizational, and workforce dimensions</w:t>
      </w:r>
    </w:p>
    <w:p>
      <w:pPr>
        <w:pStyle w:val="Compact"/>
        <w:numPr>
          <w:ilvl w:val="0"/>
          <w:numId w:val="2"/>
        </w:numPr>
        <w:rPr>
          <w:lang w:val="en-US"/>
        </w:rPr>
      </w:pPr>
      <w:r>
        <w:rPr>
          <w:rFonts w:ascii="Aptos" w:cs="Aptos" w:hAnsi="Aptos" w:eastAsia="Aptos"/>
          <w:i w:val="1"/>
          <w:iCs w:val="1"/>
          <w:rtl w:val="0"/>
          <w:lang w:val="en-US"/>
        </w:rPr>
        <w:t>Pattern Recognition</w:t>
      </w:r>
      <w:r>
        <w:rPr>
          <w:rStyle w:val="Section Number"/>
          <w:rtl w:val="0"/>
          <w:lang w:val="en-US"/>
        </w:rPr>
        <w:t>: Cross-domain analysis revealed that challenges in each dimension amplified challenges in others. A root cause analysis (observation-why-repeat) determined the framework</w:t>
      </w:r>
      <w:r>
        <w:rPr>
          <w:rStyle w:val="Section Number"/>
          <w:rtl w:val="0"/>
          <w:lang w:val="en-US"/>
        </w:rPr>
        <w:t>’</w:t>
      </w:r>
      <w:r>
        <w:rPr>
          <w:rStyle w:val="Section Number"/>
          <w:rtl w:val="0"/>
          <w:lang w:val="en-US"/>
        </w:rPr>
        <w:t>s ordering: low Analytics Maturity (Observation/Context) is driven by low Workforce Agility (Cause/Actor), which in turn is exacerbated by low Technical Enablement (Root Mechanism/Tool). This causal chain frames the three pillars, drawing on established RCA methodology for organizational learning (</w:t>
      </w:r>
      <w:r>
        <w:rPr>
          <w:rStyle w:val="Hyperlink.0"/>
        </w:rPr>
        <w:fldChar w:fldCharType="begin" w:fldLock="0"/>
      </w:r>
      <w:r>
        <w:rPr>
          <w:rStyle w:val="Hyperlink.0"/>
        </w:rPr>
        <w:instrText xml:space="preserve"> HYPERLINK \l "refallison2021" </w:instrText>
      </w:r>
      <w:r>
        <w:rPr>
          <w:rStyle w:val="Hyperlink.0"/>
        </w:rPr>
        <w:fldChar w:fldCharType="separate" w:fldLock="0"/>
      </w:r>
      <w:r>
        <w:rPr>
          <w:rStyle w:val="Hyperlink.0"/>
          <w:rtl w:val="0"/>
          <w:lang w:val="en-US"/>
        </w:rPr>
        <w:t>30</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"refsoylemez2017" </w:instrText>
      </w:r>
      <w:r>
        <w:rPr>
          <w:rStyle w:val="Hyperlink.0"/>
        </w:rPr>
        <w:fldChar w:fldCharType="separate" w:fldLock="0"/>
      </w:r>
      <w:r>
        <w:rPr>
          <w:rStyle w:val="Hyperlink.0"/>
          <w:rtl w:val="0"/>
          <w:lang w:val="en-US"/>
        </w:rPr>
        <w:t>31</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Pillar Identification</w:t>
      </w:r>
      <w:r>
        <w:rPr>
          <w:rStyle w:val="Section Number"/>
          <w:rtl w:val="0"/>
          <w:lang w:val="en-US"/>
        </w:rPr>
        <w:t>: Three orthogonal yet interconnected dimensions emerged as the organizing structure:</w:t>
      </w:r>
    </w:p>
    <w:p>
      <w:pPr>
        <w:pStyle w:val="Compact"/>
        <w:numPr>
          <w:ilvl w:val="1"/>
          <w:numId w:val="4"/>
        </w:numPr>
        <w:rPr>
          <w:lang w:val="en-US"/>
        </w:rPr>
      </w:pPr>
      <w:r>
        <w:rPr>
          <w:rFonts w:ascii="Aptos" w:cs="Aptos" w:hAnsi="Aptos" w:eastAsia="Aptos"/>
          <w:i w:val="1"/>
          <w:iCs w:val="1"/>
          <w:rtl w:val="0"/>
          <w:lang w:val="en-US"/>
        </w:rPr>
        <w:t>Analytics Maturity</w:t>
      </w:r>
      <w:r>
        <w:rPr>
          <w:rStyle w:val="Section Number"/>
          <w:rtl w:val="0"/>
          <w:lang w:val="en-US"/>
        </w:rPr>
        <w:t>: Organizational capability progression measured against HIMSS AMAM stages</w:t>
      </w:r>
    </w:p>
    <w:p>
      <w:pPr>
        <w:pStyle w:val="Compact"/>
        <w:numPr>
          <w:ilvl w:val="1"/>
          <w:numId w:val="4"/>
        </w:numPr>
        <w:rPr>
          <w:lang w:val="en-US"/>
        </w:rPr>
      </w:pPr>
      <w:r>
        <w:rPr>
          <w:rFonts w:ascii="Aptos" w:cs="Aptos" w:hAnsi="Aptos" w:eastAsia="Aptos"/>
          <w:i w:val="1"/>
          <w:iCs w:val="1"/>
          <w:rtl w:val="0"/>
          <w:lang w:val="en-US"/>
        </w:rPr>
        <w:t>Workforce Agility</w:t>
      </w:r>
      <w:r>
        <w:rPr>
          <w:rStyle w:val="Section Number"/>
          <w:rtl w:val="0"/>
          <w:lang w:val="en-US"/>
        </w:rPr>
        <w:t>: Human capital retention and tacit knowledge preservation</w:t>
      </w:r>
    </w:p>
    <w:p>
      <w:pPr>
        <w:pStyle w:val="Compact"/>
        <w:numPr>
          <w:ilvl w:val="1"/>
          <w:numId w:val="4"/>
        </w:numPr>
        <w:rPr>
          <w:lang w:val="en-US"/>
        </w:rPr>
      </w:pPr>
      <w:r>
        <w:rPr>
          <w:rFonts w:ascii="Aptos" w:cs="Aptos" w:hAnsi="Aptos" w:eastAsia="Aptos"/>
          <w:i w:val="1"/>
          <w:iCs w:val="1"/>
          <w:rtl w:val="0"/>
          <w:lang w:val="en-US"/>
        </w:rPr>
        <w:t>Technical Enablement</w:t>
      </w:r>
      <w:r>
        <w:rPr>
          <w:rStyle w:val="Section Number"/>
          <w:rtl w:val="0"/>
          <w:lang w:val="en-US"/>
        </w:rPr>
        <w:t>: NL2SQL capabilities and healthcare-specific implementation solutions</w:t>
      </w:r>
    </w:p>
    <w:p>
      <w:pPr>
        <w:pStyle w:val="Compact"/>
        <w:numPr>
          <w:ilvl w:val="0"/>
          <w:numId w:val="11"/>
        </w:numPr>
        <w:rPr>
          <w:lang w:val="en-US"/>
        </w:rPr>
      </w:pPr>
      <w:r>
        <w:rPr>
          <w:rFonts w:ascii="Aptos" w:cs="Aptos" w:hAnsi="Aptos" w:eastAsia="Aptos"/>
          <w:i w:val="1"/>
          <w:iCs w:val="1"/>
          <w:rtl w:val="0"/>
          <w:lang w:val="en-US"/>
        </w:rPr>
        <w:t>Framework Validation</w:t>
      </w:r>
      <w:r>
        <w:rPr>
          <w:rStyle w:val="Section Number"/>
          <w:rtl w:val="0"/>
          <w:lang w:val="en-US"/>
        </w:rPr>
        <w:t>: Pillar structure tested against the full corpus to confirm comprehensive coverage without significant gaps</w:t>
      </w:r>
      <w:bookmarkEnd w:id="41"/>
    </w:p>
    <w:p>
      <w:pPr>
        <w:pStyle w:val="Heading 2"/>
      </w:pPr>
      <w:bookmarkStart w:name="_Toc21" w:id="42"/>
      <w:bookmarkStart w:name="theoreticalgrounding" w:id="43"/>
      <w:r>
        <w:rPr>
          <w:rStyle w:val="Section Number"/>
          <w:rtl w:val="0"/>
          <w:lang w:val="en-US"/>
        </w:rPr>
        <w:t>3.2</w:t>
        <w:tab/>
        <w:t>Theoretical Grounding</w:t>
      </w:r>
      <w:bookmarkEnd w:id="42"/>
    </w:p>
    <w:p>
      <w:pPr>
        <w:pStyle w:val="First Paragraph"/>
      </w:pPr>
      <w:r>
        <w:rPr>
          <w:rStyle w:val="Section Number"/>
          <w:rtl w:val="0"/>
          <w:lang w:val="en-US"/>
        </w:rPr>
        <w:t>The three-pillar framework aligns with established models in healthcare informatics and knowledge management:</w:t>
      </w:r>
      <w:r>
        <w:rPr>
          <w:rStyle w:val="Section Number"/>
        </w:rPr>
        <w:br w:type="textWrapping"/>
      </w:r>
      <w:r>
        <w:rPr>
          <w:i w:val="1"/>
          <w:iCs w:val="1"/>
          <w:rtl w:val="0"/>
          <w:lang w:val="en-US"/>
        </w:rPr>
        <w:t xml:space="preserve">Table 3: Framework Alignment with Established Models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49"/>
        <w:gridCol w:w="2580"/>
        <w:gridCol w:w="2207"/>
        <w:gridCol w:w="2724"/>
      </w:tblGrid>
      <w:tr>
        <w:tblPrEx>
          <w:shd w:val="clear" w:color="auto" w:fill="156082"/>
        </w:tblPrEx>
        <w:trPr>
          <w:trHeight w:val="560" w:hRule="atLeast"/>
          <w:tblHeader/>
        </w:trPr>
        <w:tc>
          <w:tcPr>
            <w:tcW w:type="dxa" w:w="184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Three Pillars</w:t>
            </w:r>
          </w:p>
        </w:tc>
        <w:tc>
          <w:tcPr>
            <w:tcW w:type="dxa" w:w="2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HIMSS AMAMAlignment</w:t>
            </w:r>
          </w:p>
        </w:tc>
        <w:tc>
          <w:tcPr>
            <w:tcW w:type="dxa" w:w="22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DIKW Hierarchy</w:t>
            </w:r>
          </w:p>
        </w:tc>
        <w:tc>
          <w:tcPr>
            <w:tcW w:type="dxa" w:w="27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Knowledge</w:t>
            </w:r>
            <w:r>
              <w:rPr>
                <w:shd w:val="nil" w:color="auto" w:fill="auto"/>
                <w:lang w:val="en-US"/>
              </w:rPr>
              <w:br w:type="textWrapping"/>
            </w:r>
            <w:r>
              <w:rPr>
                <w:shd w:val="nil" w:color="auto" w:fill="auto"/>
                <w:rtl w:val="0"/>
                <w:lang w:val="en-US"/>
              </w:rPr>
              <w:t>Management</w:t>
            </w:r>
          </w:p>
        </w:tc>
      </w:tr>
      <w:tr>
        <w:tblPrEx>
          <w:shd w:val="clear" w:color="auto" w:fill="cad1d7"/>
        </w:tblPrEx>
        <w:trPr>
          <w:trHeight w:val="573" w:hRule="atLeast"/>
        </w:trPr>
        <w:tc>
          <w:tcPr>
            <w:tcW w:type="dxa" w:w="184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Analytics Maturity</w:t>
            </w:r>
          </w:p>
        </w:tc>
        <w:tc>
          <w:tcPr>
            <w:tcW w:type="dxa" w:w="2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Stages 0-7</w:t>
            </w:r>
            <w:r>
              <w:rPr>
                <w:shd w:val="nil" w:color="auto" w:fill="auto"/>
                <w:lang w:val="en-US"/>
              </w:rPr>
              <w:br w:type="textWrapping"/>
            </w:r>
            <w:r>
              <w:rPr>
                <w:shd w:val="nil" w:color="auto" w:fill="auto"/>
                <w:rtl w:val="0"/>
                <w:lang w:val="en-US"/>
              </w:rPr>
              <w:t>Progression</w:t>
            </w:r>
          </w:p>
        </w:tc>
        <w:tc>
          <w:tcPr>
            <w:tcW w:type="dxa" w:w="2206"/>
            <w:tcBorders>
              <w:top w:val="nil"/>
              <w:left w:val="nil"/>
              <w:bottom w:val="nil"/>
              <w:right w:val="nil"/>
            </w:tcBorders>
            <w:shd w:val="clear" w:color="auto" w:fill="auto"/>
            <w:tcMar>
              <w:top w:type="dxa" w:w="80"/>
              <w:left w:type="dxa" w:w="80"/>
              <w:bottom w:type="dxa" w:w="80"/>
              <w:right w:type="dxa" w:w="80"/>
            </w:tcMar>
            <w:vAlign w:val="top"/>
          </w:tcPr>
          <w:p>
            <w:pPr>
              <w:pStyle w:val="Compact"/>
              <w:rPr>
                <w:color w:val="000000"/>
                <w:sz w:val="24"/>
              </w:rPr>
            </w:pPr>
            <w:r>
              <w:rPr>
                <w:shd w:val="nil" w:color="auto" w:fill="auto"/>
                <w:rtl w:val="0"/>
                <w:lang w:val="en-US"/>
              </w:rPr>
              <w:t>Data</w:t>
            </w:r>
            <w:r>
              <w:rPr>
                <w:shd w:val="nil" w:color="auto" w:fill="auto"/>
                <w:lang w:val="en-US"/>
              </w:rPr>
              <w:br w:type="textWrapping"/>
            </w:r>
            <m:oMath>
              <m:r>
                <w:rPr xmlns:w="http://schemas.openxmlformats.org/wordprocessingml/2006/main">
                  <w:rFonts w:ascii="Cambria Math" w:hAnsi="Cambria Math"/>
                  <w:i/>
                  <w:color w:val="000000"/>
                  <w:sz w:val="29"/>
                  <w:szCs w:val="29"/>
                </w:rPr>
                <m:t>→</m:t>
              </m:r>
            </m:oMath>
            <w:r>
              <w:rPr>
                <w:shd w:val="nil" w:color="auto" w:fill="auto"/>
                <w:rtl w:val="0"/>
                <w:lang w:val="en-US"/>
              </w:rPr>
              <w:t xml:space="preserve"> Information</w:t>
            </w:r>
          </w:p>
        </w:tc>
        <w:tc>
          <w:tcPr>
            <w:tcW w:type="dxa" w:w="27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Organizational</w:t>
            </w:r>
            <w:r>
              <w:rPr>
                <w:shd w:val="nil" w:color="auto" w:fill="auto"/>
                <w:lang w:val="en-US"/>
              </w:rPr>
              <w:br w:type="textWrapping"/>
            </w:r>
            <w:r>
              <w:rPr>
                <w:shd w:val="nil" w:color="auto" w:fill="auto"/>
                <w:rtl w:val="0"/>
                <w:lang w:val="en-US"/>
              </w:rPr>
              <w:t>L</w:t>
            </w:r>
            <w:r>
              <w:rPr>
                <w:shd w:val="nil" w:color="auto" w:fill="auto"/>
                <w:rtl w:val="0"/>
                <w:lang w:val="en-US"/>
              </w:rPr>
              <w:t>earning</w:t>
            </w:r>
          </w:p>
        </w:tc>
      </w:tr>
      <w:tr>
        <w:tblPrEx>
          <w:shd w:val="clear" w:color="auto" w:fill="cad1d7"/>
        </w:tblPrEx>
        <w:trPr>
          <w:trHeight w:val="573" w:hRule="atLeast"/>
        </w:trPr>
        <w:tc>
          <w:tcPr>
            <w:tcW w:type="dxa" w:w="184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Workforce Agility</w:t>
            </w:r>
          </w:p>
        </w:tc>
        <w:tc>
          <w:tcPr>
            <w:tcW w:type="dxa" w:w="2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Implicit in Advanced Stages</w:t>
            </w:r>
          </w:p>
        </w:tc>
        <w:tc>
          <w:tcPr>
            <w:tcW w:type="dxa" w:w="2206"/>
            <w:tcBorders>
              <w:top w:val="nil"/>
              <w:left w:val="nil"/>
              <w:bottom w:val="nil"/>
              <w:right w:val="nil"/>
            </w:tcBorders>
            <w:shd w:val="clear" w:color="auto" w:fill="auto"/>
            <w:tcMar>
              <w:top w:type="dxa" w:w="80"/>
              <w:left w:type="dxa" w:w="80"/>
              <w:bottom w:type="dxa" w:w="80"/>
              <w:right w:type="dxa" w:w="80"/>
            </w:tcMar>
            <w:vAlign w:val="top"/>
          </w:tcPr>
          <w:p>
            <w:pPr>
              <w:pStyle w:val="Compact"/>
              <w:rPr>
                <w:color w:val="000000"/>
                <w:sz w:val="24"/>
              </w:rPr>
            </w:pPr>
            <w:r>
              <w:rPr>
                <w:shd w:val="nil" w:color="auto" w:fill="auto"/>
                <w:rtl w:val="0"/>
                <w:lang w:val="en-US"/>
              </w:rPr>
              <w:t>Knowledge (tacit)</w:t>
            </w:r>
            <w:r>
              <w:rPr>
                <w:shd w:val="nil" w:color="auto" w:fill="auto"/>
                <w:lang w:val="en-US"/>
              </w:rPr>
              <w:br w:type="textWrapping"/>
            </w:r>
            <m:oMath>
              <m:r>
                <w:rPr xmlns:w="http://schemas.openxmlformats.org/wordprocessingml/2006/main">
                  <w:rFonts w:ascii="Cambria Math" w:hAnsi="Cambria Math"/>
                  <w:i/>
                  <w:color w:val="000000"/>
                  <w:sz w:val="29"/>
                  <w:szCs w:val="29"/>
                </w:rPr>
                <m:t>→</m:t>
              </m:r>
            </m:oMath>
            <w:r>
              <w:rPr>
                <w:shd w:val="nil" w:color="auto" w:fill="auto"/>
                <w:rtl w:val="0"/>
                <w:lang w:val="en-US"/>
              </w:rPr>
              <w:t xml:space="preserve"> Wisdom</w:t>
            </w:r>
          </w:p>
        </w:tc>
        <w:tc>
          <w:tcPr>
            <w:tcW w:type="dxa" w:w="27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Tacit </w:t>
            </w:r>
            <w:r>
              <w:rPr>
                <w:shd w:val="nil" w:color="auto" w:fill="auto"/>
                <w:rtl w:val="0"/>
                <w:lang w:val="en-US"/>
              </w:rPr>
              <w:t>K</w:t>
            </w:r>
            <w:r>
              <w:rPr>
                <w:shd w:val="nil" w:color="auto" w:fill="auto"/>
                <w:rtl w:val="0"/>
                <w:lang w:val="en-US"/>
              </w:rPr>
              <w:t xml:space="preserve">nowledge </w:t>
            </w:r>
            <w:r>
              <w:rPr>
                <w:shd w:val="nil" w:color="auto" w:fill="auto"/>
                <w:rtl w:val="0"/>
                <w:lang w:val="en-US"/>
              </w:rPr>
              <w:t>T</w:t>
            </w:r>
            <w:r>
              <w:rPr>
                <w:shd w:val="nil" w:color="auto" w:fill="auto"/>
                <w:rtl w:val="0"/>
                <w:lang w:val="en-US"/>
              </w:rPr>
              <w:t>ransfer</w:t>
            </w:r>
          </w:p>
        </w:tc>
      </w:tr>
      <w:tr>
        <w:tblPrEx>
          <w:shd w:val="clear" w:color="auto" w:fill="cad1d7"/>
        </w:tblPrEx>
        <w:trPr>
          <w:trHeight w:val="573" w:hRule="atLeast"/>
        </w:trPr>
        <w:tc>
          <w:tcPr>
            <w:tcW w:type="dxa" w:w="184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Technical Enablement</w:t>
            </w:r>
          </w:p>
        </w:tc>
        <w:tc>
          <w:tcPr>
            <w:tcW w:type="dxa" w:w="2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Stages 6-7Requirements</w:t>
            </w:r>
          </w:p>
        </w:tc>
        <w:tc>
          <w:tcPr>
            <w:tcW w:type="dxa" w:w="2206"/>
            <w:tcBorders>
              <w:top w:val="nil"/>
              <w:left w:val="nil"/>
              <w:bottom w:val="nil"/>
              <w:right w:val="nil"/>
            </w:tcBorders>
            <w:shd w:val="clear" w:color="auto" w:fill="auto"/>
            <w:tcMar>
              <w:top w:type="dxa" w:w="80"/>
              <w:left w:type="dxa" w:w="80"/>
              <w:bottom w:type="dxa" w:w="80"/>
              <w:right w:type="dxa" w:w="80"/>
            </w:tcMar>
            <w:vAlign w:val="top"/>
          </w:tcPr>
          <w:p>
            <w:pPr>
              <w:pStyle w:val="Compact"/>
              <w:rPr>
                <w:color w:val="000000"/>
                <w:sz w:val="24"/>
              </w:rPr>
            </w:pPr>
            <w:r>
              <w:rPr>
                <w:shd w:val="nil" w:color="auto" w:fill="auto"/>
                <w:rtl w:val="0"/>
                <w:lang w:val="en-US"/>
              </w:rPr>
              <w:t>Information</w:t>
            </w:r>
            <w:r>
              <w:rPr>
                <w:shd w:val="nil" w:color="auto" w:fill="auto"/>
                <w:lang w:val="en-US"/>
              </w:rPr>
              <w:br w:type="textWrapping"/>
            </w:r>
            <m:oMath>
              <m:r>
                <w:rPr xmlns:w="http://schemas.openxmlformats.org/wordprocessingml/2006/main">
                  <w:rFonts w:ascii="Cambria Math" w:hAnsi="Cambria Math"/>
                  <w:i/>
                  <w:color w:val="000000"/>
                  <w:sz w:val="29"/>
                  <w:szCs w:val="29"/>
                </w:rPr>
                <m:t>→</m:t>
              </m:r>
            </m:oMath>
            <w:r>
              <w:rPr>
                <w:shd w:val="nil" w:color="auto" w:fill="auto"/>
                <w:rtl w:val="0"/>
                <w:lang w:val="en-US"/>
              </w:rPr>
              <w:t xml:space="preserve"> Knowledge</w:t>
            </w:r>
          </w:p>
        </w:tc>
        <w:tc>
          <w:tcPr>
            <w:tcW w:type="dxa" w:w="27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Knowledge</w:t>
            </w:r>
            <w:r>
              <w:rPr>
                <w:shd w:val="nil" w:color="auto" w:fill="auto"/>
                <w:lang w:val="en-US"/>
              </w:rPr>
              <w:br w:type="textWrapping"/>
            </w:r>
            <w:r>
              <w:rPr>
                <w:shd w:val="nil" w:color="auto" w:fill="auto"/>
                <w:rtl w:val="0"/>
                <w:lang w:val="en-US"/>
              </w:rPr>
              <w:t>Codification</w:t>
            </w:r>
          </w:p>
        </w:tc>
      </w:tr>
    </w:tbl>
    <w:p>
      <w:pPr>
        <w:pStyle w:val="First Paragraph"/>
        <w:widowControl w:val="0"/>
      </w:pPr>
    </w:p>
    <w:p>
      <w:pPr>
        <w:pStyle w:val="Body Text"/>
      </w:pPr>
      <w:r>
        <w:rPr>
          <w:rStyle w:val="Section Number"/>
          <w:rtl w:val="0"/>
          <w:lang w:val="en-US"/>
        </w:rPr>
        <w:t>The HIMSS Analytics Maturity Assessment Model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rPr>
        <w:t>2</w:t>
      </w:r>
      <w:r>
        <w:rPr/>
        <w:fldChar w:fldCharType="end" w:fldLock="0"/>
      </w:r>
      <w:r>
        <w:rPr>
          <w:rStyle w:val="Section Number"/>
          <w:rtl w:val="0"/>
          <w:lang w:val="en-US"/>
        </w:rPr>
        <w:t>) provides organizational benchmarks but does not explicitly address workforce knowledge retention. The Data-Information-Knowledge-Wisdom (DIKW) hierarchy (</w:t>
      </w:r>
      <w:r>
        <w:rPr>
          <w:rStyle w:val="Hyperlink.0"/>
        </w:rPr>
        <w:fldChar w:fldCharType="begin" w:fldLock="0"/>
      </w:r>
      <w:r>
        <w:rPr>
          <w:rStyle w:val="Hyperlink.0"/>
        </w:rPr>
        <w:instrText xml:space="preserve"> HYPERLINK \l "refrowley2007" </w:instrText>
      </w:r>
      <w:r>
        <w:rPr>
          <w:rStyle w:val="Hyperlink.0"/>
        </w:rPr>
        <w:fldChar w:fldCharType="separate" w:fldLock="0"/>
      </w:r>
      <w:r>
        <w:rPr>
          <w:rStyle w:val="Hyperlink.0"/>
          <w:rtl w:val="0"/>
        </w:rPr>
        <w:t>32</w:t>
      </w:r>
      <w:r>
        <w:rPr/>
        <w:fldChar w:fldCharType="end" w:fldLock="0"/>
      </w:r>
      <w:r>
        <w:rPr>
          <w:rStyle w:val="Section Number"/>
          <w:rtl w:val="0"/>
          <w:lang w:val="en-US"/>
        </w:rPr>
        <w:t>) explains the progression from raw data to actionable insight, but standard formulations do not address institutional memory loss. The three-pillar framework synthesizes these perspectives, positioning workforce dynamics as the critical enabler connecting data access (analytics maturity) with organizational wisdom (knowledge preservation). It draws on established knowledge management theory for organizational learning (</w:t>
      </w:r>
      <w:r>
        <w:rPr>
          <w:rStyle w:val="Hyperlink.0"/>
        </w:rPr>
        <w:fldChar w:fldCharType="begin" w:fldLock="0"/>
      </w:r>
      <w:r>
        <w:rPr>
          <w:rStyle w:val="Hyperlink.0"/>
        </w:rPr>
        <w:instrText xml:space="preserve"> HYPERLINK \l "refrao2006" </w:instrText>
      </w:r>
      <w:r>
        <w:rPr>
          <w:rStyle w:val="Hyperlink.0"/>
        </w:rPr>
        <w:fldChar w:fldCharType="separate" w:fldLock="0"/>
      </w:r>
      <w:r>
        <w:rPr>
          <w:rStyle w:val="Hyperlink.0"/>
          <w:rtl w:val="0"/>
        </w:rPr>
        <w:t>33</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"refmassingham2018" </w:instrText>
      </w:r>
      <w:r>
        <w:rPr>
          <w:rStyle w:val="Hyperlink.0"/>
        </w:rPr>
        <w:fldChar w:fldCharType="separate" w:fldLock="0"/>
      </w:r>
      <w:r>
        <w:rPr>
          <w:rStyle w:val="Hyperlink.0"/>
          <w:rtl w:val="0"/>
        </w:rPr>
        <w:t>34</w:t>
      </w:r>
      <w:r>
        <w:rPr/>
        <w:fldChar w:fldCharType="end" w:fldLock="0"/>
      </w:r>
      <w:r>
        <w:rPr>
          <w:rStyle w:val="Section Number"/>
          <w:rtl w:val="0"/>
          <w:lang w:val="en-US"/>
        </w:rPr>
        <w:t>), tacit knowledge transfer (</w:t>
      </w:r>
      <w:r>
        <w:rPr>
          <w:rStyle w:val="Hyperlink.0"/>
        </w:rPr>
        <w:fldChar w:fldCharType="begin" w:fldLock="0"/>
      </w:r>
      <w:r>
        <w:rPr>
          <w:rStyle w:val="Hyperlink.0"/>
        </w:rPr>
        <w:instrText xml:space="preserve"> HYPERLINK \l "reffarnese2019" </w:instrText>
      </w:r>
      <w:r>
        <w:rPr>
          <w:rStyle w:val="Hyperlink.0"/>
        </w:rPr>
        <w:fldChar w:fldCharType="separate" w:fldLock="0"/>
      </w:r>
      <w:r>
        <w:rPr>
          <w:rStyle w:val="Hyperlink.0"/>
          <w:rtl w:val="0"/>
        </w:rPr>
        <w:t>35</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"reffoos2006" </w:instrText>
      </w:r>
      <w:r>
        <w:rPr>
          <w:rStyle w:val="Hyperlink.0"/>
        </w:rPr>
        <w:fldChar w:fldCharType="separate" w:fldLock="0"/>
      </w:r>
      <w:r>
        <w:rPr>
          <w:rStyle w:val="Hyperlink.0"/>
          <w:rtl w:val="0"/>
        </w:rPr>
        <w:t>36</w:t>
      </w:r>
      <w:r>
        <w:rPr/>
        <w:fldChar w:fldCharType="end" w:fldLock="0"/>
      </w:r>
      <w:r>
        <w:rPr>
          <w:rStyle w:val="Section Number"/>
          <w:rtl w:val="0"/>
          <w:lang w:val="en-US"/>
        </w:rPr>
        <w:t>), and knowledge codification (</w:t>
      </w:r>
      <w:r>
        <w:rPr>
          <w:rStyle w:val="Hyperlink.0"/>
        </w:rPr>
        <w:fldChar w:fldCharType="begin" w:fldLock="0"/>
      </w:r>
      <w:r>
        <w:rPr>
          <w:rStyle w:val="Hyperlink.0"/>
        </w:rPr>
        <w:instrText xml:space="preserve"> HYPERLINK \l "refbenbya2004" </w:instrText>
      </w:r>
      <w:r>
        <w:rPr>
          <w:rStyle w:val="Hyperlink.0"/>
        </w:rPr>
        <w:fldChar w:fldCharType="separate" w:fldLock="0"/>
      </w:r>
      <w:r>
        <w:rPr>
          <w:rStyle w:val="Hyperlink.0"/>
          <w:rtl w:val="0"/>
        </w:rPr>
        <w:t>37</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"refzhang2025" </w:instrText>
      </w:r>
      <w:r>
        <w:rPr>
          <w:rStyle w:val="Hyperlink.0"/>
        </w:rPr>
        <w:fldChar w:fldCharType="separate" w:fldLock="0"/>
      </w:r>
      <w:r>
        <w:rPr>
          <w:rStyle w:val="Hyperlink.0"/>
          <w:rtl w:val="0"/>
        </w:rPr>
        <w:t>38</w:t>
      </w:r>
      <w:r>
        <w:rPr/>
        <w:fldChar w:fldCharType="end" w:fldLock="0"/>
      </w:r>
      <w:r>
        <w:rPr>
          <w:rStyle w:val="Section Number"/>
          <w:rtl w:val="0"/>
          <w:lang w:val="en-US"/>
        </w:rPr>
        <w:t>) to explain these connections.</w:t>
      </w:r>
      <w:bookmarkEnd w:id="43"/>
    </w:p>
    <w:p>
      <w:pPr>
        <w:pStyle w:val="Heading 2"/>
      </w:pPr>
      <w:bookmarkStart w:name="_Toc22" w:id="44"/>
      <w:bookmarkStart w:name="frameworkscopeandlimitations" w:id="45"/>
      <w:r>
        <w:rPr>
          <w:rStyle w:val="Section Number"/>
          <w:rtl w:val="0"/>
          <w:lang w:val="en-US"/>
        </w:rPr>
        <w:t>3.3</w:t>
        <w:tab/>
        <w:t>Framework Scope and Limitations</w:t>
      </w:r>
      <w:bookmarkEnd w:id="44"/>
    </w:p>
    <w:p>
      <w:pPr>
        <w:pStyle w:val="First Paragraph"/>
      </w:pPr>
      <w:r>
        <w:rPr>
          <w:rStyle w:val="Section Number"/>
          <w:rtl w:val="0"/>
          <w:lang w:val="en-US"/>
        </w:rPr>
        <w:t>The framework is descriptive rather than prescriptive; it provides an analytical lens for understanding healthcare analytics challenges but does not mandate specific solutions. Future research should empirically validate pillar interdependencies through longitudinal organizational studies and develop quantitative metrics for framework dimensions.</w:t>
      </w:r>
      <w:bookmarkEnd w:id="45"/>
    </w:p>
    <w:p>
      <w:pPr>
        <w:pStyle w:val="Heading"/>
      </w:pPr>
      <w:bookmarkStart w:name="_Toc23" w:id="46"/>
      <w:bookmarkStart w:name="Xd2a453c9ebe60b99a01be0fef1c02ede836d252" w:id="47"/>
      <w:r>
        <w:rPr>
          <w:rStyle w:val="Section Number"/>
          <w:rtl w:val="0"/>
          <w:lang w:val="en-US"/>
        </w:rPr>
        <w:t>4</w:t>
        <w:tab/>
        <w:t>Literature Review: Evidence Across the Three Pillars</w:t>
      </w:r>
      <w:bookmarkEnd w:id="46"/>
    </w:p>
    <w:p>
      <w:pPr>
        <w:pStyle w:val="First Paragraph"/>
      </w:pPr>
      <w:r>
        <w:rPr>
          <w:rStyle w:val="Section Number"/>
          <w:rtl w:val="0"/>
          <w:lang w:val="en-US"/>
        </w:rPr>
        <w:t>This narrative review synthesizes evidence across the three pillar domains: analytics maturity, workforce agility, and technical enablement (specifically natural language to SQL generation). Drawing from peer-reviewed research, industry reports, and benchmark datasets identified through the methodology described in Section 2 (Methodology), we document the current state of each pillar and reveal interconnections. Analysis reveals three critical findings: (1) healthcare analytics maturity remains low with most organizations struggling at basic stages, (2) healthcare workforce turnover creates institutional memory loss that traditional approaches fail to address, and (3) natural language to SQL generation has evolved significantly but faces healthcare-specific challenges requiring specialized solutions. Evidence across these three domains reveals significant interconnections and compounding effects that the three-pillar framework synthesizes.</w:t>
      </w:r>
      <w:bookmarkEnd w:id="47"/>
    </w:p>
    <w:p>
      <w:pPr>
        <w:pStyle w:val="Heading 2"/>
      </w:pPr>
      <w:bookmarkStart w:name="_Toc24" w:id="48"/>
      <w:bookmarkStart w:name="stateofhealthcareanalyticsmaturity" w:id="49"/>
      <w:r>
        <w:rPr>
          <w:rStyle w:val="Section Number"/>
          <w:rtl w:val="0"/>
          <w:lang w:val="en-US"/>
        </w:rPr>
        <w:t>4.1</w:t>
        <w:tab/>
        <w:t>State of Healthcare Analytics Maturity</w:t>
      </w:r>
      <w:bookmarkEnd w:id="49"/>
      <w:bookmarkEnd w:id="48"/>
    </w:p>
    <w:p>
      <w:pPr>
        <w:pStyle w:val="Heading 3"/>
      </w:pPr>
      <w:bookmarkStart w:name="_Toc25" w:id="50"/>
      <w:bookmarkStart w:name="loworganizationalmaturity" w:id="51"/>
      <w:r>
        <w:rPr>
          <w:rStyle w:val="Section Number"/>
          <w:rtl w:val="0"/>
          <w:lang w:val="en-US"/>
        </w:rPr>
        <w:t>4.1.1</w:t>
        <w:tab/>
        <w:t>Low Organizational Maturity</w:t>
      </w:r>
      <w:bookmarkEnd w:id="50"/>
    </w:p>
    <w:p>
      <w:pPr>
        <w:pStyle w:val="First Paragraph"/>
      </w:pPr>
      <w:r>
        <w:rPr>
          <w:rStyle w:val="Section Number"/>
          <w:rtl w:val="0"/>
          <w:lang w:val="en-US"/>
        </w:rPr>
        <w:t>The Healthcare Information Management Systems Society (HIMSS) Analytics Maturity Assessment Model (AMAM) provides the industry standard for measuring analytics capabilities. Recent data reveals a concerning state of analytics maturity in healthcare organizations globally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rPr>
        <w:t>2</w:t>
      </w:r>
      <w:r>
        <w:rPr/>
        <w:fldChar w:fldCharType="end" w:fldLock="0"/>
      </w:r>
      <w:r>
        <w:rPr>
          <w:rStyle w:val="Section Number"/>
          <w:rtl w:val="0"/>
          <w:lang w:val="en-US"/>
        </w:rPr>
        <w:t>). The newly revised AMAM24 model, launched in October 2024, represents a significant evolution from the original framework.</w:t>
      </w:r>
    </w:p>
    <w:p>
      <w:pPr>
        <w:pStyle w:val="Body Text"/>
      </w:pPr>
      <w:r>
        <w:rPr>
          <w:rStyle w:val="Section Number"/>
          <w:rtl w:val="0"/>
          <w:lang w:val="en-US"/>
        </w:rPr>
        <w:t>Snowdon (</w:t>
      </w:r>
      <w:r>
        <w:rPr>
          <w:rStyle w:val="Hyperlink.0"/>
        </w:rPr>
        <w:fldChar w:fldCharType="begin" w:fldLock="0"/>
      </w:r>
      <w:r>
        <w:rPr>
          <w:rStyle w:val="Hyperlink.0"/>
        </w:rPr>
        <w:instrText xml:space="preserve"> HYPERLINK \l "refsnowdon2024b" </w:instrText>
      </w:r>
      <w:r>
        <w:rPr>
          <w:rStyle w:val="Hyperlink.0"/>
        </w:rPr>
        <w:fldChar w:fldCharType="separate" w:fldLock="0"/>
      </w:r>
      <w:r>
        <w:rPr>
          <w:rStyle w:val="Hyperlink.0"/>
          <w:rtl w:val="0"/>
        </w:rPr>
        <w:t>22</w:t>
      </w:r>
      <w:r>
        <w:rPr/>
        <w:fldChar w:fldCharType="end" w:fldLock="0"/>
      </w:r>
      <w:r>
        <w:rPr>
          <w:rStyle w:val="Section Number"/>
          <w:rtl w:val="0"/>
          <w:lang w:val="en-US"/>
        </w:rPr>
        <w:t xml:space="preserve">), Chief Scientific Research Officer at HIMSS, emphasizes that </w:t>
      </w:r>
      <w:r>
        <w:rPr>
          <w:rStyle w:val="Section Number"/>
          <w:rtl w:val="0"/>
          <w:lang w:val="en-US"/>
        </w:rPr>
        <w:t>“</w:t>
      </w:r>
      <w:r>
        <w:rPr>
          <w:rStyle w:val="Section Number"/>
          <w:rtl w:val="0"/>
          <w:lang w:val="en-US"/>
        </w:rPr>
        <w:t>analytics as a discipline has changed dramatically in the last five to 10 years,</w:t>
      </w:r>
      <w:r>
        <w:rPr>
          <w:rStyle w:val="Section Number"/>
          <w:rtl w:val="0"/>
          <w:lang w:val="en-US"/>
        </w:rPr>
        <w:t xml:space="preserve">” </w:t>
      </w:r>
      <w:r>
        <w:rPr>
          <w:rStyle w:val="Section Number"/>
          <w:rtl w:val="0"/>
          <w:lang w:val="en-US"/>
        </w:rPr>
        <w:t>yet healthcare organizations struggle to keep pace (</w:t>
      </w:r>
      <w:r>
        <w:rPr>
          <w:rStyle w:val="Hyperlink.0"/>
        </w:rPr>
        <w:fldChar w:fldCharType="begin" w:fldLock="0"/>
      </w:r>
      <w:r>
        <w:rPr>
          <w:rStyle w:val="Hyperlink.0"/>
        </w:rPr>
        <w:instrText xml:space="preserve"> HYPERLINK \l "refwang2018" </w:instrText>
      </w:r>
      <w:r>
        <w:rPr>
          <w:rStyle w:val="Hyperlink.0"/>
        </w:rPr>
        <w:fldChar w:fldCharType="separate" w:fldLock="0"/>
      </w:r>
      <w:r>
        <w:rPr>
          <w:rStyle w:val="Hyperlink.0"/>
          <w:rtl w:val="0"/>
        </w:rPr>
        <w:t>39</w:t>
      </w:r>
      <w:r>
        <w:rPr/>
        <w:fldChar w:fldCharType="end" w:fldLock="0"/>
      </w:r>
      <w:r>
        <w:rPr>
          <w:rStyle w:val="Section Number"/>
          <w:rtl w:val="0"/>
          <w:lang w:val="en-US"/>
        </w:rPr>
        <w:t>). Research confirms healthcare</w:t>
      </w:r>
      <w:r>
        <w:rPr>
          <w:rStyle w:val="Section Number"/>
          <w:rtl w:val="0"/>
          <w:lang w:val="en-US"/>
        </w:rPr>
        <w:t>’</w:t>
      </w:r>
      <w:r>
        <w:rPr>
          <w:rStyle w:val="Section Number"/>
          <w:rtl w:val="0"/>
          <w:lang w:val="en-US"/>
        </w:rPr>
        <w:t>s adoption of analytics often lags behind other sectors such as retail and banking, partly due to the complexity of implementing new technology in clinical environments (</w:t>
      </w:r>
      <w:r>
        <w:rPr>
          <w:rStyle w:val="Hyperlink.0"/>
        </w:rPr>
        <w:fldChar w:fldCharType="begin" w:fldLock="0"/>
      </w:r>
      <w:r>
        <w:rPr>
          <w:rStyle w:val="Hyperlink.0"/>
        </w:rPr>
        <w:instrText xml:space="preserve"> HYPERLINK \l "refwang2018" </w:instrText>
      </w:r>
      <w:r>
        <w:rPr>
          <w:rStyle w:val="Hyperlink.0"/>
        </w:rPr>
        <w:fldChar w:fldCharType="separate" w:fldLock="0"/>
      </w:r>
      <w:r>
        <w:rPr>
          <w:rStyle w:val="Hyperlink.0"/>
          <w:rtl w:val="0"/>
        </w:rPr>
        <w:t>39</w:t>
      </w:r>
      <w:r>
        <w:rPr/>
        <w:fldChar w:fldCharType="end" w:fldLock="0"/>
      </w:r>
      <w:r>
        <w:rPr>
          <w:rStyle w:val="Section Number"/>
          <w:rtl w:val="0"/>
          <w:lang w:val="en-US"/>
        </w:rPr>
        <w:t>), (</w:t>
      </w:r>
      <w:r>
        <w:rPr>
          <w:rStyle w:val="Hyperlink.0"/>
        </w:rPr>
        <w:fldChar w:fldCharType="begin" w:fldLock="0"/>
      </w:r>
      <w:r>
        <w:rPr>
          <w:rStyle w:val="Hyperlink.0"/>
        </w:rPr>
        <w:instrText xml:space="preserve"> HYPERLINK \l "refwang2017" </w:instrText>
      </w:r>
      <w:r>
        <w:rPr>
          <w:rStyle w:val="Hyperlink.0"/>
        </w:rPr>
        <w:fldChar w:fldCharType="separate" w:fldLock="0"/>
      </w:r>
      <w:r>
        <w:rPr>
          <w:rStyle w:val="Hyperlink.0"/>
          <w:rtl w:val="0"/>
        </w:rPr>
        <w:t>40</w:t>
      </w:r>
      <w:r>
        <w:rPr/>
        <w:fldChar w:fldCharType="end" w:fldLock="0"/>
      </w:r>
      <w:r>
        <w:rPr>
          <w:rStyle w:val="Section Number"/>
          <w:rtl w:val="0"/>
          <w:lang w:val="en-US"/>
        </w:rPr>
        <w:t>). The newly revised AMAM model shifts focus from technical capabilities to outcomes and AI governance, requiring evidence of responsible algorithm monitoring (</w:t>
      </w:r>
      <w:r>
        <w:rPr>
          <w:rStyle w:val="Hyperlink.0"/>
        </w:rPr>
        <w:fldChar w:fldCharType="begin" w:fldLock="0"/>
      </w:r>
      <w:r>
        <w:rPr>
          <w:rStyle w:val="Hyperlink.0"/>
        </w:rPr>
        <w:instrText xml:space="preserve"> HYPERLINK \l "refhimss2024apac" </w:instrText>
      </w:r>
      <w:r>
        <w:rPr>
          <w:rStyle w:val="Hyperlink.0"/>
        </w:rPr>
        <w:fldChar w:fldCharType="separate" w:fldLock="0"/>
      </w:r>
      <w:r>
        <w:rPr>
          <w:rStyle w:val="Hyperlink.0"/>
          <w:rtl w:val="0"/>
        </w:rPr>
        <w:t>41</w:t>
      </w:r>
      <w:r>
        <w:rPr/>
        <w:fldChar w:fldCharType="end" w:fldLock="0"/>
      </w:r>
      <w:r>
        <w:rPr>
          <w:rStyle w:val="Section Number"/>
          <w:rtl w:val="0"/>
          <w:lang w:val="en-US"/>
        </w:rPr>
        <w:t>). This shift drove the early 2025 validations of Tampa General Hospital and China Medical University Hospital (CMUH) at Stage 7, confirming that AI readiness is the new gatekeeper for analytics maturity (</w:t>
      </w:r>
      <w:r>
        <w:rPr>
          <w:rStyle w:val="Hyperlink.0"/>
        </w:rPr>
        <w:fldChar w:fldCharType="begin" w:fldLock="0"/>
      </w:r>
      <w:r>
        <w:rPr>
          <w:rStyle w:val="Hyperlink.0"/>
        </w:rPr>
        <w:instrText xml:space="preserve"> HYPERLINK \l "reftgh2025" </w:instrText>
      </w:r>
      <w:r>
        <w:rPr>
          <w:rStyle w:val="Hyperlink.0"/>
        </w:rPr>
        <w:fldChar w:fldCharType="separate" w:fldLock="0"/>
      </w:r>
      <w:r>
        <w:rPr>
          <w:rStyle w:val="Hyperlink.0"/>
          <w:rtl w:val="0"/>
        </w:rPr>
        <w:t>42</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"refcmuh2025" </w:instrText>
      </w:r>
      <w:r>
        <w:rPr>
          <w:rStyle w:val="Hyperlink.0"/>
        </w:rPr>
        <w:fldChar w:fldCharType="separate" w:fldLock="0"/>
      </w:r>
      <w:r>
        <w:rPr>
          <w:rStyle w:val="Hyperlink.0"/>
          <w:rtl w:val="0"/>
        </w:rPr>
        <w:t>43</w:t>
      </w:r>
      <w:r>
        <w:rPr/>
        <w:fldChar w:fldCharType="end" w:fldLock="0"/>
      </w:r>
      <w:r>
        <w:rPr>
          <w:rStyle w:val="Section Number"/>
          <w:rtl w:val="0"/>
          <w:lang w:val="en-US"/>
        </w:rPr>
        <w:t>). Regional adoption dynamics reveal distinct structural drivers: while North American adoption is largely market-driven by value-based care, Middle Eastern adoption is often characterized by government-mandated visions, such as Saudi Arabia</w:t>
      </w:r>
      <w:r>
        <w:rPr>
          <w:rStyle w:val="Section Number"/>
          <w:rtl w:val="0"/>
          <w:lang w:val="en-US"/>
        </w:rPr>
        <w:t>’</w:t>
      </w:r>
      <w:r>
        <w:rPr>
          <w:rStyle w:val="Section Number"/>
          <w:rtl w:val="0"/>
          <w:lang w:val="en-US"/>
        </w:rPr>
        <w:t>s centralized push for digital health excellence which has propelled institutions like King Faisal Specialist Hospital to Stage 7 (</w:t>
      </w:r>
      <w:r>
        <w:rPr>
          <w:rStyle w:val="Hyperlink.0"/>
        </w:rPr>
        <w:fldChar w:fldCharType="begin" w:fldLock="0"/>
      </w:r>
      <w:r>
        <w:rPr>
          <w:rStyle w:val="Hyperlink.0"/>
        </w:rPr>
        <w:instrText xml:space="preserve"> HYPERLINK \l "refksa2024" </w:instrText>
      </w:r>
      <w:r>
        <w:rPr>
          <w:rStyle w:val="Hyperlink.0"/>
        </w:rPr>
        <w:fldChar w:fldCharType="separate" w:fldLock="0"/>
      </w:r>
      <w:r>
        <w:rPr>
          <w:rStyle w:val="Hyperlink.0"/>
          <w:rtl w:val="0"/>
        </w:rPr>
        <w:t>44</w:t>
      </w:r>
      <w:r>
        <w:rPr/>
        <w:fldChar w:fldCharType="end" w:fldLock="0"/>
      </w:r>
      <w:r>
        <w:rPr>
          <w:rStyle w:val="Section Number"/>
          <w:rtl w:val="0"/>
          <w:lang w:val="en-US"/>
        </w:rPr>
        <w:t>).</w:t>
      </w:r>
    </w:p>
    <w:p>
      <w:pPr>
        <w:pStyle w:val="Body Text"/>
      </w:pPr>
      <w:r>
        <w:rPr>
          <w:rStyle w:val="Section Number"/>
          <w:rtl w:val="0"/>
          <w:lang w:val="en-US"/>
        </w:rPr>
        <w:t>Quantitative evidence links organizational maturity to patient outcomes through two related pathways. First, EMR adoption maturity provides foundational infrastructure: cross-sectional studies using the HIMSS Electronic Medical Record Adoption Model (EMRAM) demonstrate that hospitals with advanced EMR adoption (levels 6-7) have 3.25 times higher odds of achieving better Leapfrog Group Hospital Safety Grades compared to hospitals at EMRAM level 0, with significantly reduced infection rates and fewer adverse events (</w:t>
      </w:r>
      <w:r>
        <w:rPr>
          <w:rStyle w:val="Hyperlink.0"/>
        </w:rPr>
        <w:fldChar w:fldCharType="begin" w:fldLock="0"/>
      </w:r>
      <w:r>
        <w:rPr>
          <w:rStyle w:val="Hyperlink.0"/>
        </w:rPr>
        <w:instrText xml:space="preserve"> HYPERLINK \l "refsnowdon2024" </w:instrText>
      </w:r>
      <w:r>
        <w:rPr>
          <w:rStyle w:val="Hyperlink.0"/>
        </w:rPr>
        <w:fldChar w:fldCharType="separate" w:fldLock="0"/>
      </w:r>
      <w:r>
        <w:rPr>
          <w:rStyle w:val="Hyperlink.0"/>
          <w:rtl w:val="0"/>
        </w:rPr>
        <w:t>45</w:t>
      </w:r>
      <w:r>
        <w:rPr/>
        <w:fldChar w:fldCharType="end" w:fldLock="0"/>
      </w:r>
      <w:r>
        <w:rPr>
          <w:rStyle w:val="Section Number"/>
          <w:rtl w:val="0"/>
          <w:lang w:val="en-US"/>
        </w:rPr>
        <w:t xml:space="preserve">). Conversely, organizations at maturity stage 0 are profoundly limited in their capacity to monitor care quality, creating a </w:t>
      </w:r>
      <w:r>
        <w:rPr>
          <w:rStyle w:val="Section Number"/>
          <w:rtl w:val="0"/>
          <w:lang w:val="en-US"/>
        </w:rPr>
        <w:t>“</w:t>
      </w:r>
      <w:r>
        <w:rPr>
          <w:rStyle w:val="Section Number"/>
          <w:rtl w:val="0"/>
          <w:lang w:val="en-US"/>
        </w:rPr>
        <w:t>low-maturity trap</w:t>
      </w:r>
      <w:r>
        <w:rPr>
          <w:rStyle w:val="Section Number"/>
          <w:rtl w:val="0"/>
          <w:lang w:val="en-US"/>
        </w:rPr>
        <w:t xml:space="preserve">” </w:t>
      </w:r>
      <w:r>
        <w:rPr>
          <w:rStyle w:val="Section Number"/>
          <w:rtl w:val="0"/>
          <w:lang w:val="en-US"/>
        </w:rPr>
        <w:t>where underdeveloped systems prevent the baseline measurement necessary for improvement. Second, analytics capabilities build on this digital foundation: big data analytics capabilities, combined with complementary organizational resources and analytical personnel skills, improve readmission rates and patient satisfaction (</w:t>
      </w:r>
      <w:r>
        <w:rPr>
          <w:rStyle w:val="Hyperlink.0"/>
        </w:rPr>
        <w:fldChar w:fldCharType="begin" w:fldLock="0"/>
      </w:r>
      <w:r>
        <w:rPr>
          <w:rStyle w:val="Hyperlink.0"/>
        </w:rPr>
        <w:instrText xml:space="preserve"> HYPERLINK \l "refwang2019" </w:instrText>
      </w:r>
      <w:r>
        <w:rPr>
          <w:rStyle w:val="Hyperlink.0"/>
        </w:rPr>
        <w:fldChar w:fldCharType="separate" w:fldLock="0"/>
      </w:r>
      <w:r>
        <w:rPr>
          <w:rStyle w:val="Hyperlink.0"/>
          <w:rtl w:val="0"/>
        </w:rPr>
        <w:t>46</w:t>
      </w:r>
      <w:r>
        <w:rPr/>
        <w:fldChar w:fldCharType="end" w:fldLock="0"/>
      </w:r>
      <w:r>
        <w:rPr>
          <w:rStyle w:val="Section Number"/>
          <w:rtl w:val="0"/>
          <w:lang w:val="en-US"/>
        </w:rPr>
        <w:t>), while poor-quality data results in diagnostic errors, ineffective treatments, and compromised patient care (</w:t>
      </w:r>
      <w:r>
        <w:rPr>
          <w:rStyle w:val="Hyperlink.0"/>
        </w:rPr>
        <w:fldChar w:fldCharType="begin" w:fldLock="0"/>
      </w:r>
      <w:r>
        <w:rPr>
          <w:rStyle w:val="Hyperlink.0"/>
        </w:rPr>
        <w:instrText xml:space="preserve"> HYPERLINK \l "refgomes2025" </w:instrText>
      </w:r>
      <w:r>
        <w:rPr>
          <w:rStyle w:val="Hyperlink.0"/>
        </w:rPr>
        <w:fldChar w:fldCharType="separate" w:fldLock="0"/>
      </w:r>
      <w:r>
        <w:rPr>
          <w:rStyle w:val="Hyperlink.0"/>
          <w:rtl w:val="0"/>
        </w:rPr>
        <w:t>47</w:t>
      </w:r>
      <w:r>
        <w:rPr/>
        <w:fldChar w:fldCharType="end" w:fldLock="0"/>
      </w:r>
      <w:r>
        <w:rPr>
          <w:rStyle w:val="Section Number"/>
          <w:rtl w:val="0"/>
          <w:lang w:val="en-US"/>
        </w:rPr>
        <w:t>).</w:t>
      </w:r>
    </w:p>
    <w:p>
      <w:pPr>
        <w:pStyle w:val="Body Text"/>
      </w:pPr>
      <w:r>
        <w:rPr>
          <w:rStyle w:val="Section Number"/>
          <w:rtl w:val="0"/>
          <w:lang w:val="en-US"/>
        </w:rPr>
        <w:t>Note that EMRAM measures EMR adoption stages rather than analytics maturity directly; robust digital infrastructure is a prerequisite for analytics, but the AMAM model addresses the analytics-specific capability gap. However, evidence explicitly linking the new AMAM framework to outcomes remains sparse. Studies relying on older proxies yield mixed results: while some align digital maturity with lower staff turnover and reduced errors (</w:t>
      </w:r>
      <w:r>
        <w:rPr>
          <w:rStyle w:val="Hyperlink.0"/>
        </w:rPr>
        <w:fldChar w:fldCharType="begin" w:fldLock="0"/>
      </w:r>
      <w:r>
        <w:rPr>
          <w:rStyle w:val="Hyperlink.0"/>
        </w:rPr>
        <w:instrText xml:space="preserve"> HYPERLINK \l "refwoods2024" </w:instrText>
      </w:r>
      <w:r>
        <w:rPr>
          <w:rStyle w:val="Hyperlink.0"/>
        </w:rPr>
        <w:fldChar w:fldCharType="separate" w:fldLock="0"/>
      </w:r>
      <w:r>
        <w:rPr>
          <w:rStyle w:val="Hyperlink.0"/>
          <w:rtl w:val="0"/>
        </w:rPr>
        <w:t>48</w:t>
      </w:r>
      <w:r>
        <w:rPr/>
        <w:fldChar w:fldCharType="end" w:fldLock="0"/>
      </w:r>
      <w:r>
        <w:rPr>
          <w:rStyle w:val="Section Number"/>
          <w:rtl w:val="0"/>
          <w:lang w:val="en-US"/>
        </w:rPr>
        <w:t>), others find no significant association with readmission rates (</w:t>
      </w:r>
      <w:r>
        <w:rPr>
          <w:rStyle w:val="Hyperlink.0"/>
        </w:rPr>
        <w:fldChar w:fldCharType="begin" w:fldLock="0"/>
      </w:r>
      <w:r>
        <w:rPr>
          <w:rStyle w:val="Hyperlink.0"/>
        </w:rPr>
        <w:instrText xml:space="preserve"> HYPERLINK \l "refsaintulysse2021" </w:instrText>
      </w:r>
      <w:r>
        <w:rPr>
          <w:rStyle w:val="Hyperlink.0"/>
        </w:rPr>
        <w:fldChar w:fldCharType="separate" w:fldLock="0"/>
      </w:r>
      <w:r>
        <w:rPr>
          <w:rStyle w:val="Hyperlink.0"/>
          <w:rtl w:val="0"/>
        </w:rPr>
        <w:t>49</w:t>
      </w:r>
      <w:r>
        <w:rPr/>
        <w:fldChar w:fldCharType="end" w:fldLock="0"/>
      </w:r>
      <w:r>
        <w:rPr>
          <w:rStyle w:val="Section Number"/>
          <w:rtl w:val="0"/>
          <w:lang w:val="en-US"/>
        </w:rPr>
        <w:t>) or mortality (</w:t>
      </w:r>
      <w:r>
        <w:rPr>
          <w:rStyle w:val="Hyperlink.0"/>
        </w:rPr>
        <w:fldChar w:fldCharType="begin" w:fldLock="0"/>
      </w:r>
      <w:r>
        <w:rPr>
          <w:rStyle w:val="Hyperlink.0"/>
        </w:rPr>
        <w:instrText xml:space="preserve"> HYPERLINK \l "refmartin2019" </w:instrText>
      </w:r>
      <w:r>
        <w:rPr>
          <w:rStyle w:val="Hyperlink.0"/>
        </w:rPr>
        <w:fldChar w:fldCharType="separate" w:fldLock="0"/>
      </w:r>
      <w:r>
        <w:rPr>
          <w:rStyle w:val="Hyperlink.0"/>
          <w:rtl w:val="0"/>
        </w:rPr>
        <w:t>50</w:t>
      </w:r>
      <w:r>
        <w:rPr/>
        <w:fldChar w:fldCharType="end" w:fldLock="0"/>
      </w:r>
      <w:r>
        <w:rPr>
          <w:rStyle w:val="Section Number"/>
          <w:rtl w:val="0"/>
          <w:lang w:val="en-US"/>
        </w:rPr>
        <w:t>), suggesting that maturity alone is insufficient without workforce stability.</w:t>
      </w:r>
      <w:bookmarkEnd w:id="51"/>
    </w:p>
    <w:p>
      <w:pPr>
        <w:pStyle w:val="Heading 3"/>
      </w:pPr>
      <w:bookmarkStart w:name="_Toc26" w:id="52"/>
      <w:bookmarkStart w:name="barrierstoanalyticsadoption" w:id="53"/>
      <w:r>
        <w:rPr>
          <w:rStyle w:val="Section Number"/>
          <w:rtl w:val="0"/>
          <w:lang w:val="en-US"/>
        </w:rPr>
        <w:t>4.1.2</w:t>
        <w:tab/>
        <w:t>Barriers to Analytics Adoption</w:t>
      </w:r>
      <w:bookmarkEnd w:id="52"/>
    </w:p>
    <w:p>
      <w:pPr>
        <w:pStyle w:val="First Paragraph"/>
      </w:pPr>
      <w:r>
        <w:rPr>
          <w:rStyle w:val="Section Number"/>
          <w:rtl w:val="0"/>
          <w:lang w:val="en-US"/>
        </w:rPr>
        <w:t>A systematic literature review of big data analytics in healthcare by Kamble et al. (</w:t>
      </w:r>
      <w:r>
        <w:rPr>
          <w:rStyle w:val="Hyperlink.0"/>
        </w:rPr>
        <w:fldChar w:fldCharType="begin" w:fldLock="0"/>
      </w:r>
      <w:r>
        <w:rPr>
          <w:rStyle w:val="Hyperlink.0"/>
        </w:rPr>
        <w:instrText xml:space="preserve"> HYPERLINK \l "refkamble2019" </w:instrText>
      </w:r>
      <w:r>
        <w:rPr>
          <w:rStyle w:val="Hyperlink.0"/>
        </w:rPr>
        <w:fldChar w:fldCharType="separate" w:fldLock="0"/>
      </w:r>
      <w:r>
        <w:rPr>
          <w:rStyle w:val="Hyperlink.0"/>
          <w:rtl w:val="0"/>
        </w:rPr>
        <w:t>17</w:t>
      </w:r>
      <w:r>
        <w:rPr/>
        <w:fldChar w:fldCharType="end" w:fldLock="0"/>
      </w:r>
      <w:r>
        <w:rPr>
          <w:rStyle w:val="Section Number"/>
          <w:rtl w:val="0"/>
          <w:lang w:val="en-US"/>
        </w:rPr>
        <w:t>) identifies critical barriers to analytics adoption. The study reveals that healthcare enterprises struggle with technology selection, resource allocation, and organizational readiness for data-driven decision making.</w:t>
      </w:r>
    </w:p>
    <w:p>
      <w:pPr>
        <w:pStyle w:val="Body Text"/>
      </w:pPr>
      <w:r>
        <w:rPr>
          <w:rStyle w:val="Section Number"/>
          <w:rtl w:val="0"/>
          <w:lang w:val="en-US"/>
        </w:rPr>
        <w:t>Health Catalyst</w:t>
      </w:r>
      <w:r>
        <w:rPr>
          <w:rStyle w:val="Section Number"/>
          <w:rtl w:val="0"/>
          <w:lang w:val="en-US"/>
        </w:rPr>
        <w:t>’</w:t>
      </w:r>
      <w:r>
        <w:rPr>
          <w:rStyle w:val="Section Number"/>
          <w:rtl w:val="0"/>
          <w:lang w:val="en-US"/>
        </w:rPr>
        <w:t>s Healthcare Analytics Adoption Model (</w:t>
      </w:r>
      <w:r>
        <w:rPr>
          <w:rStyle w:val="Hyperlink.0"/>
        </w:rPr>
        <w:fldChar w:fldCharType="begin" w:fldLock="0"/>
      </w:r>
      <w:r>
        <w:rPr>
          <w:rStyle w:val="Hyperlink.0"/>
        </w:rPr>
        <w:instrText xml:space="preserve"> HYPERLINK \l "refhealth2020" </w:instrText>
      </w:r>
      <w:r>
        <w:rPr>
          <w:rStyle w:val="Hyperlink.0"/>
        </w:rPr>
        <w:fldChar w:fldCharType="separate" w:fldLock="0"/>
      </w:r>
      <w:r>
        <w:rPr>
          <w:rStyle w:val="Hyperlink.0"/>
          <w:rtl w:val="0"/>
        </w:rPr>
        <w:t>23</w:t>
      </w:r>
      <w:r>
        <w:rPr/>
        <w:fldChar w:fldCharType="end" w:fldLock="0"/>
      </w:r>
      <w:r>
        <w:rPr>
          <w:rStyle w:val="Section Number"/>
          <w:rtl w:val="0"/>
          <w:lang w:val="en-US"/>
        </w:rPr>
        <w:t>), a vendor-produced framework, corroborates these findings, documenting that most healthcare organizations remain at Stages 0-3, characterized by:</w:t>
      </w:r>
    </w:p>
    <w:p>
      <w:pPr>
        <w:pStyle w:val="Compact"/>
        <w:numPr>
          <w:ilvl w:val="0"/>
          <w:numId w:val="4"/>
        </w:numPr>
        <w:rPr>
          <w:lang w:val="en-US"/>
        </w:rPr>
      </w:pPr>
      <w:r>
        <w:rPr>
          <w:rStyle w:val="Section Number"/>
          <w:rtl w:val="0"/>
          <w:lang w:val="en-US"/>
        </w:rPr>
        <w:t>Fragmented data sources without integration</w:t>
      </w:r>
    </w:p>
    <w:p>
      <w:pPr>
        <w:pStyle w:val="Compact"/>
        <w:numPr>
          <w:ilvl w:val="0"/>
          <w:numId w:val="4"/>
        </w:numPr>
        <w:rPr>
          <w:lang w:val="en-US"/>
        </w:rPr>
      </w:pPr>
      <w:r>
        <w:rPr>
          <w:rStyle w:val="Section Number"/>
          <w:rtl w:val="0"/>
          <w:lang w:val="en-US"/>
        </w:rPr>
        <w:t>Limited automated reporting capabilities</w:t>
      </w:r>
    </w:p>
    <w:p>
      <w:pPr>
        <w:pStyle w:val="Compact"/>
        <w:numPr>
          <w:ilvl w:val="0"/>
          <w:numId w:val="4"/>
        </w:numPr>
        <w:rPr>
          <w:lang w:val="en-US"/>
        </w:rPr>
      </w:pPr>
      <w:r>
        <w:rPr>
          <w:rStyle w:val="Section Number"/>
          <w:rtl w:val="0"/>
          <w:lang w:val="en-US"/>
        </w:rPr>
        <w:t>Lack of standardized data governance</w:t>
      </w:r>
    </w:p>
    <w:p>
      <w:pPr>
        <w:pStyle w:val="Compact"/>
        <w:numPr>
          <w:ilvl w:val="0"/>
          <w:numId w:val="4"/>
        </w:numPr>
        <w:rPr>
          <w:lang w:val="en-US"/>
        </w:rPr>
      </w:pPr>
      <w:r>
        <w:rPr>
          <w:rStyle w:val="Section Number"/>
          <w:rtl w:val="0"/>
          <w:lang w:val="en-US"/>
        </w:rPr>
        <w:t>Minimal predictive or prescriptive analytics</w:t>
      </w:r>
    </w:p>
    <w:p>
      <w:pPr>
        <w:pStyle w:val="Compact"/>
        <w:numPr>
          <w:ilvl w:val="0"/>
          <w:numId w:val="4"/>
        </w:numPr>
        <w:rPr>
          <w:lang w:val="en-US"/>
        </w:rPr>
      </w:pPr>
      <w:r>
        <w:rPr>
          <w:rStyle w:val="Section Number"/>
          <w:rtl w:val="0"/>
          <w:lang w:val="en-US"/>
        </w:rPr>
        <w:t>Absence of real-time decision support</w:t>
      </w:r>
      <w:bookmarkEnd w:id="53"/>
    </w:p>
    <w:p>
      <w:pPr>
        <w:pStyle w:val="Heading 3"/>
      </w:pPr>
      <w:bookmarkStart w:name="_Toc27" w:id="54"/>
      <w:bookmarkStart w:name="theanalyticsskillsgap" w:id="55"/>
      <w:r>
        <w:rPr>
          <w:rStyle w:val="Section Number"/>
          <w:rtl w:val="0"/>
          <w:lang w:val="en-US"/>
        </w:rPr>
        <w:t>4.1.3</w:t>
        <w:tab/>
        <w:t>The Analytics Skills Gap</w:t>
      </w:r>
      <w:bookmarkEnd w:id="54"/>
    </w:p>
    <w:p>
      <w:pPr>
        <w:pStyle w:val="First Paragraph"/>
      </w:pPr>
      <w:r>
        <w:rPr>
          <w:rStyle w:val="Section Number"/>
          <w:rtl w:val="0"/>
          <w:lang w:val="en-US"/>
        </w:rPr>
        <w:t>The literature consistently identifies workforce capabilities as a primary constraint. Healthcare organizations face mounting challenges in extracting meaningful insights from the vast amount of unstructured clinical text data generated daily (</w:t>
      </w:r>
      <w:r>
        <w:rPr>
          <w:rStyle w:val="Hyperlink.0"/>
        </w:rPr>
        <w:fldChar w:fldCharType="begin" w:fldLock="0"/>
      </w:r>
      <w:r>
        <w:rPr>
          <w:rStyle w:val="Hyperlink.0"/>
        </w:rPr>
        <w:instrText xml:space="preserve"> HYPERLINK \l "refnavarro2023" </w:instrText>
      </w:r>
      <w:r>
        <w:rPr>
          <w:rStyle w:val="Hyperlink.0"/>
        </w:rPr>
        <w:fldChar w:fldCharType="separate" w:fldLock="0"/>
      </w:r>
      <w:r>
        <w:rPr>
          <w:rStyle w:val="Hyperlink.0"/>
          <w:rtl w:val="0"/>
        </w:rPr>
        <w:t>51</w:t>
      </w:r>
      <w:r>
        <w:rPr/>
        <w:fldChar w:fldCharType="end" w:fldLock="0"/>
      </w:r>
      <w:r>
        <w:rPr>
          <w:rStyle w:val="Section Number"/>
          <w:rtl w:val="0"/>
          <w:lang w:val="en-US"/>
        </w:rPr>
        <w:t>). There is an acknowledged problem in health services where organizations cannot make good use of available data due to a deficit in skilled analysts across all sectors and levels (</w:t>
      </w:r>
      <w:r>
        <w:rPr>
          <w:rStyle w:val="Hyperlink.0"/>
        </w:rPr>
        <w:fldChar w:fldCharType="begin" w:fldLock="0"/>
      </w:r>
      <w:r>
        <w:rPr>
          <w:rStyle w:val="Hyperlink.0"/>
        </w:rPr>
        <w:instrText xml:space="preserve"> HYPERLINK \l "refbardsley2016" </w:instrText>
      </w:r>
      <w:r>
        <w:rPr>
          <w:rStyle w:val="Hyperlink.0"/>
        </w:rPr>
        <w:fldChar w:fldCharType="separate" w:fldLock="0"/>
      </w:r>
      <w:r>
        <w:rPr>
          <w:rStyle w:val="Hyperlink.0"/>
          <w:rtl w:val="0"/>
        </w:rPr>
        <w:t>52</w:t>
      </w:r>
      <w:r>
        <w:rPr/>
        <w:fldChar w:fldCharType="end" w:fldLock="0"/>
      </w:r>
      <w:r>
        <w:rPr>
          <w:rStyle w:val="Section Number"/>
          <w:rtl w:val="0"/>
          <w:lang w:val="en-US"/>
        </w:rPr>
        <w:t>). Organizations face critical challenges in recruiting and retaining professionals with the right analytical skills, while the need for big data specialists with analytical capabilities continues to grow (</w:t>
      </w:r>
      <w:r>
        <w:rPr>
          <w:rStyle w:val="Hyperlink.0"/>
        </w:rPr>
        <w:fldChar w:fldCharType="begin" w:fldLock="0"/>
      </w:r>
      <w:r>
        <w:rPr>
          <w:rStyle w:val="Hyperlink.0"/>
        </w:rPr>
        <w:instrText xml:space="preserve"> HYPERLINK \l "refpesqueira2020" </w:instrText>
      </w:r>
      <w:r>
        <w:rPr>
          <w:rStyle w:val="Hyperlink.0"/>
        </w:rPr>
        <w:fldChar w:fldCharType="separate" w:fldLock="0"/>
      </w:r>
      <w:r>
        <w:rPr>
          <w:rStyle w:val="Hyperlink.0"/>
          <w:rtl w:val="0"/>
        </w:rPr>
        <w:t>53</w:t>
      </w:r>
      <w:r>
        <w:rPr/>
        <w:fldChar w:fldCharType="end" w:fldLock="0"/>
      </w:r>
      <w:r>
        <w:rPr>
          <w:rStyle w:val="Section Number"/>
          <w:rtl w:val="0"/>
          <w:lang w:val="en-US"/>
        </w:rPr>
        <w:t>). Traditional approaches to analytics require extensive technical expertise and time that healthcare professionals typically lack, creating a fundamental barrier to analytics adoption (</w:t>
      </w:r>
      <w:r>
        <w:rPr>
          <w:rStyle w:val="Hyperlink.0"/>
        </w:rPr>
        <w:fldChar w:fldCharType="begin" w:fldLock="0"/>
      </w:r>
      <w:r>
        <w:rPr>
          <w:rStyle w:val="Hyperlink.0"/>
        </w:rPr>
        <w:instrText xml:space="preserve"> HYPERLINK \l "refamerican2023" </w:instrText>
      </w:r>
      <w:r>
        <w:rPr>
          <w:rStyle w:val="Hyperlink.0"/>
        </w:rPr>
        <w:fldChar w:fldCharType="separate" w:fldLock="0"/>
      </w:r>
      <w:r>
        <w:rPr>
          <w:rStyle w:val="Hyperlink.0"/>
          <w:rtl w:val="0"/>
        </w:rPr>
        <w:t>1</w:t>
      </w:r>
      <w:r>
        <w:rPr/>
        <w:fldChar w:fldCharType="end" w:fldLock="0"/>
      </w:r>
      <w:r>
        <w:rPr>
          <w:rStyle w:val="Section Number"/>
          <w:rtl w:val="0"/>
          <w:lang w:val="en-US"/>
        </w:rPr>
        <w:t>).</w:t>
      </w:r>
      <w:bookmarkEnd w:id="55"/>
    </w:p>
    <w:p>
      <w:pPr>
        <w:pStyle w:val="Heading 3"/>
      </w:pPr>
      <w:bookmarkStart w:name="_Toc28" w:id="56"/>
      <w:bookmarkStart w:name="Xd7b008f104e4adb67a8cd8ff8bcb71d09bb7612" w:id="57"/>
      <w:r>
        <w:rPr>
          <w:rStyle w:val="Section Number"/>
          <w:rtl w:val="0"/>
          <w:lang w:val="en-US"/>
        </w:rPr>
        <w:t>4.1.4</w:t>
        <w:tab/>
        <w:t>Data Quality as a Barrier to Analytics Maturity</w:t>
      </w:r>
      <w:bookmarkEnd w:id="56"/>
    </w:p>
    <w:p>
      <w:pPr>
        <w:pStyle w:val="First Paragraph"/>
      </w:pPr>
      <w:r>
        <w:rPr>
          <w:rStyle w:val="Section Number"/>
          <w:rtl w:val="0"/>
          <w:lang w:val="en-US"/>
        </w:rPr>
        <w:t>Beyond workforce constraints, data quality represents a fundamental barrier preventing healthcare organizations from advancing their analytics capabilities. Research consistently demonstrates that data quality is both a prerequisite for and a dimension of analytics maturity; organizations cannot progress to higher maturity stages without first addressing data quality issues (</w:t>
      </w:r>
      <w:r>
        <w:rPr>
          <w:rStyle w:val="Hyperlink.0"/>
        </w:rPr>
        <w:fldChar w:fldCharType="begin" w:fldLock="0"/>
      </w:r>
      <w:r>
        <w:rPr>
          <w:rStyle w:val="Hyperlink.0"/>
        </w:rPr>
        <w:instrText xml:space="preserve"> HYPERLINK \l "refcarvalho2019" </w:instrText>
      </w:r>
      <w:r>
        <w:rPr>
          <w:rStyle w:val="Hyperlink.0"/>
        </w:rPr>
        <w:fldChar w:fldCharType="separate" w:fldLock="0"/>
      </w:r>
      <w:r>
        <w:rPr>
          <w:rStyle w:val="Hyperlink.0"/>
          <w:rtl w:val="0"/>
        </w:rPr>
        <w:t>54</w:t>
      </w:r>
      <w:r>
        <w:rPr/>
        <w:fldChar w:fldCharType="end" w:fldLock="0"/>
      </w:r>
      <w:r>
        <w:rPr>
          <w:rStyle w:val="Section Number"/>
          <w:rtl w:val="0"/>
          <w:lang w:val="en-US"/>
        </w:rPr>
        <w:t>). Multiple maturity frameworks, including the Healthcare Data Quality Maturity Model (HDQM2) and the Data Analytics Maturity Assessment Framework (DAMAF), explicitly incorporate data quality as a core assessment dimension (</w:t>
      </w:r>
      <w:r>
        <w:rPr>
          <w:rStyle w:val="Hyperlink.0"/>
        </w:rPr>
        <w:fldChar w:fldCharType="begin" w:fldLock="0"/>
      </w:r>
      <w:r>
        <w:rPr>
          <w:rStyle w:val="Hyperlink.0"/>
        </w:rPr>
        <w:instrText xml:space="preserve"> HYPERLINK \l "refpintovalverde2013" </w:instrText>
      </w:r>
      <w:r>
        <w:rPr>
          <w:rStyle w:val="Hyperlink.0"/>
        </w:rPr>
        <w:fldChar w:fldCharType="separate" w:fldLock="0"/>
      </w:r>
      <w:r>
        <w:rPr>
          <w:rStyle w:val="Hyperlink.0"/>
          <w:rtl w:val="0"/>
        </w:rPr>
        <w:t>55</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"refgokalp2023" </w:instrText>
      </w:r>
      <w:r>
        <w:rPr>
          <w:rStyle w:val="Hyperlink.0"/>
        </w:rPr>
        <w:fldChar w:fldCharType="separate" w:fldLock="0"/>
      </w:r>
      <w:r>
        <w:rPr>
          <w:rStyle w:val="Hyperlink.0"/>
          <w:rtl w:val="0"/>
        </w:rPr>
        <w:t>56</w:t>
      </w:r>
      <w:r>
        <w:rPr/>
        <w:fldChar w:fldCharType="end" w:fldLock="0"/>
      </w:r>
      <w:r>
        <w:rPr>
          <w:rStyle w:val="Section Number"/>
          <w:rtl w:val="0"/>
          <w:lang w:val="en-US"/>
        </w:rPr>
        <w:t>). A cross-industry survey found that data management and quality issues, including lack of documentation, accuracy, and consistency, continue to challenge analytics organizations even as they mature, with the specific challenges shifting from integration to privacy and documentation concerns at higher maturity levels (</w:t>
      </w:r>
      <w:r>
        <w:rPr>
          <w:rStyle w:val="Hyperlink.0"/>
        </w:rPr>
        <w:fldChar w:fldCharType="begin" w:fldLock="0"/>
      </w:r>
      <w:r>
        <w:rPr>
          <w:rStyle w:val="Hyperlink.0"/>
        </w:rPr>
        <w:instrText xml:space="preserve"> HYPERLINK \l "reflismont2017" </w:instrText>
      </w:r>
      <w:r>
        <w:rPr>
          <w:rStyle w:val="Hyperlink.0"/>
        </w:rPr>
        <w:fldChar w:fldCharType="separate" w:fldLock="0"/>
      </w:r>
      <w:r>
        <w:rPr>
          <w:rStyle w:val="Hyperlink.0"/>
          <w:rtl w:val="0"/>
        </w:rPr>
        <w:t>57</w:t>
      </w:r>
      <w:r>
        <w:rPr/>
        <w:fldChar w:fldCharType="end" w:fldLock="0"/>
      </w:r>
      <w:r>
        <w:rPr>
          <w:rStyle w:val="Section Number"/>
          <w:rtl w:val="0"/>
          <w:lang w:val="en-US"/>
        </w:rPr>
        <w:t>).</w:t>
      </w:r>
    </w:p>
    <w:p>
      <w:pPr>
        <w:pStyle w:val="Body Text"/>
      </w:pPr>
      <w:r>
        <w:rPr>
          <w:rStyle w:val="Section Number"/>
          <w:rtl w:val="0"/>
          <w:lang w:val="en-US"/>
        </w:rPr>
        <w:t>The prevalence of data quality issues in healthcare databases is substantial. A study of the National Cancer Database found missing data rates ranging from 39.7% for prostate cancer to 71.0% for non-small cell lung cancer (</w:t>
      </w:r>
      <w:r>
        <w:rPr>
          <w:rStyle w:val="Hyperlink.0"/>
        </w:rPr>
        <w:fldChar w:fldCharType="begin" w:fldLock="0"/>
      </w:r>
      <w:r>
        <w:rPr>
          <w:rStyle w:val="Hyperlink.0"/>
        </w:rPr>
        <w:instrText xml:space="preserve"> HYPERLINK \l "refyang2021" </w:instrText>
      </w:r>
      <w:r>
        <w:rPr>
          <w:rStyle w:val="Hyperlink.0"/>
        </w:rPr>
        <w:fldChar w:fldCharType="separate" w:fldLock="0"/>
      </w:r>
      <w:r>
        <w:rPr>
          <w:rStyle w:val="Hyperlink.0"/>
          <w:rtl w:val="0"/>
        </w:rPr>
        <w:t>58</w:t>
      </w:r>
      <w:r>
        <w:rPr/>
        <w:fldChar w:fldCharType="end" w:fldLock="0"/>
      </w:r>
      <w:r>
        <w:rPr>
          <w:rStyle w:val="Section Number"/>
          <w:rtl w:val="0"/>
          <w:lang w:val="en-US"/>
        </w:rPr>
        <w:t>). Medical registry data shows 2.0% to 4.6% inaccurate records and 5% to 6% incomplete data (</w:t>
      </w:r>
      <w:r>
        <w:rPr>
          <w:rStyle w:val="Hyperlink.0"/>
        </w:rPr>
        <w:fldChar w:fldCharType="begin" w:fldLock="0"/>
      </w:r>
      <w:r>
        <w:rPr>
          <w:rStyle w:val="Hyperlink.0"/>
        </w:rPr>
        <w:instrText xml:space="preserve"> HYPERLINK \l "refarts2002" </w:instrText>
      </w:r>
      <w:r>
        <w:rPr>
          <w:rStyle w:val="Hyperlink.0"/>
        </w:rPr>
        <w:fldChar w:fldCharType="separate" w:fldLock="0"/>
      </w:r>
      <w:r>
        <w:rPr>
          <w:rStyle w:val="Hyperlink.0"/>
          <w:rtl w:val="0"/>
        </w:rPr>
        <w:t>59</w:t>
      </w:r>
      <w:r>
        <w:rPr/>
        <w:fldChar w:fldCharType="end" w:fldLock="0"/>
      </w:r>
      <w:r>
        <w:rPr>
          <w:rStyle w:val="Section Number"/>
          <w:rtl w:val="0"/>
          <w:lang w:val="en-US"/>
        </w:rPr>
        <w:t>). Duplicate patient records affect 0.16% to 15.47% of records across healthcare institutions, with wide variation in management practices (</w:t>
      </w:r>
      <w:r>
        <w:rPr>
          <w:rStyle w:val="Hyperlink.0"/>
        </w:rPr>
        <w:fldChar w:fldCharType="begin" w:fldLock="0"/>
      </w:r>
      <w:r>
        <w:rPr>
          <w:rStyle w:val="Hyperlink.0"/>
        </w:rPr>
        <w:instrText xml:space="preserve"> HYPERLINK \l "refmccoy2013" </w:instrText>
      </w:r>
      <w:r>
        <w:rPr>
          <w:rStyle w:val="Hyperlink.0"/>
        </w:rPr>
        <w:fldChar w:fldCharType="separate" w:fldLock="0"/>
      </w:r>
      <w:r>
        <w:rPr>
          <w:rStyle w:val="Hyperlink.0"/>
          <w:rtl w:val="0"/>
        </w:rPr>
        <w:t>60</w:t>
      </w:r>
      <w:r>
        <w:rPr/>
        <w:fldChar w:fldCharType="end" w:fldLock="0"/>
      </w:r>
      <w:r>
        <w:rPr>
          <w:rStyle w:val="Section Number"/>
          <w:rtl w:val="0"/>
          <w:lang w:val="en-US"/>
        </w:rPr>
        <w:t>). Analysis of Medicaid claims data found that 9.74% of data cells contained defects, with issues frequently remaining obscure due to separation between data users and producers (</w:t>
      </w:r>
      <w:r>
        <w:rPr>
          <w:rStyle w:val="Hyperlink.0"/>
        </w:rPr>
        <w:fldChar w:fldCharType="begin" w:fldLock="0"/>
      </w:r>
      <w:r>
        <w:rPr>
          <w:rStyle w:val="Hyperlink.0"/>
        </w:rPr>
        <w:instrText xml:space="preserve"> HYPERLINK \l "refzhang2024" </w:instrText>
      </w:r>
      <w:r>
        <w:rPr>
          <w:rStyle w:val="Hyperlink.0"/>
        </w:rPr>
        <w:fldChar w:fldCharType="separate" w:fldLock="0"/>
      </w:r>
      <w:r>
        <w:rPr>
          <w:rStyle w:val="Hyperlink.0"/>
          <w:rtl w:val="0"/>
        </w:rPr>
        <w:t>9</w:t>
      </w:r>
      <w:r>
        <w:rPr/>
        <w:fldChar w:fldCharType="end" w:fldLock="0"/>
      </w:r>
      <w:r>
        <w:rPr>
          <w:rStyle w:val="Section Number"/>
          <w:rtl w:val="0"/>
          <w:lang w:val="en-US"/>
        </w:rPr>
        <w:t>).</w:t>
      </w:r>
    </w:p>
    <w:p>
      <w:pPr>
        <w:pStyle w:val="Body Text"/>
      </w:pPr>
      <w:r>
        <w:rPr>
          <w:rStyle w:val="Section Number"/>
          <w:rtl w:val="0"/>
          <w:lang w:val="en-US"/>
        </w:rPr>
        <w:t>Critically, automated data quality tools alone are insufficient for healthcare data. Research demonstrates that clinical domain expert involvement is necessary at every stage of the data pipeline, including curation, cleaning, and analysis (</w:t>
      </w:r>
      <w:r>
        <w:rPr>
          <w:rStyle w:val="Hyperlink.0"/>
        </w:rPr>
        <w:fldChar w:fldCharType="begin" w:fldLock="0"/>
      </w:r>
      <w:r>
        <w:rPr>
          <w:rStyle w:val="Hyperlink.0"/>
        </w:rPr>
        <w:instrText xml:space="preserve"> HYPERLINK \l "refrahman2020" </w:instrText>
      </w:r>
      <w:r>
        <w:rPr>
          <w:rStyle w:val="Hyperlink.0"/>
        </w:rPr>
        <w:fldChar w:fldCharType="separate" w:fldLock="0"/>
      </w:r>
      <w:r>
        <w:rPr>
          <w:rStyle w:val="Hyperlink.0"/>
          <w:rtl w:val="0"/>
        </w:rPr>
        <w:t>61</w:t>
      </w:r>
      <w:r>
        <w:rPr/>
        <w:fldChar w:fldCharType="end" w:fldLock="0"/>
      </w:r>
      <w:r>
        <w:rPr>
          <w:rStyle w:val="Section Number"/>
          <w:rtl w:val="0"/>
          <w:lang w:val="en-US"/>
        </w:rPr>
        <w:t>). Automated tools fail to detect context-dependent errors such as mutually exclusive values, definitional differences between institutions, or plausibility issues that require clinical judgment (</w:t>
      </w:r>
      <w:r>
        <w:rPr>
          <w:rStyle w:val="Hyperlink.0"/>
        </w:rPr>
        <w:fldChar w:fldCharType="begin" w:fldLock="0"/>
      </w:r>
      <w:r>
        <w:rPr>
          <w:rStyle w:val="Hyperlink.0"/>
        </w:rPr>
        <w:instrText xml:space="preserve"> HYPERLINK \l "refsirgo2018" </w:instrText>
      </w:r>
      <w:r>
        <w:rPr>
          <w:rStyle w:val="Hyperlink.0"/>
        </w:rPr>
        <w:fldChar w:fldCharType="separate" w:fldLock="0"/>
      </w:r>
      <w:r>
        <w:rPr>
          <w:rStyle w:val="Hyperlink.0"/>
          <w:rtl w:val="0"/>
        </w:rPr>
        <w:t>62</w:t>
      </w:r>
      <w:r>
        <w:rPr/>
        <w:fldChar w:fldCharType="end" w:fldLock="0"/>
      </w:r>
      <w:r>
        <w:rPr>
          <w:rStyle w:val="Section Number"/>
          <w:rtl w:val="0"/>
          <w:lang w:val="en-US"/>
        </w:rPr>
        <w:t>). Even successful automation requires embedding clinical knowledge; generic automated cleaning tools from other domains are unsuitable for clinical data, which requires variable-specific rules based on clinical knowledge of normal ranges, extreme values, and clinical contexts (</w:t>
      </w:r>
      <w:r>
        <w:rPr>
          <w:rStyle w:val="Hyperlink.0"/>
        </w:rPr>
        <w:fldChar w:fldCharType="begin" w:fldLock="0"/>
      </w:r>
      <w:r>
        <w:rPr>
          <w:rStyle w:val="Hyperlink.0"/>
        </w:rPr>
        <w:instrText xml:space="preserve"> HYPERLINK \l "refshi2021" </w:instrText>
      </w:r>
      <w:r>
        <w:rPr>
          <w:rStyle w:val="Hyperlink.0"/>
        </w:rPr>
        <w:fldChar w:fldCharType="separate" w:fldLock="0"/>
      </w:r>
      <w:r>
        <w:rPr>
          <w:rStyle w:val="Hyperlink.0"/>
          <w:rtl w:val="0"/>
        </w:rPr>
        <w:t>63</w:t>
      </w:r>
      <w:r>
        <w:rPr/>
        <w:fldChar w:fldCharType="end" w:fldLock="0"/>
      </w:r>
      <w:r>
        <w:rPr>
          <w:rStyle w:val="Section Number"/>
          <w:rtl w:val="0"/>
          <w:lang w:val="en-US"/>
        </w:rPr>
        <w:t>).</w:t>
      </w:r>
    </w:p>
    <w:p>
      <w:pPr>
        <w:pStyle w:val="Body Text"/>
      </w:pPr>
      <w:r>
        <w:rPr>
          <w:rStyle w:val="Section Number"/>
          <w:rtl w:val="0"/>
          <w:lang w:val="en-US"/>
        </w:rPr>
        <w:t xml:space="preserve">Compounding these challenges, healthcare database schemas are frequently undocumented or poorly documented. Commercial EMR systems use proprietary data models that are not publicly available, requiring </w:t>
      </w:r>
      <w:r>
        <w:rPr>
          <w:rStyle w:val="Section Number"/>
          <w:rtl w:val="0"/>
          <w:lang w:val="en-US"/>
        </w:rPr>
        <w:t>“</w:t>
      </w:r>
      <w:r>
        <w:rPr>
          <w:rStyle w:val="Section Number"/>
          <w:rtl w:val="0"/>
          <w:lang w:val="en-US"/>
        </w:rPr>
        <w:t>detective work</w:t>
      </w:r>
      <w:r>
        <w:rPr>
          <w:rStyle w:val="Section Number"/>
          <w:rtl w:val="0"/>
          <w:lang w:val="en-US"/>
        </w:rPr>
        <w:t xml:space="preserve">” </w:t>
      </w:r>
      <w:r>
        <w:rPr>
          <w:rStyle w:val="Section Number"/>
          <w:rtl w:val="0"/>
          <w:lang w:val="en-US"/>
        </w:rPr>
        <w:t>and reverse-engineering for research data integration (</w:t>
      </w:r>
      <w:r>
        <w:rPr>
          <w:rStyle w:val="Hyperlink.0"/>
        </w:rPr>
        <w:fldChar w:fldCharType="begin" w:fldLock="0"/>
      </w:r>
      <w:r>
        <w:rPr>
          <w:rStyle w:val="Hyperlink.0"/>
        </w:rPr>
        <w:instrText xml:space="preserve"> HYPERLINK \l "refdugas2016" </w:instrText>
      </w:r>
      <w:r>
        <w:rPr>
          <w:rStyle w:val="Hyperlink.0"/>
        </w:rPr>
        <w:fldChar w:fldCharType="separate" w:fldLock="0"/>
      </w:r>
      <w:r>
        <w:rPr>
          <w:rStyle w:val="Hyperlink.0"/>
          <w:rtl w:val="0"/>
        </w:rPr>
        <w:t>64</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"refbokov2017" </w:instrText>
      </w:r>
      <w:r>
        <w:rPr>
          <w:rStyle w:val="Hyperlink.0"/>
        </w:rPr>
        <w:fldChar w:fldCharType="separate" w:fldLock="0"/>
      </w:r>
      <w:r>
        <w:rPr>
          <w:rStyle w:val="Hyperlink.0"/>
          <w:rtl w:val="0"/>
        </w:rPr>
        <w:t>65</w:t>
      </w:r>
      <w:r>
        <w:rPr/>
        <w:fldChar w:fldCharType="end" w:fldLock="0"/>
      </w:r>
      <w:r>
        <w:rPr>
          <w:rStyle w:val="Section Number"/>
          <w:rtl w:val="0"/>
          <w:lang w:val="en-US"/>
        </w:rPr>
        <w:t>). A systematic review found that metadata models are often too complicated for healthcare professionals without specific IT skills, resulting in rare usage and poorly maintained documentation (</w:t>
      </w:r>
      <w:r>
        <w:rPr>
          <w:rStyle w:val="Hyperlink.0"/>
        </w:rPr>
        <w:fldChar w:fldCharType="begin" w:fldLock="0"/>
      </w:r>
      <w:r>
        <w:rPr>
          <w:rStyle w:val="Hyperlink.0"/>
        </w:rPr>
        <w:instrText xml:space="preserve"> HYPERLINK \l "refulrich2022" </w:instrText>
      </w:r>
      <w:r>
        <w:rPr>
          <w:rStyle w:val="Hyperlink.0"/>
        </w:rPr>
        <w:fldChar w:fldCharType="separate" w:fldLock="0"/>
      </w:r>
      <w:r>
        <w:rPr>
          <w:rStyle w:val="Hyperlink.0"/>
          <w:rtl w:val="0"/>
        </w:rPr>
        <w:t>66</w:t>
      </w:r>
      <w:r>
        <w:rPr/>
        <w:fldChar w:fldCharType="end" w:fldLock="0"/>
      </w:r>
      <w:r>
        <w:rPr>
          <w:rStyle w:val="Section Number"/>
          <w:rtl w:val="0"/>
          <w:lang w:val="en-US"/>
        </w:rPr>
        <w:t>). Poor chart documentation by healthcare providers propagates downstream to administrative data quality issues (</w:t>
      </w:r>
      <w:r>
        <w:rPr>
          <w:rStyle w:val="Hyperlink.0"/>
        </w:rPr>
        <w:fldChar w:fldCharType="begin" w:fldLock="0"/>
      </w:r>
      <w:r>
        <w:rPr>
          <w:rStyle w:val="Hyperlink.0"/>
        </w:rPr>
        <w:instrText xml:space="preserve"> HYPERLINK \l "reflucyk2017" </w:instrText>
      </w:r>
      <w:r>
        <w:rPr>
          <w:rStyle w:val="Hyperlink.0"/>
        </w:rPr>
        <w:fldChar w:fldCharType="separate" w:fldLock="0"/>
      </w:r>
      <w:r>
        <w:rPr>
          <w:rStyle w:val="Hyperlink.0"/>
          <w:rtl w:val="0"/>
        </w:rPr>
        <w:t>67</w:t>
      </w:r>
      <w:r>
        <w:rPr/>
        <w:fldChar w:fldCharType="end" w:fldLock="0"/>
      </w:r>
      <w:r>
        <w:rPr>
          <w:rStyle w:val="Section Number"/>
          <w:rtl w:val="0"/>
          <w:lang w:val="en-US"/>
        </w:rPr>
        <w:t xml:space="preserve">). Most critically, documentation knowledge is lost with staff changes: decisions based on poorly documented data represent significant costs and risks, with explicit identification of </w:t>
      </w:r>
      <w:r>
        <w:rPr>
          <w:rStyle w:val="Section Number"/>
          <w:rtl w:val="0"/>
          <w:lang w:val="en-US"/>
        </w:rPr>
        <w:t>“</w:t>
      </w:r>
      <w:r>
        <w:rPr>
          <w:rStyle w:val="Section Number"/>
          <w:rtl w:val="0"/>
          <w:lang w:val="en-US"/>
        </w:rPr>
        <w:t>loss of information with staff changes</w:t>
      </w:r>
      <w:r>
        <w:rPr>
          <w:rStyle w:val="Section Number"/>
          <w:rtl w:val="0"/>
          <w:lang w:val="en-US"/>
        </w:rPr>
        <w:t xml:space="preserve">” </w:t>
      </w:r>
      <w:r>
        <w:rPr>
          <w:rStyle w:val="Section Number"/>
          <w:rtl w:val="0"/>
          <w:lang w:val="en-US"/>
        </w:rPr>
        <w:t>as a key vulnerability (</w:t>
      </w:r>
      <w:r>
        <w:rPr>
          <w:rStyle w:val="Hyperlink.0"/>
        </w:rPr>
        <w:fldChar w:fldCharType="begin" w:fldLock="0"/>
      </w:r>
      <w:r>
        <w:rPr>
          <w:rStyle w:val="Hyperlink.0"/>
        </w:rPr>
        <w:instrText xml:space="preserve"> HYPERLINK \l "refhovenga2013" </w:instrText>
      </w:r>
      <w:r>
        <w:rPr>
          <w:rStyle w:val="Hyperlink.0"/>
        </w:rPr>
        <w:fldChar w:fldCharType="separate" w:fldLock="0"/>
      </w:r>
      <w:r>
        <w:rPr>
          <w:rStyle w:val="Hyperlink.0"/>
          <w:rtl w:val="0"/>
        </w:rPr>
        <w:t>68</w:t>
      </w:r>
      <w:r>
        <w:rPr/>
        <w:fldChar w:fldCharType="end" w:fldLock="0"/>
      </w:r>
      <w:r>
        <w:rPr>
          <w:rStyle w:val="Section Number"/>
          <w:rtl w:val="0"/>
          <w:lang w:val="en-US"/>
        </w:rPr>
        <w:t>).</w:t>
      </w:r>
    </w:p>
    <w:p>
      <w:pPr>
        <w:pStyle w:val="Body Text"/>
      </w:pPr>
      <w:r>
        <w:rPr>
          <w:rStyle w:val="Section Number"/>
          <w:rtl w:val="0"/>
          <w:lang w:val="en-US"/>
        </w:rPr>
        <w:t>This creates a compounding effect across the three pillars: low-maturity organizations have worse data quality and documentation, which requires domain expertise to address, but that expertise is lost through workforce turnover, further degrading data quality and preventing maturity advancement. This persistent state of low maturity is not a static condition but is actively driven by underlying workforce dynamics, which the next section will explore.</w:t>
      </w:r>
      <w:bookmarkEnd w:id="57"/>
    </w:p>
    <w:p>
      <w:pPr>
        <w:pStyle w:val="Heading 2"/>
      </w:pPr>
      <w:bookmarkStart w:name="_Toc29" w:id="58"/>
      <w:bookmarkStart w:name="X033aaa01add75caa19416ed7b909f71ff5bd76d" w:id="59"/>
      <w:r>
        <w:rPr>
          <w:rStyle w:val="Section Number"/>
          <w:rtl w:val="0"/>
          <w:lang w:val="en-US"/>
        </w:rPr>
        <w:t>4.2</w:t>
        <w:tab/>
        <w:t>Healthcare Workforce Turnover and Knowledge Loss</w:t>
      </w:r>
      <w:bookmarkEnd w:id="59"/>
      <w:bookmarkEnd w:id="58"/>
    </w:p>
    <w:p>
      <w:pPr>
        <w:pStyle w:val="Heading 3"/>
      </w:pPr>
      <w:bookmarkStart w:name="_Toc30" w:id="60"/>
      <w:bookmarkStart w:name="turnoverratesandfinancialimpact" w:id="61"/>
      <w:r>
        <w:rPr>
          <w:rStyle w:val="Section Number"/>
          <w:rtl w:val="0"/>
          <w:lang w:val="en-US"/>
        </w:rPr>
        <w:t>4.2.1</w:t>
        <w:tab/>
        <w:t>Turnover Rates and Financial Impact</w:t>
      </w:r>
      <w:bookmarkEnd w:id="60"/>
    </w:p>
    <w:p>
      <w:pPr>
        <w:pStyle w:val="First Paragraph"/>
      </w:pPr>
      <w:r>
        <w:rPr>
          <w:rStyle w:val="Section Number"/>
          <w:rtl w:val="0"/>
          <w:lang w:val="en-US"/>
        </w:rPr>
        <w:t>While clinical turnover is well-studied (</w:t>
      </w:r>
      <w:r>
        <w:rPr>
          <w:rStyle w:val="Hyperlink.0"/>
        </w:rPr>
        <w:fldChar w:fldCharType="begin" w:fldLock="0"/>
      </w:r>
      <w:r>
        <w:rPr>
          <w:rStyle w:val="Hyperlink.0"/>
        </w:rPr>
        <w:instrText xml:space="preserve"> HYPERLINK \l "refwu2024" </w:instrText>
      </w:r>
      <w:r>
        <w:rPr>
          <w:rStyle w:val="Hyperlink.0"/>
        </w:rPr>
        <w:fldChar w:fldCharType="separate" w:fldLock="0"/>
      </w:r>
      <w:r>
        <w:rPr>
          <w:rStyle w:val="Hyperlink.0"/>
          <w:rtl w:val="0"/>
        </w:rPr>
        <w:t>69</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"refren2024" </w:instrText>
      </w:r>
      <w:r>
        <w:rPr>
          <w:rStyle w:val="Hyperlink.0"/>
        </w:rPr>
        <w:fldChar w:fldCharType="separate" w:fldLock="0"/>
      </w:r>
      <w:r>
        <w:rPr>
          <w:rStyle w:val="Hyperlink.0"/>
          <w:rtl w:val="0"/>
        </w:rPr>
        <w:t>70</w:t>
      </w:r>
      <w:r>
        <w:rPr/>
        <w:fldChar w:fldCharType="end" w:fldLock="0"/>
      </w:r>
      <w:r>
        <w:rPr>
          <w:rStyle w:val="Section Number"/>
          <w:rtl w:val="0"/>
          <w:lang w:val="en-US"/>
        </w:rPr>
        <w:t xml:space="preserve">), technical staff turnover is more directly relevant to analytics maturity and carries equally severe operational and financial consequences. Hong (2025) demonstrates that turnover in federal IT roles directly degrades organizational memory, causing a </w:t>
      </w:r>
      <w:r>
        <w:rPr>
          <w:rStyle w:val="Section Number"/>
          <w:rtl w:val="0"/>
          <w:lang w:val="en-US"/>
        </w:rPr>
        <w:t>‘</w:t>
      </w:r>
      <w:r>
        <w:rPr>
          <w:rStyle w:val="Section Number"/>
          <w:rtl w:val="0"/>
          <w:lang w:val="en-US"/>
        </w:rPr>
        <w:t>sliding back</w:t>
      </w:r>
      <w:r>
        <w:rPr>
          <w:rStyle w:val="Section Number"/>
          <w:rtl w:val="0"/>
          <w:lang w:val="en-US"/>
        </w:rPr>
        <w:t xml:space="preserve">’ </w:t>
      </w:r>
      <w:r>
        <w:rPr>
          <w:rStyle w:val="Section Number"/>
          <w:rtl w:val="0"/>
          <w:lang w:val="en-US"/>
        </w:rPr>
        <w:t>of performance capabilities (</w:t>
      </w:r>
      <w:r>
        <w:rPr>
          <w:rStyle w:val="Hyperlink.0"/>
        </w:rPr>
        <w:fldChar w:fldCharType="begin" w:fldLock="0"/>
      </w:r>
      <w:r>
        <w:rPr>
          <w:rStyle w:val="Hyperlink.0"/>
        </w:rPr>
        <w:instrText xml:space="preserve"> HYPERLINK \l "refhong2025" </w:instrText>
      </w:r>
      <w:r>
        <w:rPr>
          <w:rStyle w:val="Hyperlink.0"/>
        </w:rPr>
        <w:fldChar w:fldCharType="separate" w:fldLock="0"/>
      </w:r>
      <w:r>
        <w:rPr>
          <w:rStyle w:val="Hyperlink.0"/>
          <w:rtl w:val="0"/>
        </w:rPr>
        <w:t>71</w:t>
      </w:r>
      <w:r>
        <w:rPr/>
        <w:fldChar w:fldCharType="end" w:fldLock="0"/>
      </w:r>
      <w:r>
        <w:rPr>
          <w:rStyle w:val="Section Number"/>
          <w:rtl w:val="0"/>
          <w:lang w:val="en-US"/>
        </w:rPr>
        <w:t>). This is compounded by persistent vacancies; AHIMA/NORC (2023) report that 66% of health information professionals face staffing shortages, creating bottlenecks that delay critical analytics initiatives (</w:t>
      </w:r>
      <w:r>
        <w:rPr>
          <w:rStyle w:val="Hyperlink.0"/>
        </w:rPr>
        <w:fldChar w:fldCharType="begin" w:fldLock="0"/>
      </w:r>
      <w:r>
        <w:rPr>
          <w:rStyle w:val="Hyperlink.0"/>
        </w:rPr>
        <w:instrText xml:space="preserve"> HYPERLINK \l "refamerican2023" </w:instrText>
      </w:r>
      <w:r>
        <w:rPr>
          <w:rStyle w:val="Hyperlink.0"/>
        </w:rPr>
        <w:fldChar w:fldCharType="separate" w:fldLock="0"/>
      </w:r>
      <w:r>
        <w:rPr>
          <w:rStyle w:val="Hyperlink.0"/>
          <w:rtl w:val="0"/>
        </w:rPr>
        <w:t>1</w:t>
      </w:r>
      <w:r>
        <w:rPr/>
        <w:fldChar w:fldCharType="end" w:fldLock="0"/>
      </w:r>
      <w:r>
        <w:rPr>
          <w:rStyle w:val="Section Number"/>
          <w:rtl w:val="0"/>
          <w:lang w:val="en-US"/>
        </w:rPr>
        <w:t>).</w:t>
      </w:r>
    </w:p>
    <w:p>
      <w:pPr>
        <w:pStyle w:val="Body Text"/>
      </w:pPr>
      <w:r>
        <w:rPr>
          <w:rStyle w:val="Section Number"/>
          <w:rtl w:val="0"/>
          <w:lang w:val="en-US"/>
        </w:rPr>
        <w:t>The financial impact of this instability is substantial. Massingham (2018) demonstrates that the total cost of knowledge loss in specialized sectors can reach three times the annual salary budget for the departing role (</w:t>
      </w:r>
      <w:r>
        <w:rPr>
          <w:rStyle w:val="Hyperlink.0"/>
        </w:rPr>
        <w:fldChar w:fldCharType="begin" w:fldLock="0"/>
      </w:r>
      <w:r>
        <w:rPr>
          <w:rStyle w:val="Hyperlink.0"/>
        </w:rPr>
        <w:instrText xml:space="preserve"> HYPERLINK \l "refmassingham2018" </w:instrText>
      </w:r>
      <w:r>
        <w:rPr>
          <w:rStyle w:val="Hyperlink.0"/>
        </w:rPr>
        <w:fldChar w:fldCharType="separate" w:fldLock="0"/>
      </w:r>
      <w:r>
        <w:rPr>
          <w:rStyle w:val="Hyperlink.0"/>
          <w:rtl w:val="0"/>
        </w:rPr>
        <w:t>34</w:t>
      </w:r>
      <w:r>
        <w:rPr/>
        <w:fldChar w:fldCharType="end" w:fldLock="0"/>
      </w:r>
      <w:r>
        <w:rPr>
          <w:rStyle w:val="Section Number"/>
          <w:rtl w:val="0"/>
          <w:lang w:val="en-US"/>
        </w:rPr>
        <w:t xml:space="preserve">). In healthcare, vendor analysis from Oracle (2024) corroborates this </w:t>
      </w:r>
      <w:r>
        <w:rPr>
          <w:rStyle w:val="Section Number"/>
          <w:rtl w:val="0"/>
          <w:lang w:val="en-US"/>
        </w:rPr>
        <w:t>“</w:t>
      </w:r>
      <w:r>
        <w:rPr>
          <w:rStyle w:val="Section Number"/>
          <w:rtl w:val="0"/>
          <w:lang w:val="en-US"/>
        </w:rPr>
        <w:t>knowledge worker premium,</w:t>
      </w:r>
      <w:r>
        <w:rPr>
          <w:rStyle w:val="Section Number"/>
          <w:rtl w:val="0"/>
          <w:lang w:val="en-US"/>
        </w:rPr>
        <w:t xml:space="preserve">” </w:t>
      </w:r>
      <w:r>
        <w:rPr>
          <w:rStyle w:val="Section Number"/>
          <w:rtl w:val="0"/>
          <w:lang w:val="en-US"/>
        </w:rPr>
        <w:t>documenting that turnover costs for informatics and innovation-focused roles range from 1.5 to 2.0 times annual salary due to the extreme scarcity of specialized digital skills (</w:t>
      </w:r>
      <w:r>
        <w:rPr>
          <w:rStyle w:val="Hyperlink.0"/>
        </w:rPr>
        <w:fldChar w:fldCharType="begin" w:fldLock="0"/>
      </w:r>
      <w:r>
        <w:rPr>
          <w:rStyle w:val="Hyperlink.0"/>
        </w:rPr>
        <w:instrText xml:space="preserve"> HYPERLINK \l "reforacle2024" </w:instrText>
      </w:r>
      <w:r>
        <w:rPr>
          <w:rStyle w:val="Hyperlink.0"/>
        </w:rPr>
        <w:fldChar w:fldCharType="separate" w:fldLock="0"/>
      </w:r>
      <w:r>
        <w:rPr>
          <w:rStyle w:val="Hyperlink.0"/>
          <w:rtl w:val="0"/>
        </w:rPr>
        <w:t>26</w:t>
      </w:r>
      <w:r>
        <w:rPr/>
        <w:fldChar w:fldCharType="end" w:fldLock="0"/>
      </w:r>
      <w:r>
        <w:rPr>
          <w:rStyle w:val="Section Number"/>
          <w:rtl w:val="0"/>
          <w:lang w:val="en-US"/>
        </w:rPr>
        <w:t>). These figures align with established benchmarks for leadership departures, where recruitment and lost productivity costs can exceed $500,000 per specialist (</w:t>
      </w:r>
      <w:r>
        <w:rPr>
          <w:rStyle w:val="Hyperlink.0"/>
        </w:rPr>
        <w:fldChar w:fldCharType="begin" w:fldLock="0"/>
      </w:r>
      <w:r>
        <w:rPr>
          <w:rStyle w:val="Hyperlink.0"/>
        </w:rPr>
        <w:instrText xml:space="preserve"> HYPERLINK \l "refwillardgrace2019" </w:instrText>
      </w:r>
      <w:r>
        <w:rPr>
          <w:rStyle w:val="Hyperlink.0"/>
        </w:rPr>
        <w:fldChar w:fldCharType="separate" w:fldLock="0"/>
      </w:r>
      <w:r>
        <w:rPr>
          <w:rStyle w:val="Hyperlink.0"/>
          <w:rtl w:val="0"/>
        </w:rPr>
        <w:t>72</w:t>
      </w:r>
      <w:r>
        <w:rPr/>
        <w:fldChar w:fldCharType="end" w:fldLock="0"/>
      </w:r>
      <w:r>
        <w:rPr>
          <w:rStyle w:val="Section Number"/>
          <w:rtl w:val="0"/>
          <w:lang w:val="en-US"/>
        </w:rPr>
        <w:t>).</w:t>
      </w:r>
    </w:p>
    <w:p>
      <w:pPr>
        <w:pStyle w:val="Body Text"/>
      </w:pPr>
      <w:r>
        <w:rPr>
          <w:rStyle w:val="Section Number"/>
          <w:rtl w:val="0"/>
          <w:lang w:val="en-US"/>
        </w:rPr>
        <w:t>Technical and analytics staff face acute instability that extends beyond general turnover baselines. While hospital-wide data establishes a high churn environment, with 30% of all new employees (clinical and non-clinical) leaving within their first year (</w:t>
      </w:r>
      <w:r>
        <w:rPr>
          <w:rStyle w:val="Hyperlink.0"/>
        </w:rPr>
        <w:fldChar w:fldCharType="begin" w:fldLock="0"/>
      </w:r>
      <w:r>
        <w:rPr>
          <w:rStyle w:val="Hyperlink.0"/>
        </w:rPr>
        <w:instrText xml:space="preserve"> HYPERLINK \l "refnsi2025" </w:instrText>
      </w:r>
      <w:r>
        <w:rPr>
          <w:rStyle w:val="Hyperlink.0"/>
        </w:rPr>
        <w:fldChar w:fldCharType="separate" w:fldLock="0"/>
      </w:r>
      <w:r>
        <w:rPr>
          <w:rStyle w:val="Hyperlink.0"/>
          <w:rtl w:val="0"/>
        </w:rPr>
        <w:t>73</w:t>
      </w:r>
      <w:r>
        <w:rPr/>
        <w:fldChar w:fldCharType="end" w:fldLock="0"/>
      </w:r>
      <w:r>
        <w:rPr>
          <w:rStyle w:val="Section Number"/>
          <w:rtl w:val="0"/>
          <w:lang w:val="en-US"/>
        </w:rPr>
        <w:t>), the crisis in informatics roles is even more severe. Recent industry assessments reveal shortages at both leadership and operational levels. Strategically, 53% of healthcare CIOs have held their current role for less than three years (</w:t>
      </w:r>
      <w:r>
        <w:rPr>
          <w:rStyle w:val="Hyperlink.0"/>
        </w:rPr>
        <w:fldChar w:fldCharType="begin" w:fldLock="0"/>
      </w:r>
      <w:r>
        <w:rPr>
          <w:rStyle w:val="Hyperlink.0"/>
        </w:rPr>
        <w:instrText xml:space="preserve"> HYPERLINK \l "refwittkieffer2024" </w:instrText>
      </w:r>
      <w:r>
        <w:rPr>
          <w:rStyle w:val="Hyperlink.0"/>
        </w:rPr>
        <w:fldChar w:fldCharType="separate" w:fldLock="0"/>
      </w:r>
      <w:r>
        <w:rPr>
          <w:rStyle w:val="Hyperlink.0"/>
          <w:rtl w:val="0"/>
        </w:rPr>
        <w:t>4</w:t>
      </w:r>
      <w:r>
        <w:rPr/>
        <w:fldChar w:fldCharType="end" w:fldLock="0"/>
      </w:r>
      <w:r>
        <w:rPr>
          <w:rStyle w:val="Section Number"/>
          <w:rtl w:val="0"/>
          <w:lang w:val="en-US"/>
        </w:rPr>
        <w:t xml:space="preserve">), creating leadership vacuums that disrupt long-term analytics initiatives. Operationally, this instability is compounded by persistent vacancies, with 79% of healthcare provider organizations reporting shortages in </w:t>
      </w:r>
      <w:r>
        <w:rPr>
          <w:rStyle w:val="Section Number"/>
          <w:rtl w:val="0"/>
          <w:lang w:val="en-US"/>
        </w:rPr>
        <w:t>“</w:t>
      </w:r>
      <w:r>
        <w:rPr>
          <w:rStyle w:val="Section Number"/>
          <w:rtl w:val="0"/>
          <w:lang w:val="en-US"/>
        </w:rPr>
        <w:t>Information and Digital Health</w:t>
      </w:r>
      <w:r>
        <w:rPr>
          <w:rStyle w:val="Section Number"/>
          <w:rtl w:val="0"/>
          <w:lang w:val="en-US"/>
        </w:rPr>
        <w:t xml:space="preserve">” </w:t>
      </w:r>
      <w:r>
        <w:rPr>
          <w:rStyle w:val="Section Number"/>
          <w:rtl w:val="0"/>
          <w:lang w:val="en-US"/>
        </w:rPr>
        <w:t>roles (</w:t>
      </w:r>
      <w:r>
        <w:rPr>
          <w:rStyle w:val="Hyperlink.0"/>
        </w:rPr>
        <w:fldChar w:fldCharType="begin" w:fldLock="0"/>
      </w:r>
      <w:r>
        <w:rPr>
          <w:rStyle w:val="Hyperlink.0"/>
        </w:rPr>
        <w:instrText xml:space="preserve"> HYPERLINK \l "refhimssworkforce2024" </w:instrText>
      </w:r>
      <w:r>
        <w:rPr>
          <w:rStyle w:val="Hyperlink.0"/>
        </w:rPr>
        <w:fldChar w:fldCharType="separate" w:fldLock="0"/>
      </w:r>
      <w:r>
        <w:rPr>
          <w:rStyle w:val="Hyperlink.0"/>
          <w:rtl w:val="0"/>
        </w:rPr>
        <w:t>5</w:t>
      </w:r>
      <w:r>
        <w:rPr/>
        <w:fldChar w:fldCharType="end" w:fldLock="0"/>
      </w:r>
      <w:r>
        <w:rPr>
          <w:rStyle w:val="Section Number"/>
          <w:rtl w:val="0"/>
          <w:lang w:val="en-US"/>
        </w:rPr>
        <w:t xml:space="preserve">). This creates a </w:t>
      </w:r>
      <w:r>
        <w:rPr>
          <w:rStyle w:val="Section Number"/>
          <w:rtl w:val="0"/>
          <w:lang w:val="en-US"/>
        </w:rPr>
        <w:t>“</w:t>
      </w:r>
      <w:r>
        <w:rPr>
          <w:rStyle w:val="Section Number"/>
          <w:rtl w:val="0"/>
          <w:lang w:val="en-US"/>
        </w:rPr>
        <w:t>revolving door</w:t>
      </w:r>
      <w:r>
        <w:rPr>
          <w:rStyle w:val="Section Number"/>
          <w:rtl w:val="0"/>
          <w:lang w:val="en-US"/>
        </w:rPr>
        <w:t xml:space="preserve">” </w:t>
      </w:r>
      <w:r>
        <w:rPr>
          <w:rStyle w:val="Section Number"/>
          <w:rtl w:val="0"/>
          <w:lang w:val="en-US"/>
        </w:rPr>
        <w:t>for innovation-focused staff, significantly impacting the continuity required for complex modernization. The 2023 AHIMA/NORC workforce survey found that 66% of health information professionals report persistent staffing shortages, with 83% reporting that unfilled roles increased or remained stagnant over the past year (</w:t>
      </w:r>
      <w:r>
        <w:rPr>
          <w:rStyle w:val="Hyperlink.0"/>
        </w:rPr>
        <w:fldChar w:fldCharType="begin" w:fldLock="0"/>
      </w:r>
      <w:r>
        <w:rPr>
          <w:rStyle w:val="Hyperlink.0"/>
        </w:rPr>
        <w:instrText xml:space="preserve"> HYPERLINK \l "refamerican2023" </w:instrText>
      </w:r>
      <w:r>
        <w:rPr>
          <w:rStyle w:val="Hyperlink.0"/>
        </w:rPr>
        <w:fldChar w:fldCharType="separate" w:fldLock="0"/>
      </w:r>
      <w:r>
        <w:rPr>
          <w:rStyle w:val="Hyperlink.0"/>
          <w:rtl w:val="0"/>
        </w:rPr>
        <w:t>1</w:t>
      </w:r>
      <w:r>
        <w:rPr/>
        <w:fldChar w:fldCharType="end" w:fldLock="0"/>
      </w:r>
      <w:r>
        <w:rPr>
          <w:rStyle w:val="Section Number"/>
          <w:rtl w:val="0"/>
          <w:lang w:val="en-US"/>
        </w:rPr>
        <w:t>).</w:t>
      </w:r>
    </w:p>
    <w:p>
      <w:pPr>
        <w:pStyle w:val="Body Text"/>
      </w:pPr>
      <w:r>
        <w:rPr>
          <w:rStyle w:val="Section Number"/>
          <w:rtl w:val="0"/>
          <w:lang w:val="en-US"/>
        </w:rPr>
        <w:t>The knowledge loss implications are substantial. Research documents significant time-to-productivity requirements across healthcare IT roles: basic EHR training requires 8 hours to 2 months for end-users, while health information workforce development demands 18 months to 2 years for specialized roles (</w:t>
      </w:r>
      <w:r>
        <w:rPr>
          <w:rStyle w:val="Hyperlink.0"/>
        </w:rPr>
        <w:fldChar w:fldCharType="begin" w:fldLock="0"/>
      </w:r>
      <w:r>
        <w:rPr>
          <w:rStyle w:val="Hyperlink.0"/>
        </w:rPr>
        <w:instrText xml:space="preserve"> HYPERLINK \l "refledikwe2013" </w:instrText>
      </w:r>
      <w:r>
        <w:rPr>
          <w:rStyle w:val="Hyperlink.0"/>
        </w:rPr>
        <w:fldChar w:fldCharType="separate" w:fldLock="0"/>
      </w:r>
      <w:r>
        <w:rPr>
          <w:rStyle w:val="Hyperlink.0"/>
          <w:rtl w:val="0"/>
        </w:rPr>
        <w:t>74</w:t>
      </w:r>
      <w:r>
        <w:rPr/>
        <w:fldChar w:fldCharType="end" w:fldLock="0"/>
      </w:r>
      <w:r>
        <w:rPr>
          <w:rStyle w:val="Section Number"/>
          <w:rtl w:val="0"/>
          <w:lang w:val="en-US"/>
        </w:rPr>
        <w:t>). International Medical Informatics Association recommendations specify a minimum of 1 year (60 ECTS credits) for biomedical and health informatics specialists (</w:t>
      </w:r>
      <w:r>
        <w:rPr>
          <w:rStyle w:val="Hyperlink.0"/>
        </w:rPr>
        <w:fldChar w:fldCharType="begin" w:fldLock="0"/>
      </w:r>
      <w:r>
        <w:rPr>
          <w:rStyle w:val="Hyperlink.0"/>
        </w:rPr>
        <w:instrText xml:space="preserve"> HYPERLINK \l "refmantas2010" </w:instrText>
      </w:r>
      <w:r>
        <w:rPr>
          <w:rStyle w:val="Hyperlink.0"/>
        </w:rPr>
        <w:fldChar w:fldCharType="separate" w:fldLock="0"/>
      </w:r>
      <w:r>
        <w:rPr>
          <w:rStyle w:val="Hyperlink.0"/>
          <w:rtl w:val="0"/>
        </w:rPr>
        <w:t>75</w:t>
      </w:r>
      <w:r>
        <w:rPr/>
        <w:fldChar w:fldCharType="end" w:fldLock="0"/>
      </w:r>
      <w:r>
        <w:rPr>
          <w:rStyle w:val="Section Number"/>
          <w:rtl w:val="0"/>
          <w:lang w:val="en-US"/>
        </w:rPr>
        <w:t>), with personalized EHR training programs requiring 6 months of blended instruction to achieve meaningful competency improvements (</w:t>
      </w:r>
      <w:r>
        <w:rPr>
          <w:rStyle w:val="Hyperlink.0"/>
        </w:rPr>
        <w:fldChar w:fldCharType="begin" w:fldLock="0"/>
      </w:r>
      <w:r>
        <w:rPr>
          <w:rStyle w:val="Hyperlink.0"/>
        </w:rPr>
        <w:instrText xml:space="preserve"> HYPERLINK \l "refmusa2023" </w:instrText>
      </w:r>
      <w:r>
        <w:rPr>
          <w:rStyle w:val="Hyperlink.0"/>
        </w:rPr>
        <w:fldChar w:fldCharType="separate" w:fldLock="0"/>
      </w:r>
      <w:r>
        <w:rPr>
          <w:rStyle w:val="Hyperlink.0"/>
          <w:rtl w:val="0"/>
        </w:rPr>
        <w:t>76</w:t>
      </w:r>
      <w:r>
        <w:rPr/>
        <w:fldChar w:fldCharType="end" w:fldLock="0"/>
      </w:r>
      <w:r>
        <w:rPr>
          <w:rStyle w:val="Section Number"/>
          <w:rtl w:val="0"/>
          <w:lang w:val="en-US"/>
        </w:rPr>
        <w:t>). For IT developers and specialists, research suggests up to 3 years are required to become fully fluent in complex healthcare IT projects (</w:t>
      </w:r>
      <w:r>
        <w:rPr>
          <w:rStyle w:val="Hyperlink.0"/>
        </w:rPr>
        <w:fldChar w:fldCharType="begin" w:fldLock="0"/>
      </w:r>
      <w:r>
        <w:rPr>
          <w:rStyle w:val="Hyperlink.0"/>
        </w:rPr>
        <w:instrText xml:space="preserve"> HYPERLINK \l "refkonrad2022" </w:instrText>
      </w:r>
      <w:r>
        <w:rPr>
          <w:rStyle w:val="Hyperlink.0"/>
        </w:rPr>
        <w:fldChar w:fldCharType="separate" w:fldLock="0"/>
      </w:r>
      <w:r>
        <w:rPr>
          <w:rStyle w:val="Hyperlink.0"/>
          <w:rtl w:val="0"/>
        </w:rPr>
        <w:t>77</w:t>
      </w:r>
      <w:r>
        <w:rPr/>
        <w:fldChar w:fldCharType="end" w:fldLock="0"/>
      </w:r>
      <w:r>
        <w:rPr>
          <w:rStyle w:val="Section Number"/>
          <w:rtl w:val="0"/>
          <w:lang w:val="en-US"/>
        </w:rPr>
        <w:t>). Given that average tenures often fall below the three-year proficiency threshold</w:t>
      </w:r>
      <w:r>
        <w:rPr>
          <w:rStyle w:val="Section Number"/>
          <w:rtl w:val="0"/>
          <w:lang w:val="en-US"/>
        </w:rPr>
        <w:t>—</w:t>
      </w:r>
      <w:r>
        <w:rPr>
          <w:rStyle w:val="Section Number"/>
          <w:rtl w:val="0"/>
          <w:lang w:val="en-US"/>
        </w:rPr>
        <w:t>with CIOs averaging less than three years and new technical hires just 2.9 years (</w:t>
      </w:r>
      <w:r>
        <w:rPr>
          <w:rStyle w:val="Hyperlink.0"/>
        </w:rPr>
        <w:fldChar w:fldCharType="begin" w:fldLock="0"/>
      </w:r>
      <w:r>
        <w:rPr>
          <w:rStyle w:val="Hyperlink.0"/>
        </w:rPr>
        <w:instrText xml:space="preserve"> HYPERLINK \l "refwittkieffer2024" </w:instrText>
      </w:r>
      <w:r>
        <w:rPr>
          <w:rStyle w:val="Hyperlink.0"/>
        </w:rPr>
        <w:fldChar w:fldCharType="separate" w:fldLock="0"/>
      </w:r>
      <w:r>
        <w:rPr>
          <w:rStyle w:val="Hyperlink.0"/>
          <w:rtl w:val="0"/>
        </w:rPr>
        <w:t>4</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"refang2004" </w:instrText>
      </w:r>
      <w:r>
        <w:rPr>
          <w:rStyle w:val="Hyperlink.0"/>
        </w:rPr>
        <w:fldChar w:fldCharType="separate" w:fldLock="0"/>
      </w:r>
      <w:r>
        <w:rPr>
          <w:rStyle w:val="Hyperlink.0"/>
          <w:rtl w:val="0"/>
        </w:rPr>
        <w:t>7</w:t>
      </w:r>
      <w:r>
        <w:rPr/>
        <w:fldChar w:fldCharType="end" w:fldLock="0"/>
      </w:r>
      <w:r>
        <w:rPr>
          <w:rStyle w:val="Section Number"/>
          <w:rtl w:val="0"/>
          <w:lang w:val="en-US"/>
        </w:rPr>
        <w:t>)</w:t>
      </w:r>
      <w:r>
        <w:rPr>
          <w:rStyle w:val="Section Number"/>
          <w:rtl w:val="0"/>
          <w:lang w:val="en-US"/>
        </w:rPr>
        <w:t>—</w:t>
      </w:r>
      <w:r>
        <w:rPr>
          <w:rStyle w:val="Section Number"/>
          <w:rtl w:val="0"/>
          <w:lang w:val="en-US"/>
        </w:rPr>
        <w:t>many healthcare IT professionals spend only a limited portion of their employment at full productivity and, in the case of IT developers, are likely to leave before reaching full fluency. This creates a perpetual cycle where organizations lose experienced staff before fully recouping their training investment.</w:t>
      </w:r>
    </w:p>
    <w:p>
      <w:pPr>
        <w:pStyle w:val="Body Text"/>
      </w:pPr>
      <w:r>
        <w:rPr>
          <w:rStyle w:val="Section Number"/>
          <w:rtl w:val="0"/>
          <w:lang w:val="en-US"/>
        </w:rPr>
        <w:t xml:space="preserve">The impact on organizational capability is well-documented through the lens of </w:t>
      </w:r>
      <w:r>
        <w:rPr>
          <w:rStyle w:val="Section Number"/>
          <w:rtl w:val="0"/>
          <w:lang w:val="en-US"/>
        </w:rPr>
        <w:t>“</w:t>
      </w:r>
      <w:r>
        <w:rPr>
          <w:rStyle w:val="Section Number"/>
          <w:rtl w:val="0"/>
          <w:lang w:val="en-US"/>
        </w:rPr>
        <w:t>organizational forgetting.</w:t>
      </w:r>
      <w:r>
        <w:rPr>
          <w:rStyle w:val="Section Number"/>
          <w:rtl w:val="0"/>
          <w:lang w:val="en-US"/>
        </w:rPr>
        <w:t xml:space="preserve">” </w:t>
      </w:r>
      <w:r>
        <w:rPr>
          <w:rStyle w:val="Section Number"/>
          <w:rtl w:val="0"/>
          <w:lang w:val="en-US"/>
        </w:rPr>
        <w:t xml:space="preserve">Rao and Argote (2006) establish that high turnover rates disrupt the collective knowledge structures required for complex task performance, effectively causing organizations to </w:t>
      </w:r>
      <w:r>
        <w:rPr>
          <w:rStyle w:val="Section Number"/>
          <w:rtl w:val="0"/>
          <w:lang w:val="en-US"/>
        </w:rPr>
        <w:t>“</w:t>
      </w:r>
      <w:r>
        <w:rPr>
          <w:rStyle w:val="Section Number"/>
          <w:rtl w:val="0"/>
          <w:lang w:val="en-US"/>
        </w:rPr>
        <w:t>forget</w:t>
      </w:r>
      <w:r>
        <w:rPr>
          <w:rStyle w:val="Section Number"/>
          <w:rtl w:val="0"/>
          <w:lang w:val="en-US"/>
        </w:rPr>
        <w:t xml:space="preserve">” </w:t>
      </w:r>
      <w:r>
        <w:rPr>
          <w:rStyle w:val="Section Number"/>
          <w:rtl w:val="0"/>
          <w:lang w:val="en-US"/>
        </w:rPr>
        <w:t>established best practices (</w:t>
      </w:r>
      <w:r>
        <w:rPr>
          <w:rStyle w:val="Hyperlink.0"/>
        </w:rPr>
        <w:fldChar w:fldCharType="begin" w:fldLock="0"/>
      </w:r>
      <w:r>
        <w:rPr>
          <w:rStyle w:val="Hyperlink.0"/>
        </w:rPr>
        <w:instrText xml:space="preserve"> HYPERLINK \l "refrao2006" </w:instrText>
      </w:r>
      <w:r>
        <w:rPr>
          <w:rStyle w:val="Hyperlink.0"/>
        </w:rPr>
        <w:fldChar w:fldCharType="separate" w:fldLock="0"/>
      </w:r>
      <w:r>
        <w:rPr>
          <w:rStyle w:val="Hyperlink.0"/>
          <w:rtl w:val="0"/>
        </w:rPr>
        <w:t>33</w:t>
      </w:r>
      <w:r>
        <w:rPr/>
        <w:fldChar w:fldCharType="end" w:fldLock="0"/>
      </w:r>
      <w:r>
        <w:rPr>
          <w:rStyle w:val="Section Number"/>
          <w:rtl w:val="0"/>
          <w:lang w:val="en-US"/>
        </w:rPr>
        <w:t xml:space="preserve">). This phenomenon is particularly acute in knowledge-intensive sectors; Massingham (2018) demonstrates that the departure of experienced staff leads to a measurable </w:t>
      </w:r>
      <w:r>
        <w:rPr>
          <w:rStyle w:val="Section Number"/>
          <w:rtl w:val="0"/>
          <w:lang w:val="en-US"/>
        </w:rPr>
        <w:t>“</w:t>
      </w:r>
      <w:r>
        <w:rPr>
          <w:rStyle w:val="Section Number"/>
          <w:rtl w:val="0"/>
          <w:lang w:val="en-US"/>
        </w:rPr>
        <w:t>loss of competence</w:t>
      </w:r>
      <w:r>
        <w:rPr>
          <w:rStyle w:val="Section Number"/>
          <w:rtl w:val="0"/>
          <w:lang w:val="en-US"/>
        </w:rPr>
        <w:t xml:space="preserve">” </w:t>
      </w:r>
      <w:r>
        <w:rPr>
          <w:rStyle w:val="Section Number"/>
          <w:rtl w:val="0"/>
          <w:lang w:val="en-US"/>
        </w:rPr>
        <w:t>that forces remaining teams to regress to earlier learning stages (</w:t>
      </w:r>
      <w:r>
        <w:rPr>
          <w:rStyle w:val="Hyperlink.0"/>
        </w:rPr>
        <w:fldChar w:fldCharType="begin" w:fldLock="0"/>
      </w:r>
      <w:r>
        <w:rPr>
          <w:rStyle w:val="Hyperlink.0"/>
        </w:rPr>
        <w:instrText xml:space="preserve"> HYPERLINK \l "refmassingham2018" </w:instrText>
      </w:r>
      <w:r>
        <w:rPr>
          <w:rStyle w:val="Hyperlink.0"/>
        </w:rPr>
        <w:fldChar w:fldCharType="separate" w:fldLock="0"/>
      </w:r>
      <w:r>
        <w:rPr>
          <w:rStyle w:val="Hyperlink.0"/>
          <w:rtl w:val="0"/>
        </w:rPr>
        <w:t>34</w:t>
      </w:r>
      <w:r>
        <w:rPr/>
        <w:fldChar w:fldCharType="end" w:fldLock="0"/>
      </w:r>
      <w:r>
        <w:rPr>
          <w:rStyle w:val="Section Number"/>
          <w:rtl w:val="0"/>
          <w:lang w:val="en-US"/>
        </w:rPr>
        <w:t>). In the context of healthcare analytics, this manifests not as immediate clinical errors, but as a systemic inability to maintain the data quality and interpretive context required for reliable decision-making.</w:t>
      </w:r>
      <w:bookmarkEnd w:id="61"/>
    </w:p>
    <w:p>
      <w:pPr>
        <w:pStyle w:val="Heading 3"/>
      </w:pPr>
      <w:bookmarkStart w:name="_Toc31" w:id="62"/>
      <w:bookmarkStart w:name="institutionalmemoryloss" w:id="63"/>
      <w:r>
        <w:rPr>
          <w:rStyle w:val="Section Number"/>
          <w:rtl w:val="0"/>
          <w:lang w:val="en-US"/>
        </w:rPr>
        <w:t>4.2.2</w:t>
        <w:tab/>
        <w:t>Institutional Memory Loss</w:t>
      </w:r>
      <w:bookmarkEnd w:id="62"/>
    </w:p>
    <w:p>
      <w:pPr>
        <w:pStyle w:val="First Paragraph"/>
      </w:pPr>
      <w:r>
        <w:rPr>
          <w:rStyle w:val="Section Number"/>
          <w:rtl w:val="0"/>
          <w:lang w:val="en-US"/>
        </w:rPr>
        <w:t>The concept of institutional memory in healthcare has received increasing attention. Institutional memory encompasses the collective knowledge, experiences, and expertise that enables organizational effectiveness. Healthcare organizations typically lack formal mechanisms for knowledge preservation, relying instead on person-to-person transfer that fails during rapid turnover. Cultural and regulatory obstacles for data sharing further limit the ability of healthcare organizations to achieve the full potential of their data assets (</w:t>
      </w:r>
      <w:r>
        <w:rPr>
          <w:rStyle w:val="Hyperlink.0"/>
        </w:rPr>
        <w:fldChar w:fldCharType="begin" w:fldLock="0"/>
      </w:r>
      <w:r>
        <w:rPr>
          <w:rStyle w:val="Hyperlink.0"/>
        </w:rPr>
        <w:instrText xml:space="preserve"> HYPERLINK \l "refmayo2016" </w:instrText>
      </w:r>
      <w:r>
        <w:rPr>
          <w:rStyle w:val="Hyperlink.0"/>
        </w:rPr>
        <w:fldChar w:fldCharType="separate" w:fldLock="0"/>
      </w:r>
      <w:r>
        <w:rPr>
          <w:rStyle w:val="Hyperlink.0"/>
          <w:rtl w:val="0"/>
        </w:rPr>
        <w:t>78</w:t>
      </w:r>
      <w:r>
        <w:rPr/>
        <w:fldChar w:fldCharType="end" w:fldLock="0"/>
      </w:r>
      <w:r>
        <w:rPr>
          <w:rStyle w:val="Section Number"/>
          <w:rtl w:val="0"/>
          <w:lang w:val="en-US"/>
        </w:rPr>
        <w:t>).</w:t>
      </w:r>
    </w:p>
    <w:p>
      <w:pPr>
        <w:pStyle w:val="Body Text"/>
      </w:pPr>
      <w:r>
        <w:rPr>
          <w:rStyle w:val="Section Number"/>
          <w:rtl w:val="0"/>
          <w:lang w:val="en-US"/>
        </w:rPr>
        <w:t>When experienced analysts, clinical informatics professionals, or data-savvy clinicians leave, they take with them irreplaceable knowledge about data definitions, business rules, analytical approaches, and organizational context. Research on tacit knowledge transfer provides strong evidence that this knowledge is inherently difficult to document through traditional means. Empirical studies demonstrate that learning related to tacit knowledge is often not captured in formal post-project review reports (</w:t>
      </w:r>
      <w:r>
        <w:rPr>
          <w:rStyle w:val="Hyperlink.0"/>
        </w:rPr>
        <w:fldChar w:fldCharType="begin" w:fldLock="0"/>
      </w:r>
      <w:r>
        <w:rPr>
          <w:rStyle w:val="Hyperlink.0"/>
        </w:rPr>
        <w:instrText xml:space="preserve"> HYPERLINK \l "refgoffin2011" </w:instrText>
      </w:r>
      <w:r>
        <w:rPr>
          <w:rStyle w:val="Hyperlink.0"/>
        </w:rPr>
        <w:fldChar w:fldCharType="separate" w:fldLock="0"/>
      </w:r>
      <w:r>
        <w:rPr>
          <w:rStyle w:val="Hyperlink.0"/>
          <w:rtl w:val="0"/>
        </w:rPr>
        <w:t>79</w:t>
      </w:r>
      <w:r>
        <w:rPr/>
        <w:fldChar w:fldCharType="end" w:fldLock="0"/>
      </w:r>
      <w:r>
        <w:rPr>
          <w:rStyle w:val="Section Number"/>
          <w:rtl w:val="0"/>
          <w:lang w:val="en-US"/>
        </w:rPr>
        <w:t>), and conventional mechanisms such as documents, blueprints, and procedures fail because tacit knowledge is not easily codified (</w:t>
      </w:r>
      <w:r>
        <w:rPr>
          <w:rStyle w:val="Hyperlink.0"/>
        </w:rPr>
        <w:fldChar w:fldCharType="begin" w:fldLock="0"/>
      </w:r>
      <w:r>
        <w:rPr>
          <w:rStyle w:val="Hyperlink.0"/>
        </w:rPr>
        <w:instrText xml:space="preserve"> HYPERLINK \l "reffoos2006" </w:instrText>
      </w:r>
      <w:r>
        <w:rPr>
          <w:rStyle w:val="Hyperlink.0"/>
        </w:rPr>
        <w:fldChar w:fldCharType="separate" w:fldLock="0"/>
      </w:r>
      <w:r>
        <w:rPr>
          <w:rStyle w:val="Hyperlink.0"/>
          <w:rtl w:val="0"/>
        </w:rPr>
        <w:t>36</w:t>
      </w:r>
      <w:r>
        <w:rPr/>
        <w:fldChar w:fldCharType="end" w:fldLock="0"/>
      </w:r>
      <w:r>
        <w:rPr>
          <w:rStyle w:val="Section Number"/>
          <w:rtl w:val="0"/>
          <w:lang w:val="en-US"/>
        </w:rPr>
        <w:t xml:space="preserve">). This </w:t>
      </w:r>
      <w:r>
        <w:rPr>
          <w:rStyle w:val="Section Number"/>
          <w:rtl w:val="0"/>
          <w:lang w:val="en-US"/>
        </w:rPr>
        <w:t>“</w:t>
      </w:r>
      <w:r>
        <w:rPr>
          <w:rStyle w:val="Section Number"/>
          <w:rtl w:val="0"/>
          <w:lang w:val="en-US"/>
        </w:rPr>
        <w:t>documentation paradox</w:t>
      </w:r>
      <w:r>
        <w:rPr>
          <w:rStyle w:val="Section Number"/>
          <w:rtl w:val="0"/>
          <w:lang w:val="en-US"/>
        </w:rPr>
        <w:t xml:space="preserve">” </w:t>
      </w:r>
      <w:r>
        <w:rPr>
          <w:rStyle w:val="Section Number"/>
          <w:rtl w:val="0"/>
          <w:lang w:val="en-US"/>
        </w:rPr>
        <w:t>is particularly acute in healthcare analytics: tacitness risk arises when knowledge necessary to manage risk resides only in individuals</w:t>
      </w:r>
      <w:r>
        <w:rPr>
          <w:rStyle w:val="Section Number"/>
          <w:rtl w:val="0"/>
          <w:lang w:val="en-US"/>
        </w:rPr>
        <w:t xml:space="preserve">’ </w:t>
      </w:r>
      <w:r>
        <w:rPr>
          <w:rStyle w:val="Section Number"/>
          <w:rtl w:val="0"/>
          <w:lang w:val="en-US"/>
        </w:rPr>
        <w:t xml:space="preserve">heads, while high semantic complexity requires expert </w:t>
      </w:r>
      <w:r>
        <w:rPr>
          <w:rStyle w:val="Section Number"/>
          <w:rtl w:val="0"/>
          <w:lang w:val="en-US"/>
        </w:rPr>
        <w:t>“</w:t>
      </w:r>
      <w:r>
        <w:rPr>
          <w:rStyle w:val="Section Number"/>
          <w:rtl w:val="0"/>
          <w:lang w:val="en-US"/>
        </w:rPr>
        <w:t>reasoning</w:t>
      </w:r>
      <w:r>
        <w:rPr>
          <w:rStyle w:val="Section Number"/>
          <w:rtl w:val="0"/>
          <w:lang w:val="en-US"/>
        </w:rPr>
        <w:t xml:space="preserve">” </w:t>
      </w:r>
      <w:r>
        <w:rPr>
          <w:rStyle w:val="Section Number"/>
          <w:rtl w:val="0"/>
          <w:lang w:val="en-US"/>
        </w:rPr>
        <w:t>that written reports fail to convey (</w:t>
      </w:r>
      <w:r>
        <w:rPr>
          <w:rStyle w:val="Hyperlink.0"/>
        </w:rPr>
        <w:fldChar w:fldCharType="begin" w:fldLock="0"/>
      </w:r>
      <w:r>
        <w:rPr>
          <w:rStyle w:val="Hyperlink.0"/>
        </w:rPr>
        <w:instrText xml:space="preserve"> HYPERLINK \l "refmassingham2018" </w:instrText>
      </w:r>
      <w:r>
        <w:rPr>
          <w:rStyle w:val="Hyperlink.0"/>
        </w:rPr>
        <w:fldChar w:fldCharType="separate" w:fldLock="0"/>
      </w:r>
      <w:r>
        <w:rPr>
          <w:rStyle w:val="Hyperlink.0"/>
          <w:rtl w:val="0"/>
        </w:rPr>
        <w:t>34</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"refwang2020" </w:instrText>
      </w:r>
      <w:r>
        <w:rPr>
          <w:rStyle w:val="Hyperlink.0"/>
        </w:rPr>
        <w:fldChar w:fldCharType="separate" w:fldLock="0"/>
      </w:r>
      <w:r>
        <w:rPr>
          <w:rStyle w:val="Hyperlink.0"/>
          <w:rtl w:val="0"/>
        </w:rPr>
        <w:t>80</w:t>
      </w:r>
      <w:r>
        <w:rPr/>
        <w:fldChar w:fldCharType="end" w:fldLock="0"/>
      </w:r>
      <w:r>
        <w:rPr>
          <w:rStyle w:val="Section Number"/>
          <w:rtl w:val="0"/>
          <w:lang w:val="en-US"/>
        </w:rPr>
        <w:t xml:space="preserve">). Furthermore, an </w:t>
      </w:r>
      <w:r>
        <w:rPr>
          <w:rStyle w:val="Section Number"/>
          <w:rtl w:val="0"/>
          <w:lang w:val="en-US"/>
        </w:rPr>
        <w:t>“</w:t>
      </w:r>
      <w:r>
        <w:rPr>
          <w:rStyle w:val="Section Number"/>
          <w:rtl w:val="0"/>
          <w:lang w:val="en-US"/>
        </w:rPr>
        <w:t>intelligibility gap</w:t>
      </w:r>
      <w:r>
        <w:rPr>
          <w:rStyle w:val="Section Number"/>
          <w:rtl w:val="0"/>
          <w:lang w:val="en-US"/>
        </w:rPr>
        <w:t xml:space="preserve">” </w:t>
      </w:r>
      <w:r>
        <w:rPr>
          <w:rStyle w:val="Section Number"/>
          <w:rtl w:val="0"/>
          <w:lang w:val="en-US"/>
        </w:rPr>
        <w:t>often exists where analysts present findings as too unintelligible to senior managers, creating a barrier to effective knowledge transfer (</w:t>
      </w:r>
      <w:r>
        <w:rPr>
          <w:rStyle w:val="Hyperlink.0"/>
        </w:rPr>
        <w:fldChar w:fldCharType="begin" w:fldLock="0"/>
      </w:r>
      <w:r>
        <w:rPr>
          <w:rStyle w:val="Hyperlink.0"/>
        </w:rPr>
        <w:instrText xml:space="preserve"> HYPERLINK \l "refbardsley2016" </w:instrText>
      </w:r>
      <w:r>
        <w:rPr>
          <w:rStyle w:val="Hyperlink.0"/>
        </w:rPr>
        <w:fldChar w:fldCharType="separate" w:fldLock="0"/>
      </w:r>
      <w:r>
        <w:rPr>
          <w:rStyle w:val="Hyperlink.0"/>
          <w:rtl w:val="0"/>
        </w:rPr>
        <w:t>52</w:t>
      </w:r>
      <w:r>
        <w:rPr/>
        <w:fldChar w:fldCharType="end" w:fldLock="0"/>
      </w:r>
      <w:r>
        <w:rPr>
          <w:rStyle w:val="Section Number"/>
          <w:rtl w:val="0"/>
          <w:lang w:val="en-US"/>
        </w:rPr>
        <w:t xml:space="preserve">). These challenges lead to </w:t>
      </w:r>
      <w:r>
        <w:rPr>
          <w:rStyle w:val="Section Number"/>
          <w:rtl w:val="0"/>
          <w:lang w:val="en-US"/>
        </w:rPr>
        <w:t>“</w:t>
      </w:r>
      <w:r>
        <w:rPr>
          <w:rStyle w:val="Section Number"/>
          <w:rtl w:val="0"/>
          <w:lang w:val="en-US"/>
        </w:rPr>
        <w:t>fatal mistakes</w:t>
      </w:r>
      <w:r>
        <w:rPr>
          <w:rStyle w:val="Section Number"/>
          <w:rtl w:val="0"/>
          <w:lang w:val="en-US"/>
        </w:rPr>
        <w:t xml:space="preserve">” </w:t>
      </w:r>
      <w:r>
        <w:rPr>
          <w:rStyle w:val="Section Number"/>
          <w:rtl w:val="0"/>
          <w:lang w:val="en-US"/>
        </w:rPr>
        <w:t>in data retrieval, where over 40% of entity normalization errors result from a lack of domain expertise regarding ambiguous medical hypernyms (</w:t>
      </w:r>
      <w:r>
        <w:rPr>
          <w:rStyle w:val="Hyperlink.0"/>
        </w:rPr>
        <w:fldChar w:fldCharType="begin" w:fldLock="0"/>
      </w:r>
      <w:r>
        <w:rPr>
          <w:rStyle w:val="Hyperlink.0"/>
        </w:rPr>
        <w:instrText xml:space="preserve"> HYPERLINK \l "refyuan2019" </w:instrText>
      </w:r>
      <w:r>
        <w:rPr>
          <w:rStyle w:val="Hyperlink.0"/>
        </w:rPr>
        <w:fldChar w:fldCharType="separate" w:fldLock="0"/>
      </w:r>
      <w:r>
        <w:rPr>
          <w:rStyle w:val="Hyperlink.0"/>
          <w:rtl w:val="0"/>
        </w:rPr>
        <w:t>81</w:t>
      </w:r>
      <w:r>
        <w:rPr/>
        <w:fldChar w:fldCharType="end" w:fldLock="0"/>
      </w:r>
      <w:r>
        <w:rPr>
          <w:rStyle w:val="Section Number"/>
          <w:rtl w:val="0"/>
          <w:lang w:val="en-US"/>
        </w:rPr>
        <w:t>).</w:t>
      </w:r>
      <w:bookmarkEnd w:id="63"/>
    </w:p>
    <w:p>
      <w:pPr>
        <w:pStyle w:val="Heading 3"/>
      </w:pPr>
      <w:bookmarkStart w:name="_Toc32" w:id="64"/>
      <w:bookmarkStart w:name="inadequacyoftraditionalapproaches" w:id="65"/>
      <w:r>
        <w:rPr>
          <w:rStyle w:val="Section Number"/>
          <w:rtl w:val="0"/>
          <w:lang w:val="en-US"/>
        </w:rPr>
        <w:t>4.2.3</w:t>
        <w:tab/>
        <w:t>Inadequacy of Traditional Approaches</w:t>
      </w:r>
      <w:bookmarkEnd w:id="64"/>
    </w:p>
    <w:p>
      <w:pPr>
        <w:pStyle w:val="First Paragraph"/>
      </w:pPr>
      <w:r>
        <w:rPr>
          <w:rStyle w:val="Section Number"/>
          <w:rtl w:val="0"/>
          <w:lang w:val="en-US"/>
        </w:rPr>
        <w:t>The literature demonstrates that conventional knowledge management approaches fail in healthcare contexts (</w:t>
      </w:r>
      <w:r>
        <w:rPr>
          <w:rStyle w:val="Hyperlink.0"/>
        </w:rPr>
        <w:fldChar w:fldCharType="begin" w:fldLock="0"/>
      </w:r>
      <w:r>
        <w:rPr>
          <w:rStyle w:val="Hyperlink.0"/>
        </w:rPr>
        <w:instrText xml:space="preserve"> HYPERLINK \l "refshahbaz2019" </w:instrText>
      </w:r>
      <w:r>
        <w:rPr>
          <w:rStyle w:val="Hyperlink.0"/>
        </w:rPr>
        <w:fldChar w:fldCharType="separate" w:fldLock="0"/>
      </w:r>
      <w:r>
        <w:rPr>
          <w:rStyle w:val="Hyperlink.0"/>
          <w:rtl w:val="0"/>
        </w:rPr>
        <w:t>16</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"refmayo2016" </w:instrText>
      </w:r>
      <w:r>
        <w:rPr>
          <w:rStyle w:val="Hyperlink.0"/>
        </w:rPr>
        <w:fldChar w:fldCharType="separate" w:fldLock="0"/>
      </w:r>
      <w:r>
        <w:rPr>
          <w:rStyle w:val="Hyperlink.0"/>
          <w:rtl w:val="0"/>
        </w:rPr>
        <w:t>78</w:t>
      </w:r>
      <w:r>
        <w:rPr/>
        <w:fldChar w:fldCharType="end" w:fldLock="0"/>
      </w:r>
      <w:r>
        <w:rPr>
          <w:rStyle w:val="Section Number"/>
          <w:rtl w:val="0"/>
          <w:lang w:val="en-US"/>
        </w:rPr>
        <w:t>):</w:t>
      </w:r>
    </w:p>
    <w:p>
      <w:pPr>
        <w:pStyle w:val="Compact"/>
        <w:numPr>
          <w:ilvl w:val="0"/>
          <w:numId w:val="4"/>
        </w:numPr>
        <w:rPr>
          <w:lang w:val="en-US"/>
        </w:rPr>
      </w:pPr>
      <w:r>
        <w:rPr>
          <w:rStyle w:val="Section Number"/>
          <w:rtl w:val="0"/>
          <w:lang w:val="en-US"/>
        </w:rPr>
        <w:t>Traditional knowledge transfer mechanisms show limited effectiveness</w:t>
      </w:r>
    </w:p>
    <w:p>
      <w:pPr>
        <w:pStyle w:val="Compact"/>
        <w:numPr>
          <w:ilvl w:val="0"/>
          <w:numId w:val="4"/>
        </w:numPr>
        <w:rPr>
          <w:lang w:val="en-US"/>
        </w:rPr>
      </w:pPr>
      <w:r>
        <w:rPr>
          <w:rStyle w:val="Section Number"/>
          <w:rtl w:val="0"/>
          <w:lang w:val="en-US"/>
        </w:rPr>
        <w:t>Organizations struggle to capture and maintain analytical expertise</w:t>
      </w:r>
    </w:p>
    <w:p>
      <w:pPr>
        <w:pStyle w:val="Compact"/>
        <w:numPr>
          <w:ilvl w:val="0"/>
          <w:numId w:val="4"/>
        </w:numPr>
        <w:rPr>
          <w:lang w:val="en-US"/>
        </w:rPr>
      </w:pPr>
      <w:r>
        <w:rPr>
          <w:rStyle w:val="Section Number"/>
          <w:rtl w:val="0"/>
          <w:lang w:val="en-US"/>
        </w:rPr>
        <w:t>Security concerns and employee resistance to change slow the pace of information system acceptance (</w:t>
      </w:r>
      <w:r>
        <w:rPr>
          <w:rStyle w:val="Hyperlink.0"/>
        </w:rPr>
        <w:fldChar w:fldCharType="begin" w:fldLock="0"/>
      </w:r>
      <w:r>
        <w:rPr>
          <w:rStyle w:val="Hyperlink.0"/>
        </w:rPr>
        <w:instrText xml:space="preserve"> HYPERLINK \l "refshahbaz2019" </w:instrText>
      </w:r>
      <w:r>
        <w:rPr>
          <w:rStyle w:val="Hyperlink.0"/>
        </w:rPr>
        <w:fldChar w:fldCharType="separate" w:fldLock="0"/>
      </w:r>
      <w:r>
        <w:rPr>
          <w:rStyle w:val="Hyperlink.0"/>
          <w:rtl w:val="0"/>
          <w:lang w:val="en-US"/>
        </w:rPr>
        <w:t>16</w:t>
      </w:r>
      <w:r>
        <w:rPr/>
        <w:fldChar w:fldCharType="end" w:fldLock="0"/>
      </w:r>
      <w:r>
        <w:rPr>
          <w:rStyle w:val="Section Number"/>
          <w:rtl w:val="0"/>
          <w:lang w:val="en-US"/>
        </w:rPr>
        <w:t>)</w:t>
      </w:r>
    </w:p>
    <w:p>
      <w:pPr>
        <w:pStyle w:val="Compact"/>
        <w:numPr>
          <w:ilvl w:val="0"/>
          <w:numId w:val="4"/>
        </w:numPr>
        <w:rPr>
          <w:lang w:val="en-US"/>
        </w:rPr>
      </w:pPr>
      <w:r>
        <w:rPr>
          <w:rStyle w:val="Section Number"/>
          <w:rtl w:val="0"/>
          <w:lang w:val="en-US"/>
        </w:rPr>
        <w:t>Person-to-person knowledge transfer fails during rapid turnover cycles</w:t>
      </w:r>
    </w:p>
    <w:p>
      <w:pPr>
        <w:pStyle w:val="First Paragraph"/>
      </w:pPr>
      <w:r>
        <w:rPr>
          <w:rStyle w:val="Section Number"/>
          <w:rtl w:val="0"/>
          <w:lang w:val="en-US"/>
        </w:rPr>
        <w:t>The failure of these traditional methods to preserve institutional memory highlights the need for systemic solutions that can capture and codify expertise at scale. Technical enablement, particularly through modern AI and natural language interfaces, offers a potential mechanism to address this gap, as the next section will discuss.</w:t>
      </w:r>
      <w:bookmarkEnd w:id="65"/>
    </w:p>
    <w:p>
      <w:pPr>
        <w:pStyle w:val="Heading 2"/>
      </w:pPr>
      <w:bookmarkStart w:name="_Toc33" w:id="66"/>
      <w:bookmarkStart w:name="Xb8a8e2823f9f1dde7832c4cb2e15583554ebaf3" w:id="67"/>
      <w:r>
        <w:rPr>
          <w:rStyle w:val="Section Number"/>
          <w:rtl w:val="0"/>
          <w:lang w:val="en-US"/>
        </w:rPr>
        <w:t>4.3</w:t>
        <w:tab/>
        <w:t>State of Natural Language to SQL Generation</w:t>
      </w:r>
      <w:bookmarkEnd w:id="67"/>
      <w:bookmarkEnd w:id="66"/>
    </w:p>
    <w:p>
      <w:pPr>
        <w:pStyle w:val="Heading 3"/>
      </w:pPr>
      <w:bookmarkStart w:name="_Toc34" w:id="68"/>
      <w:bookmarkStart w:name="evolutionandtechnicaladvances" w:id="69"/>
      <w:r>
        <w:rPr>
          <w:rStyle w:val="Section Number"/>
          <w:rtl w:val="0"/>
          <w:lang w:val="en-US"/>
        </w:rPr>
        <w:t>4.3.1</w:t>
        <w:tab/>
        <w:t>Evolution and Technical Advances</w:t>
      </w:r>
      <w:bookmarkEnd w:id="68"/>
    </w:p>
    <w:p>
      <w:pPr>
        <w:pStyle w:val="First Paragraph"/>
      </w:pPr>
      <w:r>
        <w:rPr>
          <w:rStyle w:val="Section Number"/>
          <w:rtl w:val="0"/>
          <w:lang w:val="en-US"/>
        </w:rPr>
        <w:t>Recent systematic reviews document the rapid evolution of natural language to SQL (NL2SQL) technologies. Ziletti and D</w:t>
      </w:r>
      <w:r>
        <w:rPr>
          <w:rStyle w:val="Section Number"/>
          <w:rtl w:val="0"/>
          <w:lang w:val="en-US"/>
        </w:rPr>
        <w:t>’</w:t>
      </w:r>
      <w:r>
        <w:rPr>
          <w:rStyle w:val="Section Number"/>
          <w:rtl w:val="0"/>
          <w:lang w:val="en-US"/>
        </w:rPr>
        <w:t>Ambrosi (</w:t>
      </w:r>
      <w:r>
        <w:rPr>
          <w:rStyle w:val="Hyperlink.0"/>
        </w:rPr>
        <w:fldChar w:fldCharType="begin" w:fldLock="0"/>
      </w:r>
      <w:r>
        <w:rPr>
          <w:rStyle w:val="Hyperlink.0"/>
        </w:rPr>
        <w:instrText xml:space="preserve"> HYPERLINK \l "refziletti2024" </w:instrText>
      </w:r>
      <w:r>
        <w:rPr>
          <w:rStyle w:val="Hyperlink.0"/>
        </w:rPr>
        <w:fldChar w:fldCharType="separate" w:fldLock="0"/>
      </w:r>
      <w:r>
        <w:rPr>
          <w:rStyle w:val="Hyperlink.0"/>
          <w:rtl w:val="0"/>
        </w:rPr>
        <w:t>20</w:t>
      </w:r>
      <w:r>
        <w:rPr/>
        <w:fldChar w:fldCharType="end" w:fldLock="0"/>
      </w:r>
      <w:r>
        <w:rPr>
          <w:rStyle w:val="Section Number"/>
          <w:rtl w:val="0"/>
          <w:lang w:val="en-US"/>
        </w:rPr>
        <w:t xml:space="preserve">) demonstrate that retrieval augmented generation (RAG) approaches significantly improve query accuracy when applied to electronic health records (EHRs), though they note that </w:t>
      </w:r>
      <w:r>
        <w:rPr>
          <w:rStyle w:val="Section Number"/>
          <w:rtl w:val="0"/>
          <w:lang w:val="en-US"/>
        </w:rPr>
        <w:t>“</w:t>
      </w:r>
      <w:r>
        <w:rPr>
          <w:rStyle w:val="Section Number"/>
          <w:rtl w:val="0"/>
          <w:lang w:val="en-US"/>
        </w:rPr>
        <w:t>current language models are not yet sufficiently accurate for unsupervised use</w:t>
      </w:r>
      <w:r>
        <w:rPr>
          <w:rStyle w:val="Section Number"/>
          <w:rtl w:val="0"/>
          <w:lang w:val="en-US"/>
        </w:rPr>
        <w:t xml:space="preserve">” </w:t>
      </w:r>
      <w:r>
        <w:rPr>
          <w:rStyle w:val="Section Number"/>
          <w:rtl w:val="0"/>
          <w:lang w:val="en-US"/>
        </w:rPr>
        <w:t>in clinical settings. This assessment, based on 2024 models, has been challenged by late-2025 benchmarks showing GPT-5 exceeds physician baselines on standardized medical reasoning tasks (</w:t>
      </w:r>
      <w:r>
        <w:rPr>
          <w:rStyle w:val="Hyperlink.0"/>
        </w:rPr>
        <w:fldChar w:fldCharType="begin" w:fldLock="0"/>
      </w:r>
      <w:r>
        <w:rPr>
          <w:rStyle w:val="Hyperlink.0"/>
        </w:rPr>
        <w:instrText xml:space="preserve"> HYPERLINK \l "refwang2025" </w:instrText>
      </w:r>
      <w:r>
        <w:rPr>
          <w:rStyle w:val="Hyperlink.0"/>
        </w:rPr>
        <w:fldChar w:fldCharType="separate" w:fldLock="0"/>
      </w:r>
      <w:r>
        <w:rPr>
          <w:rStyle w:val="Hyperlink.0"/>
          <w:rtl w:val="0"/>
        </w:rPr>
        <w:t>82</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"refopenai2025" </w:instrText>
      </w:r>
      <w:r>
        <w:rPr>
          <w:rStyle w:val="Hyperlink.0"/>
        </w:rPr>
        <w:fldChar w:fldCharType="separate" w:fldLock="0"/>
      </w:r>
      <w:r>
        <w:rPr>
          <w:rStyle w:val="Hyperlink.0"/>
          <w:rtl w:val="0"/>
        </w:rPr>
        <w:t>83</w:t>
      </w:r>
      <w:r>
        <w:rPr/>
        <w:fldChar w:fldCharType="end" w:fldLock="0"/>
      </w:r>
      <w:r>
        <w:rPr>
          <w:rStyle w:val="Section Number"/>
          <w:rtl w:val="0"/>
          <w:lang w:val="en-US"/>
        </w:rPr>
        <w:t>), suggesting the reasoning capabilities necessary for complex cohort definition are now available, though human oversight remains recommended for safety. Their work on the DE-SynPUF dataset shows that integrating medical coding steps into the text-to-SQL process improves performance over simple prompting approaches.</w:t>
      </w:r>
    </w:p>
    <w:p>
      <w:pPr>
        <w:pStyle w:val="Body Text"/>
      </w:pPr>
      <w:r>
        <w:rPr>
          <w:rStyle w:val="Section Number"/>
          <w:rtl w:val="0"/>
          <w:lang w:val="en-US"/>
        </w:rPr>
        <w:t>Benchmarking studies from 2024-2025 (</w:t>
      </w:r>
      <w:r>
        <w:rPr>
          <w:rStyle w:val="Hyperlink.0"/>
        </w:rPr>
        <w:fldChar w:fldCharType="begin" w:fldLock="0"/>
      </w:r>
      <w:r>
        <w:rPr>
          <w:rStyle w:val="Hyperlink.0"/>
        </w:rPr>
        <w:instrText xml:space="preserve"> HYPERLINK \l "refmedagentbench2024" </w:instrText>
      </w:r>
      <w:r>
        <w:rPr>
          <w:rStyle w:val="Hyperlink.0"/>
        </w:rPr>
        <w:fldChar w:fldCharType="separate" w:fldLock="0"/>
      </w:r>
      <w:r>
        <w:rPr>
          <w:rStyle w:val="Hyperlink.0"/>
          <w:rtl w:val="0"/>
        </w:rPr>
        <w:t>84</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"refwu2024a" </w:instrText>
      </w:r>
      <w:r>
        <w:rPr>
          <w:rStyle w:val="Hyperlink.0"/>
        </w:rPr>
        <w:fldChar w:fldCharType="separate" w:fldLock="0"/>
      </w:r>
      <w:r>
        <w:rPr>
          <w:rStyle w:val="Hyperlink.0"/>
          <w:rtl w:val="0"/>
        </w:rPr>
        <w:t>85</w:t>
      </w:r>
      <w:r>
        <w:rPr/>
        <w:fldChar w:fldCharType="end" w:fldLock="0"/>
      </w:r>
      <w:r>
        <w:rPr>
          <w:rStyle w:val="Section Number"/>
          <w:rtl w:val="0"/>
          <w:lang w:val="en-US"/>
        </w:rPr>
        <w:t>) examining LLM-based systems for healthcare identify unique challenges: medical terminology, characterized by abbreviations, synonyms, and context-dependent meanings, remains a barrier to accurate query generation. While previous models (GPT-4, Claude 3.5) achieved ~64-70% accuracy on complex tasks, late-2025 models demonstrate substantial improvements. GPT-5 achieves over 80% accuracy on complex medical reasoning benchmarks (</w:t>
      </w:r>
      <w:r>
        <w:rPr>
          <w:rStyle w:val="Hyperlink.0"/>
        </w:rPr>
        <w:fldChar w:fldCharType="begin" w:fldLock="0"/>
      </w:r>
      <w:r>
        <w:rPr>
          <w:rStyle w:val="Hyperlink.0"/>
        </w:rPr>
        <w:instrText xml:space="preserve"> HYPERLINK \l "refwang2025" </w:instrText>
      </w:r>
      <w:r>
        <w:rPr>
          <w:rStyle w:val="Hyperlink.0"/>
        </w:rPr>
        <w:fldChar w:fldCharType="separate" w:fldLock="0"/>
      </w:r>
      <w:r>
        <w:rPr>
          <w:rStyle w:val="Hyperlink.0"/>
          <w:rtl w:val="0"/>
        </w:rPr>
        <w:t>82</w:t>
      </w:r>
      <w:r>
        <w:rPr/>
        <w:fldChar w:fldCharType="end" w:fldLock="0"/>
      </w:r>
      <w:r>
        <w:rPr>
          <w:rStyle w:val="Section Number"/>
          <w:rtl w:val="0"/>
          <w:lang w:val="en-US"/>
        </w:rPr>
        <w:t>). Crucially for analytics, on healthcare-specific NL2SQL tasks, GPT-5 achieves 64.6% execution accuracy on the MIMICSQL dataset (</w:t>
      </w:r>
      <w:r>
        <w:rPr>
          <w:rStyle w:val="Hyperlink.0"/>
        </w:rPr>
        <w:fldChar w:fldCharType="begin" w:fldLock="0"/>
      </w:r>
      <w:r>
        <w:rPr>
          <w:rStyle w:val="Hyperlink.0"/>
        </w:rPr>
        <w:instrText xml:space="preserve"> HYPERLINK \l "refblaskovic2025" </w:instrText>
      </w:r>
      <w:r>
        <w:rPr>
          <w:rStyle w:val="Hyperlink.0"/>
        </w:rPr>
        <w:fldChar w:fldCharType="separate" w:fldLock="0"/>
      </w:r>
      <w:r>
        <w:rPr>
          <w:rStyle w:val="Hyperlink.0"/>
          <w:rtl w:val="0"/>
        </w:rPr>
        <w:t>86</w:t>
      </w:r>
      <w:r>
        <w:rPr/>
        <w:fldChar w:fldCharType="end" w:fldLock="0"/>
      </w:r>
      <w:r>
        <w:rPr>
          <w:rStyle w:val="Section Number"/>
          <w:rtl w:val="0"/>
          <w:lang w:val="en-US"/>
        </w:rPr>
        <w:t>), while the HealthBench benchmark shows hallucination rates of 0.7-1.0%, representing a 4-6x improvement over previous models (</w:t>
      </w:r>
      <w:r>
        <w:rPr>
          <w:rStyle w:val="Hyperlink.0"/>
        </w:rPr>
        <w:fldChar w:fldCharType="begin" w:fldLock="0"/>
      </w:r>
      <w:r>
        <w:rPr>
          <w:rStyle w:val="Hyperlink.0"/>
        </w:rPr>
        <w:instrText xml:space="preserve"> HYPERLINK \l "refopenai2025" </w:instrText>
      </w:r>
      <w:r>
        <w:rPr>
          <w:rStyle w:val="Hyperlink.0"/>
        </w:rPr>
        <w:fldChar w:fldCharType="separate" w:fldLock="0"/>
      </w:r>
      <w:r>
        <w:rPr>
          <w:rStyle w:val="Hyperlink.0"/>
          <w:rtl w:val="0"/>
        </w:rPr>
        <w:t>83</w:t>
      </w:r>
      <w:r>
        <w:rPr/>
        <w:fldChar w:fldCharType="end" w:fldLock="0"/>
      </w:r>
      <w:r>
        <w:rPr>
          <w:rStyle w:val="Section Number"/>
          <w:rtl w:val="0"/>
          <w:lang w:val="en-US"/>
        </w:rPr>
        <w:t>).</w:t>
      </w:r>
      <w:bookmarkEnd w:id="69"/>
    </w:p>
    <w:p>
      <w:pPr>
        <w:pStyle w:val="Heading 3"/>
      </w:pPr>
      <w:bookmarkStart w:name="_Toc35" w:id="70"/>
      <w:bookmarkStart w:name="healthcarespecificchallenges" w:id="71"/>
      <w:r>
        <w:rPr>
          <w:rStyle w:val="Section Number"/>
          <w:rtl w:val="0"/>
          <w:lang w:val="en-US"/>
        </w:rPr>
        <w:t>4.3.2</w:t>
        <w:tab/>
        <w:t>Healthcare-Specific Challenges</w:t>
      </w:r>
      <w:bookmarkEnd w:id="70"/>
    </w:p>
    <w:p>
      <w:pPr>
        <w:pStyle w:val="First Paragraph"/>
      </w:pPr>
      <w:r>
        <w:rPr>
          <w:rStyle w:val="Section Number"/>
          <w:rtl w:val="0"/>
          <w:lang w:val="en-US"/>
        </w:rPr>
        <w:t>The literature consistently identifies domain-specific obstacles in healthcare NL2SQL implementation. A systematic review of NLP in EHRs (</w:t>
      </w:r>
      <w:r>
        <w:rPr>
          <w:rStyle w:val="Hyperlink.0"/>
        </w:rPr>
        <w:fldChar w:fldCharType="begin" w:fldLock="0"/>
      </w:r>
      <w:r>
        <w:rPr>
          <w:rStyle w:val="Hyperlink.0"/>
        </w:rPr>
        <w:instrText xml:space="preserve"> HYPERLINK \l "refnavarro2023" </w:instrText>
      </w:r>
      <w:r>
        <w:rPr>
          <w:rStyle w:val="Hyperlink.0"/>
        </w:rPr>
        <w:fldChar w:fldCharType="separate" w:fldLock="0"/>
      </w:r>
      <w:r>
        <w:rPr>
          <w:rStyle w:val="Hyperlink.0"/>
          <w:rtl w:val="0"/>
        </w:rPr>
        <w:t>51</w:t>
      </w:r>
      <w:r>
        <w:rPr/>
        <w:fldChar w:fldCharType="end" w:fldLock="0"/>
      </w:r>
      <w:r>
        <w:rPr>
          <w:rStyle w:val="Section Number"/>
          <w:rtl w:val="0"/>
          <w:lang w:val="en-US"/>
        </w:rPr>
        <w:t>) found that the lack of annotated data, automated tools, and other challenges hinder the full utilization of NLP for EHRs. The review, following PRISMA guidelines, categorized healthcare NLP applications into seven areas, with information extraction and clinical entity recognition proving most challenging due to medical terminology complexity.</w:t>
      </w:r>
    </w:p>
    <w:p>
      <w:pPr>
        <w:pStyle w:val="Body Text"/>
      </w:pPr>
      <w:r>
        <w:rPr>
          <w:rStyle w:val="Section Number"/>
          <w:rtl w:val="0"/>
          <w:lang w:val="en-US"/>
        </w:rPr>
        <w:t>Wang et al. (</w:t>
      </w:r>
      <w:r>
        <w:rPr>
          <w:rStyle w:val="Hyperlink.0"/>
        </w:rPr>
        <w:fldChar w:fldCharType="begin" w:fldLock="0"/>
      </w:r>
      <w:r>
        <w:rPr>
          <w:rStyle w:val="Hyperlink.0"/>
        </w:rPr>
        <w:instrText xml:space="preserve"> HYPERLINK \l "refwang2020" </w:instrText>
      </w:r>
      <w:r>
        <w:rPr>
          <w:rStyle w:val="Hyperlink.0"/>
        </w:rPr>
        <w:fldChar w:fldCharType="separate" w:fldLock="0"/>
      </w:r>
      <w:r>
        <w:rPr>
          <w:rStyle w:val="Hyperlink.0"/>
          <w:rtl w:val="0"/>
        </w:rPr>
        <w:t>80</w:t>
      </w:r>
      <w:r>
        <w:rPr/>
        <w:fldChar w:fldCharType="end" w:fldLock="0"/>
      </w:r>
      <w:r>
        <w:rPr>
          <w:rStyle w:val="Section Number"/>
          <w:rtl w:val="0"/>
          <w:lang w:val="en-US"/>
        </w:rPr>
        <w:t>) demonstrate that healthcare NL2SQL methods must move beyond the constraints of exact or string-based matching to fully encompass the semantic complexities of clinical terminology. This work emphasizes that general-purpose language models fail to capture the nuanced relationships between medical concepts, diagnoses codes (ICD), procedure codes (CPT), and medication vocabularies (RxNorm).</w:t>
      </w:r>
      <w:bookmarkEnd w:id="71"/>
    </w:p>
    <w:p>
      <w:pPr>
        <w:pStyle w:val="Heading 3"/>
      </w:pPr>
      <w:bookmarkStart w:name="_Toc36" w:id="72"/>
      <w:bookmarkStart w:name="promisingapproachesandlimitations" w:id="73"/>
      <w:r>
        <w:rPr>
          <w:rStyle w:val="Section Number"/>
          <w:rtl w:val="0"/>
          <w:lang w:val="en-US"/>
        </w:rPr>
        <w:t>4.3.3</w:t>
        <w:tab/>
        <w:t>Promising Approaches and Limitations</w:t>
      </w:r>
      <w:bookmarkEnd w:id="72"/>
    </w:p>
    <w:p>
      <w:pPr>
        <w:pStyle w:val="First Paragraph"/>
      </w:pPr>
      <w:r>
        <w:rPr>
          <w:rStyle w:val="Section Number"/>
          <w:rtl w:val="0"/>
          <w:lang w:val="en-US"/>
        </w:rPr>
        <w:t>Recent advances show promise in addressing these challenges. The TREQS/MIMICSQL dataset development (</w:t>
      </w:r>
      <w:r>
        <w:rPr>
          <w:rStyle w:val="Hyperlink.0"/>
        </w:rPr>
        <w:fldChar w:fldCharType="begin" w:fldLock="0"/>
      </w:r>
      <w:r>
        <w:rPr>
          <w:rStyle w:val="Hyperlink.0"/>
        </w:rPr>
        <w:instrText xml:space="preserve"> HYPERLINK \l "refwang2020" </w:instrText>
      </w:r>
      <w:r>
        <w:rPr>
          <w:rStyle w:val="Hyperlink.0"/>
        </w:rPr>
        <w:fldChar w:fldCharType="separate" w:fldLock="0"/>
      </w:r>
      <w:r>
        <w:rPr>
          <w:rStyle w:val="Hyperlink.0"/>
          <w:rtl w:val="0"/>
        </w:rPr>
        <w:t>80</w:t>
      </w:r>
      <w:r>
        <w:rPr/>
        <w:fldChar w:fldCharType="end" w:fldLock="0"/>
      </w:r>
      <w:r>
        <w:rPr>
          <w:rStyle w:val="Section Number"/>
          <w:rtl w:val="0"/>
          <w:lang w:val="en-US"/>
        </w:rPr>
        <w:t>) and EHRSQL benchmark (</w:t>
      </w:r>
      <w:r>
        <w:rPr>
          <w:rStyle w:val="Hyperlink.0"/>
        </w:rPr>
        <w:fldChar w:fldCharType="begin" w:fldLock="0"/>
      </w:r>
      <w:r>
        <w:rPr>
          <w:rStyle w:val="Hyperlink.0"/>
        </w:rPr>
        <w:instrText xml:space="preserve"> HYPERLINK \l "reflee2023" </w:instrText>
      </w:r>
      <w:r>
        <w:rPr>
          <w:rStyle w:val="Hyperlink.0"/>
        </w:rPr>
        <w:fldChar w:fldCharType="separate" w:fldLock="0"/>
      </w:r>
      <w:r>
        <w:rPr>
          <w:rStyle w:val="Hyperlink.0"/>
          <w:rtl w:val="0"/>
        </w:rPr>
        <w:t>87</w:t>
      </w:r>
      <w:r>
        <w:rPr/>
        <w:fldChar w:fldCharType="end" w:fldLock="0"/>
      </w:r>
      <w:r>
        <w:rPr>
          <w:rStyle w:val="Section Number"/>
          <w:rtl w:val="0"/>
          <w:lang w:val="en-US"/>
        </w:rPr>
        <w:t>) provide question-SQL pairs specifically for healthcare, featuring questions in natural, free-form language. Multi-modal benchmarks such as SM3-Text-to-Query (</w:t>
      </w:r>
      <w:r>
        <w:rPr>
          <w:rStyle w:val="Hyperlink.0"/>
        </w:rPr>
        <w:fldChar w:fldCharType="begin" w:fldLock="0"/>
      </w:r>
      <w:r>
        <w:rPr>
          <w:rStyle w:val="Hyperlink.0"/>
        </w:rPr>
        <w:instrText xml:space="preserve"> HYPERLINK \l "refsivasubramaniam2024" </w:instrText>
      </w:r>
      <w:r>
        <w:rPr>
          <w:rStyle w:val="Hyperlink.0"/>
        </w:rPr>
        <w:fldChar w:fldCharType="separate" w:fldLock="0"/>
      </w:r>
      <w:r>
        <w:rPr>
          <w:rStyle w:val="Hyperlink.0"/>
          <w:rtl w:val="0"/>
        </w:rPr>
        <w:t>88</w:t>
      </w:r>
      <w:r>
        <w:rPr/>
        <w:fldChar w:fldCharType="end" w:fldLock="0"/>
      </w:r>
      <w:r>
        <w:rPr>
          <w:rStyle w:val="Section Number"/>
          <w:rtl w:val="0"/>
          <w:lang w:val="en-US"/>
        </w:rPr>
        <w:t>) extend evaluation beyond SQL to support multiple query languages across diverse medical data representations. This approach acknowledges that healthcare queries often require multiple logical steps: population selection, temporal relationships, aggregation statistics, and mathematical operations.</w:t>
      </w:r>
    </w:p>
    <w:p>
      <w:pPr>
        <w:pStyle w:val="Body Text"/>
      </w:pPr>
      <w:r>
        <w:rPr>
          <w:rStyle w:val="Section Number"/>
          <w:rtl w:val="0"/>
          <w:lang w:val="en-US"/>
        </w:rPr>
        <w:t>Healthcare-specific benchmarks continue to evolve alongside model capabilities. The 2024 MedAgentBench evaluation found Claude 3.5 Sonnet achieved 69.67% success rate on medical agent tasks (</w:t>
      </w:r>
      <w:r>
        <w:rPr>
          <w:rStyle w:val="Hyperlink.0"/>
        </w:rPr>
        <w:fldChar w:fldCharType="begin" w:fldLock="0"/>
      </w:r>
      <w:r>
        <w:rPr>
          <w:rStyle w:val="Hyperlink.0"/>
        </w:rPr>
        <w:instrText xml:space="preserve"> HYPERLINK \l "refmedagentbench2024" </w:instrText>
      </w:r>
      <w:r>
        <w:rPr>
          <w:rStyle w:val="Hyperlink.0"/>
        </w:rPr>
        <w:fldChar w:fldCharType="separate" w:fldLock="0"/>
      </w:r>
      <w:r>
        <w:rPr>
          <w:rStyle w:val="Hyperlink.0"/>
          <w:rtl w:val="0"/>
        </w:rPr>
        <w:t>84</w:t>
      </w:r>
      <w:r>
        <w:rPr/>
        <w:fldChar w:fldCharType="end" w:fldLock="0"/>
      </w:r>
      <w:r>
        <w:rPr>
          <w:rStyle w:val="Section Number"/>
          <w:rtl w:val="0"/>
          <w:lang w:val="en-US"/>
        </w:rPr>
        <w:t>), (</w:t>
      </w:r>
      <w:r>
        <w:rPr>
          <w:rStyle w:val="Hyperlink.0"/>
        </w:rPr>
        <w:fldChar w:fldCharType="begin" w:fldLock="0"/>
      </w:r>
      <w:r>
        <w:rPr>
          <w:rStyle w:val="Hyperlink.0"/>
        </w:rPr>
        <w:instrText xml:space="preserve"> HYPERLINK \l "refwu2024a" </w:instrText>
      </w:r>
      <w:r>
        <w:rPr>
          <w:rStyle w:val="Hyperlink.0"/>
        </w:rPr>
        <w:fldChar w:fldCharType="separate" w:fldLock="0"/>
      </w:r>
      <w:r>
        <w:rPr>
          <w:rStyle w:val="Hyperlink.0"/>
          <w:rtl w:val="0"/>
        </w:rPr>
        <w:t>85</w:t>
      </w:r>
      <w:r>
        <w:rPr/>
        <w:fldChar w:fldCharType="end" w:fldLock="0"/>
      </w:r>
      <w:r>
        <w:rPr>
          <w:rStyle w:val="Section Number"/>
          <w:rtl w:val="0"/>
          <w:lang w:val="en-US"/>
        </w:rPr>
        <w:t>); subsequent 2025 benchmarks show GPT-5 significantly exceeding these results, with the SCARE benchmark (</w:t>
      </w:r>
      <w:r>
        <w:rPr>
          <w:rStyle w:val="Hyperlink.0"/>
        </w:rPr>
        <w:fldChar w:fldCharType="begin" w:fldLock="0"/>
      </w:r>
      <w:r>
        <w:rPr>
          <w:rStyle w:val="Hyperlink.0"/>
        </w:rPr>
        <w:instrText xml:space="preserve"> HYPERLINK \l "reflee2025" </w:instrText>
      </w:r>
      <w:r>
        <w:rPr>
          <w:rStyle w:val="Hyperlink.0"/>
        </w:rPr>
        <w:fldChar w:fldCharType="separate" w:fldLock="0"/>
      </w:r>
      <w:r>
        <w:rPr>
          <w:rStyle w:val="Hyperlink.0"/>
          <w:rtl w:val="0"/>
        </w:rPr>
        <w:t>89</w:t>
      </w:r>
      <w:r>
        <w:rPr/>
        <w:fldChar w:fldCharType="end" w:fldLock="0"/>
      </w:r>
      <w:r>
        <w:rPr>
          <w:rStyle w:val="Section Number"/>
          <w:rtl w:val="0"/>
          <w:lang w:val="en-US"/>
        </w:rPr>
        <w:t>) providing 4,200 EHR question-SQL pairs across MIMIC-III, MIMIC-IV, and eICU databases specifically designed to evaluate post-hoc safety mechanisms for clinical text-to-SQL deployment. Graph-empowered approaches combining LLMs with structured knowledge representations achieve 94.2% execution accuracy on MIMICSQL (</w:t>
      </w:r>
      <w:r>
        <w:rPr>
          <w:rStyle w:val="Hyperlink.0"/>
        </w:rPr>
        <w:fldChar w:fldCharType="begin" w:fldLock="0"/>
      </w:r>
      <w:r>
        <w:rPr>
          <w:rStyle w:val="Hyperlink.0"/>
        </w:rPr>
        <w:instrText xml:space="preserve"> HYPERLINK \l "refchen2025" </w:instrText>
      </w:r>
      <w:r>
        <w:rPr>
          <w:rStyle w:val="Hyperlink.0"/>
        </w:rPr>
        <w:fldChar w:fldCharType="separate" w:fldLock="0"/>
      </w:r>
      <w:r>
        <w:rPr>
          <w:rStyle w:val="Hyperlink.0"/>
          <w:rtl w:val="0"/>
        </w:rPr>
        <w:t>90</w:t>
      </w:r>
      <w:r>
        <w:rPr/>
        <w:fldChar w:fldCharType="end" w:fldLock="0"/>
      </w:r>
      <w:r>
        <w:rPr>
          <w:rStyle w:val="Section Number"/>
          <w:rtl w:val="0"/>
          <w:lang w:val="en-US"/>
        </w:rPr>
        <w:t>), demonstrating that domain-specific architectural innovations can substantially outperform general-purpose models. While these advances narrow the gap between benchmark performance and clinical readiness, domain-specific challenges in medical terminology and complex clinical reasoning remain active research areas.</w:t>
      </w:r>
      <w:bookmarkEnd w:id="73"/>
    </w:p>
    <w:p>
      <w:pPr>
        <w:pStyle w:val="Heading 3"/>
      </w:pPr>
      <w:bookmarkStart w:name="_Toc37" w:id="74"/>
      <w:bookmarkStart w:name="productivityandefficiencyevidence" w:id="75"/>
      <w:r>
        <w:rPr>
          <w:rStyle w:val="Section Number"/>
          <w:rtl w:val="0"/>
          <w:lang w:val="en-US"/>
        </w:rPr>
        <w:t>4.3.4</w:t>
        <w:tab/>
        <w:t>Productivity and Efficiency Evidence</w:t>
      </w:r>
      <w:bookmarkEnd w:id="74"/>
    </w:p>
    <w:p>
      <w:pPr>
        <w:pStyle w:val="First Paragraph"/>
      </w:pPr>
      <w:r>
        <w:rPr>
          <w:rStyle w:val="Section Number"/>
          <w:rtl w:val="0"/>
          <w:lang w:val="en-US"/>
        </w:rPr>
        <w:t>Emerging research documents quantifiable productivity gains from NL2SQL implementations. In healthcare settings, organizations implementing natural language interfaces report a 63% increase in self-service analytics adoption among non-technical staff and a 37% reduction in time spent on data retrieval tasks (</w:t>
      </w:r>
      <w:r>
        <w:rPr>
          <w:rStyle w:val="Hyperlink.0"/>
        </w:rPr>
        <w:fldChar w:fldCharType="begin" w:fldLock="0"/>
      </w:r>
      <w:r>
        <w:rPr>
          <w:rStyle w:val="Hyperlink.0"/>
        </w:rPr>
        <w:instrText xml:space="preserve"> HYPERLINK \l "refdadi2025" </w:instrText>
      </w:r>
      <w:r>
        <w:rPr>
          <w:rStyle w:val="Hyperlink.0"/>
        </w:rPr>
        <w:fldChar w:fldCharType="separate" w:fldLock="0"/>
      </w:r>
      <w:r>
        <w:rPr>
          <w:rStyle w:val="Hyperlink.0"/>
          <w:rtl w:val="0"/>
        </w:rPr>
        <w:t>91</w:t>
      </w:r>
      <w:r>
        <w:rPr/>
        <w:fldChar w:fldCharType="end" w:fldLock="0"/>
      </w:r>
      <w:r>
        <w:rPr>
          <w:rStyle w:val="Section Number"/>
          <w:rtl w:val="0"/>
          <w:lang w:val="en-US"/>
        </w:rPr>
        <w:t>). Business analysts using these interfaces spend 42% more time on analysis rather than query construction (</w:t>
      </w:r>
      <w:r>
        <w:rPr>
          <w:rStyle w:val="Hyperlink.0"/>
        </w:rPr>
        <w:fldChar w:fldCharType="begin" w:fldLock="0"/>
      </w:r>
      <w:r>
        <w:rPr>
          <w:rStyle w:val="Hyperlink.0"/>
        </w:rPr>
        <w:instrText xml:space="preserve"> HYPERLINK \l "refdadi2025" </w:instrText>
      </w:r>
      <w:r>
        <w:rPr>
          <w:rStyle w:val="Hyperlink.0"/>
        </w:rPr>
        <w:fldChar w:fldCharType="separate" w:fldLock="0"/>
      </w:r>
      <w:r>
        <w:rPr>
          <w:rStyle w:val="Hyperlink.0"/>
          <w:rtl w:val="0"/>
        </w:rPr>
        <w:t>91</w:t>
      </w:r>
      <w:r>
        <w:rPr/>
        <w:fldChar w:fldCharType="end" w:fldLock="0"/>
      </w:r>
      <w:r>
        <w:rPr>
          <w:rStyle w:val="Section Number"/>
          <w:rtl w:val="0"/>
          <w:lang w:val="en-US"/>
        </w:rPr>
        <w:t>).</w:t>
      </w:r>
    </w:p>
    <w:p>
      <w:pPr>
        <w:pStyle w:val="Body Text"/>
      </w:pPr>
      <w:r>
        <w:rPr>
          <w:rStyle w:val="Section Number"/>
          <w:rtl w:val="0"/>
          <w:lang w:val="en-US"/>
        </w:rPr>
        <w:t>Clinical-specific natural language interfaces demonstrate significant efficiency improvements. Criteria2Query, a natural language interface for clinical database cohort definition, achieves fully automated query formulation in an average of 1.22 seconds per criterion, enabling researchers to query EHR data without mastering database query languages (</w:t>
      </w:r>
      <w:r>
        <w:rPr>
          <w:rStyle w:val="Hyperlink.0"/>
        </w:rPr>
        <w:fldChar w:fldCharType="begin" w:fldLock="0"/>
      </w:r>
      <w:r>
        <w:rPr>
          <w:rStyle w:val="Hyperlink.0"/>
        </w:rPr>
        <w:instrText xml:space="preserve"> HYPERLINK \l "refyuan2019" </w:instrText>
      </w:r>
      <w:r>
        <w:rPr>
          <w:rStyle w:val="Hyperlink.0"/>
        </w:rPr>
        <w:fldChar w:fldCharType="separate" w:fldLock="0"/>
      </w:r>
      <w:r>
        <w:rPr>
          <w:rStyle w:val="Hyperlink.0"/>
          <w:rtl w:val="0"/>
        </w:rPr>
        <w:t>81</w:t>
      </w:r>
      <w:r>
        <w:rPr/>
        <w:fldChar w:fldCharType="end" w:fldLock="0"/>
      </w:r>
      <w:r>
        <w:rPr>
          <w:rStyle w:val="Section Number"/>
          <w:rtl w:val="0"/>
          <w:lang w:val="en-US"/>
        </w:rPr>
        <w:t>). The system has evolved through three generations: the original rule-based approach (</w:t>
      </w:r>
      <w:r>
        <w:rPr>
          <w:rStyle w:val="Hyperlink.0"/>
        </w:rPr>
        <w:fldChar w:fldCharType="begin" w:fldLock="0"/>
      </w:r>
      <w:r>
        <w:rPr>
          <w:rStyle w:val="Hyperlink.0"/>
        </w:rPr>
        <w:instrText xml:space="preserve"> HYPERLINK \l "refyuan2019" </w:instrText>
      </w:r>
      <w:r>
        <w:rPr>
          <w:rStyle w:val="Hyperlink.0"/>
        </w:rPr>
        <w:fldChar w:fldCharType="separate" w:fldLock="0"/>
      </w:r>
      <w:r>
        <w:rPr>
          <w:rStyle w:val="Hyperlink.0"/>
          <w:rtl w:val="0"/>
        </w:rPr>
        <w:t>81</w:t>
      </w:r>
      <w:r>
        <w:rPr/>
        <w:fldChar w:fldCharType="end" w:fldLock="0"/>
      </w:r>
      <w:r>
        <w:rPr>
          <w:rStyle w:val="Section Number"/>
          <w:rtl w:val="0"/>
          <w:lang w:val="en-US"/>
        </w:rPr>
        <w:t>), a human-machine collaboration version, and Criteria2Query 3.0, which leverages GPT-4 to generate sharable cohort identification queries against OMOP-CDM formatted databases (</w:t>
      </w:r>
      <w:r>
        <w:rPr>
          <w:rStyle w:val="Hyperlink.0"/>
        </w:rPr>
        <w:fldChar w:fldCharType="begin" w:fldLock="0"/>
      </w:r>
      <w:r>
        <w:rPr>
          <w:rStyle w:val="Hyperlink.0"/>
        </w:rPr>
        <w:instrText xml:space="preserve"> HYPERLINK \l "refpark2024" </w:instrText>
      </w:r>
      <w:r>
        <w:rPr>
          <w:rStyle w:val="Hyperlink.0"/>
        </w:rPr>
        <w:fldChar w:fldCharType="separate" w:fldLock="0"/>
      </w:r>
      <w:r>
        <w:rPr>
          <w:rStyle w:val="Hyperlink.0"/>
          <w:rtl w:val="0"/>
        </w:rPr>
        <w:t>92</w:t>
      </w:r>
      <w:r>
        <w:rPr/>
        <w:fldChar w:fldCharType="end" w:fldLock="0"/>
      </w:r>
      <w:r>
        <w:rPr>
          <w:rStyle w:val="Section Number"/>
          <w:rtl w:val="0"/>
          <w:lang w:val="en-US"/>
        </w:rPr>
        <w:t>). User studies show NL2SQL systems reduce query completion times by 10-30% compared to traditional SQL platforms while improving accuracy from 50% to 75%, with users recovering from errors 30-40 seconds faster (</w:t>
      </w:r>
      <w:r>
        <w:rPr>
          <w:rStyle w:val="Hyperlink.0"/>
        </w:rPr>
        <w:fldChar w:fldCharType="begin" w:fldLock="0"/>
      </w:r>
      <w:r>
        <w:rPr>
          <w:rStyle w:val="Hyperlink.0"/>
        </w:rPr>
        <w:instrText xml:space="preserve"> HYPERLINK \l "refipeirotis2025" </w:instrText>
      </w:r>
      <w:r>
        <w:rPr>
          <w:rStyle w:val="Hyperlink.0"/>
        </w:rPr>
        <w:fldChar w:fldCharType="separate" w:fldLock="0"/>
      </w:r>
      <w:r>
        <w:rPr>
          <w:rStyle w:val="Hyperlink.0"/>
          <w:rtl w:val="0"/>
        </w:rPr>
        <w:t>93</w:t>
      </w:r>
      <w:r>
        <w:rPr/>
        <w:fldChar w:fldCharType="end" w:fldLock="0"/>
      </w:r>
      <w:r>
        <w:rPr>
          <w:rStyle w:val="Section Number"/>
          <w:rtl w:val="0"/>
          <w:lang w:val="en-US"/>
        </w:rPr>
        <w:t>).</w:t>
      </w:r>
    </w:p>
    <w:p>
      <w:pPr>
        <w:pStyle w:val="Body Text"/>
      </w:pPr>
      <w:r>
        <w:rPr>
          <w:rStyle w:val="Section Number"/>
          <w:rtl w:val="0"/>
          <w:lang w:val="en-US"/>
        </w:rPr>
        <w:t>The most substantial productivity gains appear in multimodal interfaces. Research on speech-driven database querying demonstrates users can specify SQL queries with an average speedup of 2.7x (up to 6.7x) compared to traditional input methods, with user effort reduced by a factor of 10x to 60x compared to raw typing (</w:t>
      </w:r>
      <w:r>
        <w:rPr>
          <w:rStyle w:val="Hyperlink.0"/>
        </w:rPr>
        <w:fldChar w:fldCharType="begin" w:fldLock="0"/>
      </w:r>
      <w:r>
        <w:rPr>
          <w:rStyle w:val="Hyperlink.0"/>
        </w:rPr>
        <w:instrText xml:space="preserve"> HYPERLINK \l "refshah2020" </w:instrText>
      </w:r>
      <w:r>
        <w:rPr>
          <w:rStyle w:val="Hyperlink.0"/>
        </w:rPr>
        <w:fldChar w:fldCharType="separate" w:fldLock="0"/>
      </w:r>
      <w:r>
        <w:rPr>
          <w:rStyle w:val="Hyperlink.0"/>
          <w:rtl w:val="0"/>
        </w:rPr>
        <w:t>94</w:t>
      </w:r>
      <w:r>
        <w:rPr/>
        <w:fldChar w:fldCharType="end" w:fldLock="0"/>
      </w:r>
      <w:r>
        <w:rPr>
          <w:rStyle w:val="Section Number"/>
          <w:rtl w:val="0"/>
          <w:lang w:val="en-US"/>
        </w:rPr>
        <w:t xml:space="preserve">). Healthcare-specific natural language query systems show dramatic improvements: a clinical data analytics language (CliniDAL) reduced complex query formulation from </w:t>
      </w:r>
      <w:r>
        <w:rPr>
          <w:rStyle w:val="Section Number"/>
          <w:rtl w:val="0"/>
          <w:lang w:val="en-US"/>
        </w:rPr>
        <w:t>“</w:t>
      </w:r>
      <w:r>
        <w:rPr>
          <w:rStyle w:val="Section Number"/>
          <w:rtl w:val="0"/>
          <w:lang w:val="en-US"/>
        </w:rPr>
        <w:t>many days</w:t>
      </w:r>
      <w:r>
        <w:rPr>
          <w:rStyle w:val="Section Number"/>
          <w:rtl w:val="0"/>
          <w:lang w:val="en-US"/>
        </w:rPr>
        <w:t xml:space="preserve">” </w:t>
      </w:r>
      <w:r>
        <w:rPr>
          <w:rStyle w:val="Section Number"/>
          <w:rtl w:val="0"/>
          <w:lang w:val="en-US"/>
        </w:rPr>
        <w:t xml:space="preserve">with SQL to </w:t>
      </w:r>
      <w:r>
        <w:rPr>
          <w:rStyle w:val="Section Number"/>
          <w:rtl w:val="0"/>
          <w:lang w:val="en-US"/>
        </w:rPr>
        <w:t>“</w:t>
      </w:r>
      <w:r>
        <w:rPr>
          <w:rStyle w:val="Section Number"/>
          <w:rtl w:val="0"/>
          <w:lang w:val="en-US"/>
        </w:rPr>
        <w:t>a few hours</w:t>
      </w:r>
      <w:r>
        <w:rPr>
          <w:rStyle w:val="Section Number"/>
          <w:rtl w:val="0"/>
          <w:lang w:val="en-US"/>
        </w:rPr>
        <w:t xml:space="preserve">” </w:t>
      </w:r>
      <w:r>
        <w:rPr>
          <w:rStyle w:val="Section Number"/>
          <w:rtl w:val="0"/>
          <w:lang w:val="en-US"/>
        </w:rPr>
        <w:t xml:space="preserve">with natural language, with expert users describing SQL as </w:t>
      </w:r>
      <w:r>
        <w:rPr>
          <w:rStyle w:val="Section Number"/>
          <w:rtl w:val="0"/>
          <w:lang w:val="en-US"/>
        </w:rPr>
        <w:t>“</w:t>
      </w:r>
      <w:r>
        <w:rPr>
          <w:rStyle w:val="Section Number"/>
          <w:rtl w:val="0"/>
          <w:lang w:val="en-US"/>
        </w:rPr>
        <w:t>very tedious and time-consuming</w:t>
      </w:r>
      <w:r>
        <w:rPr>
          <w:rStyle w:val="Section Number"/>
          <w:rtl w:val="0"/>
          <w:lang w:val="en-US"/>
        </w:rPr>
        <w:t xml:space="preserve">” </w:t>
      </w:r>
      <w:r>
        <w:rPr>
          <w:rStyle w:val="Section Number"/>
          <w:rtl w:val="0"/>
          <w:lang w:val="en-US"/>
        </w:rPr>
        <w:t>for the same analytical tasks (</w:t>
      </w:r>
      <w:r>
        <w:rPr>
          <w:rStyle w:val="Hyperlink.0"/>
        </w:rPr>
        <w:fldChar w:fldCharType="begin" w:fldLock="0"/>
      </w:r>
      <w:r>
        <w:rPr>
          <w:rStyle w:val="Hyperlink.0"/>
        </w:rPr>
        <w:instrText xml:space="preserve"> HYPERLINK \l "refsafari2014" </w:instrText>
      </w:r>
      <w:r>
        <w:rPr>
          <w:rStyle w:val="Hyperlink.0"/>
        </w:rPr>
        <w:fldChar w:fldCharType="separate" w:fldLock="0"/>
      </w:r>
      <w:r>
        <w:rPr>
          <w:rStyle w:val="Hyperlink.0"/>
          <w:rtl w:val="0"/>
        </w:rPr>
        <w:t>95</w:t>
      </w:r>
      <w:r>
        <w:rPr/>
        <w:fldChar w:fldCharType="end" w:fldLock="0"/>
      </w:r>
      <w:r>
        <w:rPr>
          <w:rStyle w:val="Section Number"/>
          <w:rtl w:val="0"/>
          <w:lang w:val="en-US"/>
        </w:rPr>
        <w:t>). NLP-driven data entry systems have achieved 33% time reduction with 15% accuracy improvement in clinical research settings (</w:t>
      </w:r>
      <w:r>
        <w:rPr>
          <w:rStyle w:val="Hyperlink.0"/>
        </w:rPr>
        <w:fldChar w:fldCharType="begin" w:fldLock="0"/>
      </w:r>
      <w:r>
        <w:rPr>
          <w:rStyle w:val="Hyperlink.0"/>
        </w:rPr>
        <w:instrText xml:space="preserve"> HYPERLINK \l "refhan2019" </w:instrText>
      </w:r>
      <w:r>
        <w:rPr>
          <w:rStyle w:val="Hyperlink.0"/>
        </w:rPr>
        <w:fldChar w:fldCharType="separate" w:fldLock="0"/>
      </w:r>
      <w:r>
        <w:rPr>
          <w:rStyle w:val="Hyperlink.0"/>
          <w:rtl w:val="0"/>
        </w:rPr>
        <w:t>96</w:t>
      </w:r>
      <w:r>
        <w:rPr/>
        <w:fldChar w:fldCharType="end" w:fldLock="0"/>
      </w:r>
      <w:r>
        <w:rPr>
          <w:rStyle w:val="Section Number"/>
          <w:rtl w:val="0"/>
          <w:lang w:val="en-US"/>
        </w:rPr>
        <w:t>). Healthcare-specific NL2SQL models such as MedT5SQL achieve 80.63% exact match accuracy on the MIMICSQL benchmark, demonstrating that domain-adapted language models can effectively translate natural language to SQL for clinical databases (</w:t>
      </w:r>
      <w:r>
        <w:rPr>
          <w:rStyle w:val="Hyperlink.0"/>
        </w:rPr>
        <w:fldChar w:fldCharType="begin" w:fldLock="0"/>
      </w:r>
      <w:r>
        <w:rPr>
          <w:rStyle w:val="Hyperlink.0"/>
        </w:rPr>
        <w:instrText xml:space="preserve"> HYPERLINK \l "refmarshan2024" </w:instrText>
      </w:r>
      <w:r>
        <w:rPr>
          <w:rStyle w:val="Hyperlink.0"/>
        </w:rPr>
        <w:fldChar w:fldCharType="separate" w:fldLock="0"/>
      </w:r>
      <w:r>
        <w:rPr>
          <w:rStyle w:val="Hyperlink.0"/>
          <w:rtl w:val="0"/>
        </w:rPr>
        <w:t>97</w:t>
      </w:r>
      <w:r>
        <w:rPr/>
        <w:fldChar w:fldCharType="end" w:fldLock="0"/>
      </w:r>
      <w:r>
        <w:rPr>
          <w:rStyle w:val="Section Number"/>
          <w:rtl w:val="0"/>
          <w:lang w:val="en-US"/>
        </w:rPr>
        <w:t>). These metrics provide peer-reviewed evidence that complements vendor-sponsored efficiency claims.</w:t>
      </w:r>
    </w:p>
    <w:p>
      <w:pPr>
        <w:pStyle w:val="Body Text"/>
      </w:pPr>
      <w:r>
        <w:rPr>
          <w:rStyle w:val="Section Number"/>
          <w:rtl w:val="0"/>
          <w:lang w:val="en-US"/>
        </w:rPr>
        <w:t>Code modernization principles directly inform these productivity gains. Foundational work on natural language interfaces to databases (</w:t>
      </w:r>
      <w:r>
        <w:rPr>
          <w:rStyle w:val="Hyperlink.0"/>
        </w:rPr>
        <w:fldChar w:fldCharType="begin" w:fldLock="0"/>
      </w:r>
      <w:r>
        <w:rPr>
          <w:rStyle w:val="Hyperlink.0"/>
        </w:rPr>
        <w:instrText xml:space="preserve"> HYPERLINK \l "refhendrix1978" </w:instrText>
      </w:r>
      <w:r>
        <w:rPr>
          <w:rStyle w:val="Hyperlink.0"/>
        </w:rPr>
        <w:fldChar w:fldCharType="separate" w:fldLock="0"/>
      </w:r>
      <w:r>
        <w:rPr>
          <w:rStyle w:val="Hyperlink.0"/>
          <w:rtl w:val="0"/>
        </w:rPr>
        <w:t>11</w:t>
      </w:r>
      <w:r>
        <w:rPr/>
        <w:fldChar w:fldCharType="end" w:fldLock="0"/>
      </w:r>
      <w:r>
        <w:rPr>
          <w:rStyle w:val="Section Number"/>
          <w:rtl w:val="0"/>
          <w:lang w:val="en-US"/>
        </w:rPr>
        <w:t>) established that modular, decoupled architecture enables effective NL access to legacy systems, a design principle applied across subsequent research (e.g., (</w:t>
      </w:r>
      <w:r>
        <w:rPr>
          <w:rStyle w:val="Hyperlink.0"/>
        </w:rPr>
        <w:fldChar w:fldCharType="begin" w:fldLock="0"/>
      </w:r>
      <w:r>
        <w:rPr>
          <w:rStyle w:val="Hyperlink.0"/>
        </w:rPr>
        <w:instrText xml:space="preserve"> HYPERLINK \l "refsaha2023" </w:instrText>
      </w:r>
      <w:r>
        <w:rPr>
          <w:rStyle w:val="Hyperlink.0"/>
        </w:rPr>
        <w:fldChar w:fldCharType="separate" w:fldLock="0"/>
      </w:r>
      <w:r>
        <w:rPr>
          <w:rStyle w:val="Hyperlink.0"/>
          <w:rtl w:val="0"/>
        </w:rPr>
        <w:t>98</w:t>
      </w:r>
      <w:r>
        <w:rPr/>
        <w:fldChar w:fldCharType="end" w:fldLock="0"/>
      </w:r>
      <w:r>
        <w:rPr>
          <w:rStyle w:val="Section Number"/>
          <w:rtl w:val="0"/>
          <w:lang w:val="en-US"/>
        </w:rPr>
        <w:t>)). Modern implementations demonstrate that retrieval-augmented generation (RAG) approaches reduce specialized training requirements by 87.4% compared to traditional querying methods while achieving 92.3% accuracy in interpreting business-specific terminology from legacy mainframe records (</w:t>
      </w:r>
      <w:r>
        <w:rPr>
          <w:rStyle w:val="Hyperlink.0"/>
        </w:rPr>
        <w:fldChar w:fldCharType="begin" w:fldLock="0"/>
      </w:r>
      <w:r>
        <w:rPr>
          <w:rStyle w:val="Hyperlink.0"/>
        </w:rPr>
        <w:instrText xml:space="preserve"> HYPERLINK \l "refkhandelwal2025" </w:instrText>
      </w:r>
      <w:r>
        <w:rPr>
          <w:rStyle w:val="Hyperlink.0"/>
        </w:rPr>
        <w:fldChar w:fldCharType="separate" w:fldLock="0"/>
      </w:r>
      <w:r>
        <w:rPr>
          <w:rStyle w:val="Hyperlink.0"/>
          <w:rtl w:val="0"/>
        </w:rPr>
        <w:t>99</w:t>
      </w:r>
      <w:r>
        <w:rPr/>
        <w:fldChar w:fldCharType="end" w:fldLock="0"/>
      </w:r>
      <w:r>
        <w:rPr>
          <w:rStyle w:val="Section Number"/>
          <w:rtl w:val="0"/>
          <w:lang w:val="en-US"/>
        </w:rPr>
        <w:t>). This convergence of code modernization and natural language interface technologies arises because both rely on the same underlying large language models (</w:t>
      </w:r>
      <w:r>
        <w:rPr>
          <w:rStyle w:val="Hyperlink.0"/>
        </w:rPr>
        <w:fldChar w:fldCharType="begin" w:fldLock="0"/>
      </w:r>
      <w:r>
        <w:rPr>
          <w:rStyle w:val="Hyperlink.0"/>
        </w:rPr>
        <w:instrText xml:space="preserve"> HYPERLINK \l "refogunwole2023" </w:instrText>
      </w:r>
      <w:r>
        <w:rPr>
          <w:rStyle w:val="Hyperlink.0"/>
        </w:rPr>
        <w:fldChar w:fldCharType="separate" w:fldLock="0"/>
      </w:r>
      <w:r>
        <w:rPr>
          <w:rStyle w:val="Hyperlink.0"/>
          <w:rtl w:val="0"/>
        </w:rPr>
        <w:t>12</w:t>
      </w:r>
      <w:r>
        <w:rPr/>
        <w:fldChar w:fldCharType="end" w:fldLock="0"/>
      </w:r>
      <w:r>
        <w:rPr>
          <w:rStyle w:val="Section Number"/>
          <w:rtl w:val="0"/>
          <w:lang w:val="en-US"/>
        </w:rPr>
        <w:t>), (</w:t>
      </w:r>
      <w:r>
        <w:rPr>
          <w:rStyle w:val="Hyperlink.0"/>
        </w:rPr>
        <w:fldChar w:fldCharType="begin" w:fldLock="0"/>
      </w:r>
      <w:r>
        <w:rPr>
          <w:rStyle w:val="Hyperlink.0"/>
        </w:rPr>
        <w:instrText xml:space="preserve"> HYPERLINK \l "refarora2025" </w:instrText>
      </w:r>
      <w:r>
        <w:rPr>
          <w:rStyle w:val="Hyperlink.0"/>
        </w:rPr>
        <w:fldChar w:fldCharType="separate" w:fldLock="0"/>
      </w:r>
      <w:r>
        <w:rPr>
          <w:rStyle w:val="Hyperlink.0"/>
          <w:rtl w:val="0"/>
        </w:rPr>
        <w:t>13</w:t>
      </w:r>
      <w:r>
        <w:rPr/>
        <w:fldChar w:fldCharType="end" w:fldLock="0"/>
      </w:r>
      <w:r>
        <w:rPr>
          <w:rStyle w:val="Section Number"/>
          <w:rtl w:val="0"/>
          <w:lang w:val="en-US"/>
        </w:rPr>
        <w:t>), suggesting that organizations investing in either capability simultaneously advance both.</w:t>
      </w:r>
      <w:bookmarkEnd w:id="75"/>
    </w:p>
    <w:p>
      <w:pPr>
        <w:pStyle w:val="Heading 2"/>
      </w:pPr>
      <w:bookmarkStart w:name="_Toc38" w:id="76"/>
      <w:bookmarkStart w:name="Xca10dac733c4b284609ad3ca0d26f7400b78729" w:id="77"/>
      <w:r>
        <w:rPr>
          <w:rStyle w:val="Section Number"/>
          <w:rtl w:val="0"/>
          <w:lang w:val="en-US"/>
        </w:rPr>
        <w:t>4.4</w:t>
        <w:tab/>
        <w:t>Integration of Evidence: Synthesis Across Three Pillars</w:t>
      </w:r>
      <w:bookmarkEnd w:id="77"/>
      <w:bookmarkEnd w:id="76"/>
    </w:p>
    <w:p>
      <w:pPr>
        <w:pStyle w:val="Heading 3"/>
      </w:pPr>
      <w:bookmarkStart w:name="_Toc39" w:id="78"/>
      <w:bookmarkStart w:name="X0708b38ce3452e1e210f85dce936488d1dfa0fa" w:id="79"/>
      <w:r>
        <w:rPr>
          <w:rStyle w:val="Section Number"/>
          <w:rtl w:val="0"/>
          <w:lang w:val="en-US"/>
        </w:rPr>
        <w:t>4.4.1</w:t>
        <w:tab/>
        <w:t>Pillar 1: Analytics Maturity and Democratized Access</w:t>
      </w:r>
      <w:bookmarkEnd w:id="78"/>
    </w:p>
    <w:p>
      <w:pPr>
        <w:pStyle w:val="First Paragraph"/>
      </w:pPr>
      <w:r>
        <w:rPr>
          <w:rStyle w:val="Section Number"/>
          <w:rtl w:val="0"/>
          <w:lang w:val="en-US"/>
        </w:rPr>
        <w:t xml:space="preserve">At its core, bridging technical and domain expertise serves a fundamental patient care objective: enabling clinical professionals to access and act on data that improves care quality. The convergence of evidence reveals that traditional analytics maturity models often fail because they assume a linear progression of </w:t>
      </w:r>
      <w:r>
        <w:rPr>
          <w:rFonts w:ascii="Aptos" w:cs="Aptos" w:hAnsi="Aptos" w:eastAsia="Aptos"/>
          <w:i w:val="1"/>
          <w:iCs w:val="1"/>
          <w:rtl w:val="0"/>
          <w:lang w:val="en-US"/>
        </w:rPr>
        <w:t>technical</w:t>
      </w:r>
      <w:r>
        <w:rPr>
          <w:rStyle w:val="Section Number"/>
          <w:rtl w:val="0"/>
          <w:lang w:val="en-US"/>
        </w:rPr>
        <w:t xml:space="preserve"> capability rather than </w:t>
      </w:r>
      <w:r>
        <w:rPr>
          <w:rFonts w:ascii="Aptos" w:cs="Aptos" w:hAnsi="Aptos" w:eastAsia="Aptos"/>
          <w:i w:val="1"/>
          <w:iCs w:val="1"/>
          <w:rtl w:val="0"/>
          <w:lang w:val="en-US"/>
        </w:rPr>
        <w:t>access</w:t>
      </w:r>
      <w:r>
        <w:rPr>
          <w:rStyle w:val="Section Number"/>
          <w:rtl w:val="0"/>
          <w:lang w:val="en-US"/>
        </w:rPr>
        <w:t xml:space="preserve"> capability.</w:t>
      </w:r>
    </w:p>
    <w:p>
      <w:pPr>
        <w:pStyle w:val="Body Text"/>
      </w:pPr>
      <w:r>
        <w:rPr>
          <w:rStyle w:val="Section Number"/>
          <w:rtl w:val="0"/>
          <w:lang w:val="en-US"/>
        </w:rPr>
        <w:t xml:space="preserve">A critical distinction exists between traditional monitoring and dynamic exploration. Visual dashboards excel at </w:t>
      </w:r>
      <w:r>
        <w:rPr>
          <w:rStyle w:val="Section Number"/>
          <w:rtl w:val="0"/>
          <w:lang w:val="en-US"/>
        </w:rPr>
        <w:t>“</w:t>
      </w:r>
      <w:r>
        <w:rPr>
          <w:rStyle w:val="Section Number"/>
          <w:rtl w:val="0"/>
          <w:lang w:val="en-US"/>
        </w:rPr>
        <w:t>exploitation</w:t>
      </w:r>
      <w:r>
        <w:rPr>
          <w:rStyle w:val="Section Number"/>
          <w:rtl w:val="0"/>
          <w:lang w:val="en-US"/>
        </w:rPr>
        <w:t xml:space="preserve">” </w:t>
      </w:r>
      <w:r>
        <w:rPr>
          <w:rStyle w:val="Section Number"/>
          <w:rtl w:val="0"/>
          <w:lang w:val="en-US"/>
        </w:rPr>
        <w:t xml:space="preserve">(monitoring known metrics such as bed occupancy or infection rates) and provide essential </w:t>
      </w:r>
      <w:r>
        <w:rPr>
          <w:rStyle w:val="Section Number"/>
          <w:rtl w:val="0"/>
          <w:lang w:val="en-US"/>
        </w:rPr>
        <w:t>“</w:t>
      </w:r>
      <w:r>
        <w:rPr>
          <w:rStyle w:val="Section Number"/>
          <w:rtl w:val="0"/>
          <w:lang w:val="en-US"/>
        </w:rPr>
        <w:t>at-a-glance</w:t>
      </w:r>
      <w:r>
        <w:rPr>
          <w:rStyle w:val="Section Number"/>
          <w:rtl w:val="0"/>
          <w:lang w:val="en-US"/>
        </w:rPr>
        <w:t xml:space="preserve">” </w:t>
      </w:r>
      <w:r>
        <w:rPr>
          <w:rStyle w:val="Section Number"/>
          <w:rtl w:val="0"/>
          <w:lang w:val="en-US"/>
        </w:rPr>
        <w:t>status (</w:t>
      </w:r>
      <w:r>
        <w:rPr>
          <w:rStyle w:val="Hyperlink.0"/>
        </w:rPr>
        <w:fldChar w:fldCharType="begin" w:fldLock="0"/>
      </w:r>
      <w:r>
        <w:rPr>
          <w:rStyle w:val="Hyperlink.0"/>
        </w:rPr>
        <w:instrText xml:space="preserve"> HYPERLINK \l "refhealth2020" </w:instrText>
      </w:r>
      <w:r>
        <w:rPr>
          <w:rStyle w:val="Hyperlink.0"/>
        </w:rPr>
        <w:fldChar w:fldCharType="separate" w:fldLock="0"/>
      </w:r>
      <w:r>
        <w:rPr>
          <w:rStyle w:val="Hyperlink.0"/>
          <w:rtl w:val="0"/>
        </w:rPr>
        <w:t>23</w:t>
      </w:r>
      <w:r>
        <w:rPr/>
        <w:fldChar w:fldCharType="end" w:fldLock="0"/>
      </w:r>
      <w:r>
        <w:rPr>
          <w:rStyle w:val="Section Number"/>
          <w:rtl w:val="0"/>
          <w:lang w:val="en-US"/>
        </w:rPr>
        <w:t>). However, dashboards often create bottlenecks for novel or unanticipated clinical questions, requiring a full build cycle and analyst intervention (</w:t>
      </w:r>
      <w:r>
        <w:rPr>
          <w:rStyle w:val="Hyperlink.0"/>
        </w:rPr>
        <w:fldChar w:fldCharType="begin" w:fldLock="0"/>
      </w:r>
      <w:r>
        <w:rPr>
          <w:rStyle w:val="Hyperlink.0"/>
        </w:rPr>
        <w:instrText xml:space="preserve"> HYPERLINK \l "refsyed2025" </w:instrText>
      </w:r>
      <w:r>
        <w:rPr>
          <w:rStyle w:val="Hyperlink.0"/>
        </w:rPr>
        <w:fldChar w:fldCharType="separate" w:fldLock="0"/>
      </w:r>
      <w:r>
        <w:rPr>
          <w:rStyle w:val="Hyperlink.0"/>
          <w:rtl w:val="0"/>
        </w:rPr>
        <w:t>100</w:t>
      </w:r>
      <w:r>
        <w:rPr/>
        <w:fldChar w:fldCharType="end" w:fldLock="0"/>
      </w:r>
      <w:r>
        <w:rPr>
          <w:rStyle w:val="Section Number"/>
          <w:rtl w:val="0"/>
          <w:lang w:val="en-US"/>
        </w:rPr>
        <w:t xml:space="preserve">). Conversational analytics revolutionizes this </w:t>
      </w:r>
      <w:r>
        <w:rPr>
          <w:rStyle w:val="Section Number"/>
          <w:rtl w:val="0"/>
          <w:lang w:val="en-US"/>
        </w:rPr>
        <w:t>“</w:t>
      </w:r>
      <w:r>
        <w:rPr>
          <w:rStyle w:val="Section Number"/>
          <w:rtl w:val="0"/>
          <w:lang w:val="en-US"/>
        </w:rPr>
        <w:t>time-to-insight</w:t>
      </w:r>
      <w:r>
        <w:rPr>
          <w:rStyle w:val="Section Number"/>
          <w:rtl w:val="0"/>
          <w:lang w:val="en-US"/>
        </w:rPr>
        <w:t xml:space="preserve">” </w:t>
      </w:r>
      <w:r>
        <w:rPr>
          <w:rStyle w:val="Section Number"/>
          <w:rtl w:val="0"/>
          <w:lang w:val="en-US"/>
        </w:rPr>
        <w:t xml:space="preserve">by enabling </w:t>
      </w:r>
      <w:r>
        <w:rPr>
          <w:rStyle w:val="Section Number"/>
          <w:rtl w:val="0"/>
          <w:lang w:val="en-US"/>
        </w:rPr>
        <w:t>“</w:t>
      </w:r>
      <w:r>
        <w:rPr>
          <w:rStyle w:val="Section Number"/>
          <w:rtl w:val="0"/>
          <w:lang w:val="en-US"/>
        </w:rPr>
        <w:t>exploration</w:t>
      </w:r>
      <w:r>
        <w:rPr>
          <w:rStyle w:val="Section Number"/>
          <w:rtl w:val="0"/>
          <w:lang w:val="en-US"/>
        </w:rPr>
        <w:t xml:space="preserve">” </w:t>
      </w:r>
      <w:r>
        <w:rPr>
          <w:rStyle w:val="Section Number"/>
          <w:rtl w:val="0"/>
          <w:lang w:val="en-US"/>
        </w:rPr>
        <w:t>for ad-hoc questions, reducing retrieval time from days to seconds (</w:t>
      </w:r>
      <w:r>
        <w:rPr>
          <w:rStyle w:val="Hyperlink.0"/>
        </w:rPr>
        <w:fldChar w:fldCharType="begin" w:fldLock="0"/>
      </w:r>
      <w:r>
        <w:rPr>
          <w:rStyle w:val="Hyperlink.0"/>
        </w:rPr>
        <w:instrText xml:space="preserve"> HYPERLINK \l "refsyed2025" </w:instrText>
      </w:r>
      <w:r>
        <w:rPr>
          <w:rStyle w:val="Hyperlink.0"/>
        </w:rPr>
        <w:fldChar w:fldCharType="separate" w:fldLock="0"/>
      </w:r>
      <w:r>
        <w:rPr>
          <w:rStyle w:val="Hyperlink.0"/>
          <w:rtl w:val="0"/>
        </w:rPr>
        <w:t>100</w:t>
      </w:r>
      <w:r>
        <w:rPr/>
        <w:fldChar w:fldCharType="end" w:fldLock="0"/>
      </w:r>
      <w:r>
        <w:rPr>
          <w:rStyle w:val="Section Number"/>
          <w:rtl w:val="0"/>
          <w:lang w:val="en-US"/>
        </w:rPr>
        <w:t xml:space="preserve">). Modern systems are increasingly moving toward integrated </w:t>
      </w:r>
      <w:r>
        <w:rPr>
          <w:rStyle w:val="Section Number"/>
          <w:rtl w:val="0"/>
          <w:lang w:val="en-US"/>
        </w:rPr>
        <w:t>“</w:t>
      </w:r>
      <w:r>
        <w:rPr>
          <w:rStyle w:val="Section Number"/>
          <w:rtl w:val="0"/>
          <w:lang w:val="en-US"/>
        </w:rPr>
        <w:t>Visual-Conversational</w:t>
      </w:r>
      <w:r>
        <w:rPr>
          <w:rStyle w:val="Section Number"/>
          <w:rtl w:val="0"/>
          <w:lang w:val="en-US"/>
        </w:rPr>
        <w:t xml:space="preserve">” </w:t>
      </w:r>
      <w:r>
        <w:rPr>
          <w:rStyle w:val="Section Number"/>
          <w:rtl w:val="0"/>
          <w:lang w:val="en-US"/>
        </w:rPr>
        <w:t>interfaces, where natural language simplifies complex, nested queries while visual panels align with clinical workflow needs for analytical reasoning (</w:t>
      </w:r>
      <w:r>
        <w:rPr>
          <w:rStyle w:val="Hyperlink.0"/>
        </w:rPr>
        <w:fldChar w:fldCharType="begin" w:fldLock="0"/>
      </w:r>
      <w:r>
        <w:rPr>
          <w:rStyle w:val="Hyperlink.0"/>
        </w:rPr>
        <w:instrText xml:space="preserve"> HYPERLINK \l "refsamimi2025" </w:instrText>
      </w:r>
      <w:r>
        <w:rPr>
          <w:rStyle w:val="Hyperlink.0"/>
        </w:rPr>
        <w:fldChar w:fldCharType="separate" w:fldLock="0"/>
      </w:r>
      <w:r>
        <w:rPr>
          <w:rStyle w:val="Hyperlink.0"/>
          <w:rtl w:val="0"/>
        </w:rPr>
        <w:t>101</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"refruoff2023" </w:instrText>
      </w:r>
      <w:r>
        <w:rPr>
          <w:rStyle w:val="Hyperlink.0"/>
        </w:rPr>
        <w:fldChar w:fldCharType="separate" w:fldLock="0"/>
      </w:r>
      <w:r>
        <w:rPr>
          <w:rStyle w:val="Hyperlink.0"/>
          <w:rtl w:val="0"/>
        </w:rPr>
        <w:t>102</w:t>
      </w:r>
      <w:r>
        <w:rPr/>
        <w:fldChar w:fldCharType="end" w:fldLock="0"/>
      </w:r>
      <w:r>
        <w:rPr>
          <w:rStyle w:val="Section Number"/>
          <w:rtl w:val="0"/>
          <w:lang w:val="en-US"/>
        </w:rPr>
        <w:t>). This integration facilitates a fluid, iterative exploration that enhances both information-finding effectiveness and clinical decision-making flow (</w:t>
      </w:r>
      <w:r>
        <w:rPr>
          <w:rStyle w:val="Hyperlink.0"/>
        </w:rPr>
        <w:fldChar w:fldCharType="begin" w:fldLock="0"/>
      </w:r>
      <w:r>
        <w:rPr>
          <w:rStyle w:val="Hyperlink.0"/>
        </w:rPr>
        <w:instrText xml:space="preserve"> HYPERLINK \l "refchowdhury2020" </w:instrText>
      </w:r>
      <w:r>
        <w:rPr>
          <w:rStyle w:val="Hyperlink.0"/>
        </w:rPr>
        <w:fldChar w:fldCharType="separate" w:fldLock="0"/>
      </w:r>
      <w:r>
        <w:rPr>
          <w:rStyle w:val="Hyperlink.0"/>
          <w:rtl w:val="0"/>
        </w:rPr>
        <w:t>103</w:t>
      </w:r>
      <w:r>
        <w:rPr/>
        <w:fldChar w:fldCharType="end" w:fldLock="0"/>
      </w:r>
      <w:r>
        <w:rPr>
          <w:rStyle w:val="Section Number"/>
          <w:rtl w:val="0"/>
          <w:lang w:val="en-US"/>
        </w:rPr>
        <w:t>). User studies indicate that chatbot proficiency can be reached after a single task repetition, suggesting a lower training burden for high-agility enablement than traditional BI dashboards (</w:t>
      </w:r>
      <w:r>
        <w:rPr>
          <w:rStyle w:val="Hyperlink.0"/>
        </w:rPr>
        <w:fldChar w:fldCharType="begin" w:fldLock="0"/>
      </w:r>
      <w:r>
        <w:rPr>
          <w:rStyle w:val="Hyperlink.0"/>
        </w:rPr>
        <w:instrText xml:space="preserve"> HYPERLINK \l "refholmes2019" </w:instrText>
      </w:r>
      <w:r>
        <w:rPr>
          <w:rStyle w:val="Hyperlink.0"/>
        </w:rPr>
        <w:fldChar w:fldCharType="separate" w:fldLock="0"/>
      </w:r>
      <w:r>
        <w:rPr>
          <w:rStyle w:val="Hyperlink.0"/>
          <w:rtl w:val="0"/>
        </w:rPr>
        <w:t>104</w:t>
      </w:r>
      <w:r>
        <w:rPr/>
        <w:fldChar w:fldCharType="end" w:fldLock="0"/>
      </w:r>
      <w:r>
        <w:rPr>
          <w:rStyle w:val="Section Number"/>
          <w:rtl w:val="0"/>
          <w:lang w:val="en-US"/>
        </w:rPr>
        <w:t>). By democratizing access, organizations can advance their effective maturity, the ability to actually use data, even while backend infrastructure remains in transition.</w:t>
      </w:r>
      <w:bookmarkEnd w:id="79"/>
    </w:p>
    <w:p>
      <w:pPr>
        <w:pStyle w:val="Heading 3"/>
      </w:pPr>
      <w:bookmarkStart w:name="_Toc40" w:id="80"/>
      <w:bookmarkStart w:name="X386dc0cfc449dfa963c65f6d2ac2dc58bea9345" w:id="81"/>
      <w:r>
        <w:rPr>
          <w:rStyle w:val="Section Number"/>
          <w:rtl w:val="0"/>
          <w:lang w:val="en-US"/>
        </w:rPr>
        <w:t>4.4.2</w:t>
        <w:tab/>
        <w:t>Pillar 2: Workforce Agility and Institutional Memory</w:t>
      </w:r>
      <w:bookmarkEnd w:id="80"/>
    </w:p>
    <w:p>
      <w:pPr>
        <w:pStyle w:val="First Paragraph"/>
      </w:pPr>
      <w:r>
        <w:rPr>
          <w:rStyle w:val="Section Number"/>
          <w:rtl w:val="0"/>
          <w:lang w:val="en-US"/>
        </w:rPr>
        <w:t>The literature suggests that effective knowledge preservation requires active, embedded systems rather than passive documentation (</w:t>
      </w:r>
      <w:r>
        <w:rPr>
          <w:rStyle w:val="Hyperlink.0"/>
        </w:rPr>
        <w:fldChar w:fldCharType="begin" w:fldLock="0"/>
      </w:r>
      <w:r>
        <w:rPr>
          <w:rStyle w:val="Hyperlink.0"/>
        </w:rPr>
        <w:instrText xml:space="preserve"> HYPERLINK \l "refbenbya2004" </w:instrText>
      </w:r>
      <w:r>
        <w:rPr>
          <w:rStyle w:val="Hyperlink.0"/>
        </w:rPr>
        <w:fldChar w:fldCharType="separate" w:fldLock="0"/>
      </w:r>
      <w:r>
        <w:rPr>
          <w:rStyle w:val="Hyperlink.0"/>
          <w:rtl w:val="0"/>
        </w:rPr>
        <w:t>37</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"refwhittaker2008" </w:instrText>
      </w:r>
      <w:r>
        <w:rPr>
          <w:rStyle w:val="Hyperlink.0"/>
        </w:rPr>
        <w:fldChar w:fldCharType="separate" w:fldLock="0"/>
      </w:r>
      <w:r>
        <w:rPr>
          <w:rStyle w:val="Hyperlink.0"/>
          <w:rtl w:val="0"/>
        </w:rPr>
        <w:t>105</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"refrangachari2020" </w:instrText>
      </w:r>
      <w:r>
        <w:rPr>
          <w:rStyle w:val="Hyperlink.0"/>
        </w:rPr>
        <w:fldChar w:fldCharType="separate" w:fldLock="0"/>
      </w:r>
      <w:r>
        <w:rPr>
          <w:rStyle w:val="Hyperlink.0"/>
          <w:rtl w:val="0"/>
        </w:rPr>
        <w:t>106</w:t>
      </w:r>
      <w:r>
        <w:rPr/>
        <w:fldChar w:fldCharType="end" w:fldLock="0"/>
      </w:r>
      <w:r>
        <w:rPr>
          <w:rStyle w:val="Section Number"/>
          <w:rtl w:val="0"/>
          <w:lang w:val="en-US"/>
        </w:rPr>
        <w:t>). The risk of institutional memory loss is not merely an HR issue but a fundamental threat to analytics continuity (</w:t>
      </w:r>
      <w:r>
        <w:rPr>
          <w:rStyle w:val="Hyperlink.0"/>
        </w:rPr>
        <w:fldChar w:fldCharType="begin" w:fldLock="0"/>
      </w:r>
      <w:r>
        <w:rPr>
          <w:rStyle w:val="Hyperlink.0"/>
        </w:rPr>
        <w:instrText xml:space="preserve"> HYPERLINK \l "refrao2006" </w:instrText>
      </w:r>
      <w:r>
        <w:rPr>
          <w:rStyle w:val="Hyperlink.0"/>
        </w:rPr>
        <w:fldChar w:fldCharType="separate" w:fldLock="0"/>
      </w:r>
      <w:r>
        <w:rPr>
          <w:rStyle w:val="Hyperlink.0"/>
          <w:rtl w:val="0"/>
        </w:rPr>
        <w:t>33</w:t>
      </w:r>
      <w:r>
        <w:rPr/>
        <w:fldChar w:fldCharType="end" w:fldLock="0"/>
      </w:r>
      <w:r>
        <w:rPr>
          <w:rStyle w:val="Section Number"/>
          <w:rtl w:val="0"/>
          <w:lang w:val="en-US"/>
        </w:rPr>
        <w:t>). When organizations choose to implement AI-based platforms, these can serve as organizational memory systems by:</w:t>
      </w:r>
    </w:p>
    <w:p>
      <w:pPr>
        <w:pStyle w:val="Compact"/>
        <w:numPr>
          <w:ilvl w:val="0"/>
          <w:numId w:val="4"/>
        </w:numPr>
        <w:rPr>
          <w:lang w:val="en-US"/>
        </w:rPr>
      </w:pPr>
      <w:r>
        <w:rPr>
          <w:rStyle w:val="Section Number"/>
          <w:rtl w:val="0"/>
          <w:lang w:val="en-US"/>
        </w:rPr>
        <w:t>Capturing decision-making patterns through usage (</w:t>
      </w:r>
      <w:r>
        <w:rPr>
          <w:rStyle w:val="Hyperlink.0"/>
        </w:rPr>
        <w:fldChar w:fldCharType="begin" w:fldLock="0"/>
      </w:r>
      <w:r>
        <w:rPr>
          <w:rStyle w:val="Hyperlink.0"/>
        </w:rPr>
        <w:instrText xml:space="preserve"> HYPERLINK \l "refmoore2018" </w:instrText>
      </w:r>
      <w:r>
        <w:rPr>
          <w:rStyle w:val="Hyperlink.0"/>
        </w:rPr>
        <w:fldChar w:fldCharType="separate" w:fldLock="0"/>
      </w:r>
      <w:r>
        <w:rPr>
          <w:rStyle w:val="Hyperlink.0"/>
          <w:rtl w:val="0"/>
          <w:lang w:val="en-US"/>
        </w:rPr>
        <w:t>107</w:t>
      </w:r>
      <w:r>
        <w:rPr/>
        <w:fldChar w:fldCharType="end" w:fldLock="0"/>
      </w:r>
      <w:r>
        <w:rPr>
          <w:rStyle w:val="Section Number"/>
          <w:rtl w:val="0"/>
          <w:lang w:val="en-US"/>
        </w:rPr>
        <w:t>)</w:t>
      </w:r>
    </w:p>
    <w:p>
      <w:pPr>
        <w:pStyle w:val="Compact"/>
        <w:numPr>
          <w:ilvl w:val="0"/>
          <w:numId w:val="4"/>
        </w:numPr>
        <w:rPr>
          <w:lang w:val="en-US"/>
        </w:rPr>
      </w:pPr>
      <w:r>
        <w:rPr>
          <w:rStyle w:val="Section Number"/>
          <w:rtl w:val="0"/>
          <w:lang w:val="en-US"/>
        </w:rPr>
        <w:t>Encoding best practices in accessible formats (</w:t>
      </w:r>
      <w:r>
        <w:rPr>
          <w:rStyle w:val="Hyperlink.0"/>
        </w:rPr>
        <w:fldChar w:fldCharType="begin" w:fldLock="0"/>
      </w:r>
      <w:r>
        <w:rPr>
          <w:rStyle w:val="Hyperlink.0"/>
        </w:rPr>
        <w:instrText xml:space="preserve"> HYPERLINK \l "refzhang2025" </w:instrText>
      </w:r>
      <w:r>
        <w:rPr>
          <w:rStyle w:val="Hyperlink.0"/>
        </w:rPr>
        <w:fldChar w:fldCharType="separate" w:fldLock="0"/>
      </w:r>
      <w:r>
        <w:rPr>
          <w:rStyle w:val="Hyperlink.0"/>
          <w:rtl w:val="0"/>
          <w:lang w:val="en-US"/>
        </w:rPr>
        <w:t>38</w:t>
      </w:r>
      <w:r>
        <w:rPr/>
        <w:fldChar w:fldCharType="end" w:fldLock="0"/>
      </w:r>
      <w:r>
        <w:rPr>
          <w:rStyle w:val="Section Number"/>
          <w:rtl w:val="0"/>
          <w:lang w:val="en-US"/>
        </w:rPr>
        <w:t>)</w:t>
      </w:r>
    </w:p>
    <w:p>
      <w:pPr>
        <w:pStyle w:val="Compact"/>
        <w:numPr>
          <w:ilvl w:val="0"/>
          <w:numId w:val="4"/>
        </w:numPr>
        <w:rPr>
          <w:lang w:val="en-US"/>
        </w:rPr>
      </w:pPr>
      <w:r>
        <w:rPr>
          <w:rStyle w:val="Section Number"/>
          <w:rtl w:val="0"/>
          <w:lang w:val="en-US"/>
        </w:rPr>
        <w:t>Providing context-aware guidance to new users</w:t>
      </w:r>
    </w:p>
    <w:p>
      <w:pPr>
        <w:pStyle w:val="Compact"/>
        <w:numPr>
          <w:ilvl w:val="0"/>
          <w:numId w:val="4"/>
        </w:numPr>
        <w:rPr>
          <w:lang w:val="en-US"/>
        </w:rPr>
      </w:pPr>
      <w:r>
        <w:rPr>
          <w:rStyle w:val="Section Number"/>
          <w:rtl w:val="0"/>
          <w:lang w:val="en-US"/>
        </w:rPr>
        <w:t>Maintaining knowledge currency through continuous learning</w:t>
      </w:r>
    </w:p>
    <w:p>
      <w:pPr>
        <w:pStyle w:val="First Paragraph"/>
      </w:pPr>
      <w:r>
        <w:rPr>
          <w:rStyle w:val="Section Number"/>
          <w:rtl w:val="0"/>
          <w:lang w:val="en-US"/>
        </w:rPr>
        <w:t>These principles align with conversational AI approaches that embed institutional knowledge within the AI model itself, making expertise permanently accessible regardless of staff turnover (</w:t>
      </w:r>
      <w:r>
        <w:rPr>
          <w:rStyle w:val="Hyperlink.0"/>
        </w:rPr>
        <w:fldChar w:fldCharType="begin" w:fldLock="0"/>
      </w:r>
      <w:r>
        <w:rPr>
          <w:rStyle w:val="Hyperlink.0"/>
        </w:rPr>
        <w:instrText xml:space="preserve"> HYPERLINK \l "refzhang2025" </w:instrText>
      </w:r>
      <w:r>
        <w:rPr>
          <w:rStyle w:val="Hyperlink.0"/>
        </w:rPr>
        <w:fldChar w:fldCharType="separate" w:fldLock="0"/>
      </w:r>
      <w:r>
        <w:rPr>
          <w:rStyle w:val="Hyperlink.0"/>
          <w:rtl w:val="0"/>
        </w:rPr>
        <w:t>38</w:t>
      </w:r>
      <w:r>
        <w:rPr/>
        <w:fldChar w:fldCharType="end" w:fldLock="0"/>
      </w:r>
      <w:r>
        <w:rPr>
          <w:rStyle w:val="Section Number"/>
          <w:rtl w:val="0"/>
          <w:lang w:val="en-US"/>
        </w:rPr>
        <w:t xml:space="preserve">). This directly addresses the Workforce Agility pillar by decoupling organizational capability from individual tenure. When a senior analyst leaves, their </w:t>
      </w:r>
      <w:r>
        <w:rPr>
          <w:rStyle w:val="Section Number"/>
          <w:rtl w:val="0"/>
          <w:lang w:val="en-US"/>
        </w:rPr>
        <w:t>“</w:t>
      </w:r>
      <w:r>
        <w:rPr>
          <w:rStyle w:val="Section Number"/>
          <w:rtl w:val="0"/>
          <w:lang w:val="en-US"/>
        </w:rPr>
        <w:t>validated queries</w:t>
      </w:r>
      <w:r>
        <w:rPr>
          <w:rStyle w:val="Section Number"/>
          <w:rtl w:val="0"/>
          <w:lang w:val="en-US"/>
        </w:rPr>
        <w:t xml:space="preserve">” </w:t>
      </w:r>
      <w:r>
        <w:rPr>
          <w:rStyle w:val="Section Number"/>
          <w:rtl w:val="0"/>
          <w:lang w:val="en-US"/>
        </w:rPr>
        <w:t xml:space="preserve">remain in the system, allowing a junior replacement to immediately leverage that expertise rather than starting from zero, mitigating the </w:t>
      </w:r>
      <w:r>
        <w:rPr>
          <w:rStyle w:val="Section Number"/>
          <w:rtl w:val="0"/>
          <w:lang w:val="en-US"/>
        </w:rPr>
        <w:t>“</w:t>
      </w:r>
      <w:r>
        <w:rPr>
          <w:rStyle w:val="Section Number"/>
          <w:rtl w:val="0"/>
          <w:lang w:val="en-US"/>
        </w:rPr>
        <w:t>loss of competence</w:t>
      </w:r>
      <w:r>
        <w:rPr>
          <w:rStyle w:val="Section Number"/>
          <w:rtl w:val="0"/>
          <w:lang w:val="en-US"/>
        </w:rPr>
        <w:t xml:space="preserve">” </w:t>
      </w:r>
      <w:r>
        <w:rPr>
          <w:rStyle w:val="Section Number"/>
          <w:rtl w:val="0"/>
          <w:lang w:val="en-US"/>
        </w:rPr>
        <w:t>effect described by Massingham (2018) (</w:t>
      </w:r>
      <w:r>
        <w:rPr>
          <w:rStyle w:val="Hyperlink.0"/>
        </w:rPr>
        <w:fldChar w:fldCharType="begin" w:fldLock="0"/>
      </w:r>
      <w:r>
        <w:rPr>
          <w:rStyle w:val="Hyperlink.0"/>
        </w:rPr>
        <w:instrText xml:space="preserve"> HYPERLINK \l "refmassingham2018" </w:instrText>
      </w:r>
      <w:r>
        <w:rPr>
          <w:rStyle w:val="Hyperlink.0"/>
        </w:rPr>
        <w:fldChar w:fldCharType="separate" w:fldLock="0"/>
      </w:r>
      <w:r>
        <w:rPr>
          <w:rStyle w:val="Hyperlink.0"/>
          <w:rtl w:val="0"/>
        </w:rPr>
        <w:t>34</w:t>
      </w:r>
      <w:r>
        <w:rPr/>
        <w:fldChar w:fldCharType="end" w:fldLock="0"/>
      </w:r>
      <w:r>
        <w:rPr>
          <w:rStyle w:val="Section Number"/>
          <w:rtl w:val="0"/>
          <w:lang w:val="en-US"/>
        </w:rPr>
        <w:t>).</w:t>
      </w:r>
      <w:bookmarkEnd w:id="81"/>
    </w:p>
    <w:p>
      <w:pPr>
        <w:pStyle w:val="Heading 3"/>
      </w:pPr>
      <w:bookmarkStart w:name="_Toc41" w:id="82"/>
      <w:bookmarkStart w:name="X2dffb66de9b2d3d7c0e657fac70033e5b5b5bc2" w:id="83"/>
      <w:r>
        <w:rPr>
          <w:rStyle w:val="Section Number"/>
          <w:rtl w:val="0"/>
          <w:lang w:val="en-US"/>
        </w:rPr>
        <w:t>4.4.3</w:t>
        <w:tab/>
        <w:t>Pillar 3: Technical Enablement as the Catalyst</w:t>
      </w:r>
      <w:bookmarkEnd w:id="82"/>
    </w:p>
    <w:p>
      <w:pPr>
        <w:pStyle w:val="First Paragraph"/>
      </w:pPr>
      <w:r>
        <w:rPr>
          <w:rStyle w:val="Section Number"/>
          <w:rtl w:val="0"/>
          <w:lang w:val="en-US"/>
        </w:rPr>
        <w:t>Technical enablement serves as the mechanism that breaks the compounding cycle of low maturity and high turnover. Academic research provides growing evidence for both conversational AI and low-code approaches as effective catalysts in analytics workflows. In healthcare settings, organizations implementing natural language interfaces report a 63% increase in self-service analytics adoption among non-technical staff and a 37% reduction in time spent on data retrieval tasks (</w:t>
      </w:r>
      <w:r>
        <w:rPr>
          <w:rStyle w:val="Hyperlink.0"/>
        </w:rPr>
        <w:fldChar w:fldCharType="begin" w:fldLock="0"/>
      </w:r>
      <w:r>
        <w:rPr>
          <w:rStyle w:val="Hyperlink.0"/>
        </w:rPr>
        <w:instrText xml:space="preserve"> HYPERLINK \l "refdadi2025" </w:instrText>
      </w:r>
      <w:r>
        <w:rPr>
          <w:rStyle w:val="Hyperlink.0"/>
        </w:rPr>
        <w:fldChar w:fldCharType="separate" w:fldLock="0"/>
      </w:r>
      <w:r>
        <w:rPr>
          <w:rStyle w:val="Hyperlink.0"/>
          <w:rtl w:val="0"/>
        </w:rPr>
        <w:t>91</w:t>
      </w:r>
      <w:r>
        <w:rPr/>
        <w:fldChar w:fldCharType="end" w:fldLock="0"/>
      </w:r>
      <w:r>
        <w:rPr>
          <w:rStyle w:val="Section Number"/>
          <w:rtl w:val="0"/>
          <w:lang w:val="en-US"/>
        </w:rPr>
        <w:t>). Precision medicine platforms leveraging conversational AI have demonstrated 92.5% accuracy in parsing complex biomedical queries, executing tasks significantly faster than standard web portals (</w:t>
      </w:r>
      <w:r>
        <w:rPr>
          <w:rStyle w:val="Hyperlink.0"/>
        </w:rPr>
        <w:fldChar w:fldCharType="begin" w:fldLock="0"/>
      </w:r>
      <w:r>
        <w:rPr>
          <w:rStyle w:val="Hyperlink.0"/>
        </w:rPr>
        <w:instrText xml:space="preserve"> HYPERLINK \l "refyang2025" </w:instrText>
      </w:r>
      <w:r>
        <w:rPr>
          <w:rStyle w:val="Hyperlink.0"/>
        </w:rPr>
        <w:fldChar w:fldCharType="separate" w:fldLock="0"/>
      </w:r>
      <w:r>
        <w:rPr>
          <w:rStyle w:val="Hyperlink.0"/>
          <w:rtl w:val="0"/>
        </w:rPr>
        <w:t>108</w:t>
      </w:r>
      <w:r>
        <w:rPr/>
        <w:fldChar w:fldCharType="end" w:fldLock="0"/>
      </w:r>
      <w:r>
        <w:rPr>
          <w:rStyle w:val="Section Number"/>
          <w:rtl w:val="0"/>
          <w:lang w:val="en-US"/>
        </w:rPr>
        <w:t>). Furthermore, experimental comparisons show that natural language interfaces can accelerate database query formulation by 2.7x to 6.7x compared to traditional methods (</w:t>
      </w:r>
      <w:r>
        <w:rPr>
          <w:rStyle w:val="Hyperlink.0"/>
        </w:rPr>
        <w:fldChar w:fldCharType="begin" w:fldLock="0"/>
      </w:r>
      <w:r>
        <w:rPr>
          <w:rStyle w:val="Hyperlink.0"/>
        </w:rPr>
        <w:instrText xml:space="preserve"> HYPERLINK \l "refshah2020" </w:instrText>
      </w:r>
      <w:r>
        <w:rPr>
          <w:rStyle w:val="Hyperlink.0"/>
        </w:rPr>
        <w:fldChar w:fldCharType="separate" w:fldLock="0"/>
      </w:r>
      <w:r>
        <w:rPr>
          <w:rStyle w:val="Hyperlink.0"/>
          <w:rtl w:val="0"/>
        </w:rPr>
        <w:t>94</w:t>
      </w:r>
      <w:r>
        <w:rPr/>
        <w:fldChar w:fldCharType="end" w:fldLock="0"/>
      </w:r>
      <w:r>
        <w:rPr>
          <w:rStyle w:val="Section Number"/>
          <w:rtl w:val="0"/>
          <w:lang w:val="en-US"/>
        </w:rPr>
        <w:t>), reducing the dependency on specialized technical staff.</w:t>
      </w:r>
    </w:p>
    <w:p>
      <w:pPr>
        <w:pStyle w:val="Body Text"/>
      </w:pPr>
      <w:r>
        <w:rPr>
          <w:rStyle w:val="Section Number"/>
          <w:rtl w:val="0"/>
          <w:lang w:val="en-US"/>
        </w:rPr>
        <w:t>Low-code platforms and conversational AI represent complementary approaches to this enablement (</w:t>
      </w:r>
      <w:r>
        <w:rPr>
          <w:rStyle w:val="Hyperlink.0"/>
        </w:rPr>
        <w:fldChar w:fldCharType="begin" w:fldLock="0"/>
      </w:r>
      <w:r>
        <w:rPr>
          <w:rStyle w:val="Hyperlink.0"/>
        </w:rPr>
        <w:instrText xml:space="preserve"> HYPERLINK \l "refmogili2025" </w:instrText>
      </w:r>
      <w:r>
        <w:rPr>
          <w:rStyle w:val="Hyperlink.0"/>
        </w:rPr>
        <w:fldChar w:fldCharType="separate" w:fldLock="0"/>
      </w:r>
      <w:r>
        <w:rPr>
          <w:rStyle w:val="Hyperlink.0"/>
          <w:rtl w:val="0"/>
        </w:rPr>
        <w:t>109</w:t>
      </w:r>
      <w:r>
        <w:rPr/>
        <w:fldChar w:fldCharType="end" w:fldLock="0"/>
      </w:r>
      <w:r>
        <w:rPr>
          <w:rStyle w:val="Section Number"/>
          <w:rtl w:val="0"/>
          <w:lang w:val="en-US"/>
        </w:rPr>
        <w:t>). Low-code platforms provide visual development environments that accelerate application development and reduce coding requirements, while conversational AI enables natural language interaction with data systems. These approaches share core benefits: both democratize access by enabling non-technical users to perform complex analyses previously requiring data scientist intervention (</w:t>
      </w:r>
      <w:r>
        <w:rPr>
          <w:rStyle w:val="Hyperlink.0"/>
        </w:rPr>
        <w:fldChar w:fldCharType="begin" w:fldLock="0"/>
      </w:r>
      <w:r>
        <w:rPr>
          <w:rStyle w:val="Hyperlink.0"/>
        </w:rPr>
        <w:instrText xml:space="preserve"> HYPERLINK \l "refberkshire2024" </w:instrText>
      </w:r>
      <w:r>
        <w:rPr>
          <w:rStyle w:val="Hyperlink.0"/>
        </w:rPr>
        <w:fldChar w:fldCharType="separate" w:fldLock="0"/>
      </w:r>
      <w:r>
        <w:rPr>
          <w:rStyle w:val="Hyperlink.0"/>
          <w:rtl w:val="0"/>
        </w:rPr>
        <w:t>24</w:t>
      </w:r>
      <w:r>
        <w:rPr/>
        <w:fldChar w:fldCharType="end" w:fldLock="0"/>
      </w:r>
      <w:r>
        <w:rPr>
          <w:rStyle w:val="Section Number"/>
          <w:rtl w:val="0"/>
          <w:lang w:val="en-US"/>
        </w:rPr>
        <w:t>), both accelerate development cycles by abstracting technical complexity (</w:t>
      </w:r>
      <w:r>
        <w:rPr>
          <w:rStyle w:val="Hyperlink.0"/>
        </w:rPr>
        <w:fldChar w:fldCharType="begin" w:fldLock="0"/>
      </w:r>
      <w:r>
        <w:rPr>
          <w:rStyle w:val="Hyperlink.0"/>
        </w:rPr>
        <w:instrText xml:space="preserve"> HYPERLINK \l "refaveiro2023" </w:instrText>
      </w:r>
      <w:r>
        <w:rPr>
          <w:rStyle w:val="Hyperlink.0"/>
        </w:rPr>
        <w:fldChar w:fldCharType="separate" w:fldLock="0"/>
      </w:r>
      <w:r>
        <w:rPr>
          <w:rStyle w:val="Hyperlink.0"/>
          <w:rtl w:val="0"/>
        </w:rPr>
        <w:t>110</w:t>
      </w:r>
      <w:r>
        <w:rPr/>
        <w:fldChar w:fldCharType="end" w:fldLock="0"/>
      </w:r>
      <w:r>
        <w:rPr>
          <w:rStyle w:val="Section Number"/>
          <w:rtl w:val="0"/>
          <w:lang w:val="en-US"/>
        </w:rPr>
        <w:t>), and both produce more self-documenting systems where business logic is expressed in accessible formats rather than specialized code. Evidence from low-code implementations thus informs conversational AI adoption, as both address the same fundamental barrier: the gap between clinical expertise and technical capability.</w:t>
      </w:r>
    </w:p>
    <w:p>
      <w:pPr>
        <w:pStyle w:val="Body Text"/>
      </w:pPr>
      <w:r>
        <w:rPr>
          <w:rStyle w:val="Section Number"/>
          <w:rtl w:val="0"/>
          <w:lang w:val="en-US"/>
        </w:rPr>
        <w:t>Healthcare-specific studies show concrete benefits: Pennington (</w:t>
      </w:r>
      <w:r>
        <w:rPr>
          <w:rStyle w:val="Hyperlink.0"/>
        </w:rPr>
        <w:fldChar w:fldCharType="begin" w:fldLock="0"/>
      </w:r>
      <w:r>
        <w:rPr>
          <w:rStyle w:val="Hyperlink.0"/>
        </w:rPr>
        <w:instrText xml:space="preserve"> HYPERLINK \l "refpennington2023" </w:instrText>
      </w:r>
      <w:r>
        <w:rPr>
          <w:rStyle w:val="Hyperlink.0"/>
        </w:rPr>
        <w:fldChar w:fldCharType="separate" w:fldLock="0"/>
      </w:r>
      <w:r>
        <w:rPr>
          <w:rStyle w:val="Hyperlink.0"/>
          <w:rtl w:val="0"/>
        </w:rPr>
        <w:t>111</w:t>
      </w:r>
      <w:r>
        <w:rPr/>
        <w:fldChar w:fldCharType="end" w:fldLock="0"/>
      </w:r>
      <w:r>
        <w:rPr>
          <w:rStyle w:val="Section Number"/>
          <w:rtl w:val="0"/>
          <w:lang w:val="en-US"/>
        </w:rPr>
        <w:t>) found AI in revenue cycle management accelerated payment cycles from 90 days to 40 days, while Atobatele et al. (</w:t>
      </w:r>
      <w:r>
        <w:rPr>
          <w:rStyle w:val="Hyperlink.0"/>
        </w:rPr>
        <w:fldChar w:fldCharType="begin" w:fldLock="0"/>
      </w:r>
      <w:r>
        <w:rPr>
          <w:rStyle w:val="Hyperlink.0"/>
        </w:rPr>
        <w:instrText xml:space="preserve"> HYPERLINK \l "refatobatele2023" </w:instrText>
      </w:r>
      <w:r>
        <w:rPr>
          <w:rStyle w:val="Hyperlink.0"/>
        </w:rPr>
        <w:fldChar w:fldCharType="separate" w:fldLock="0"/>
      </w:r>
      <w:r>
        <w:rPr>
          <w:rStyle w:val="Hyperlink.0"/>
          <w:rtl w:val="0"/>
        </w:rPr>
        <w:t>112</w:t>
      </w:r>
      <w:r>
        <w:rPr/>
        <w:fldChar w:fldCharType="end" w:fldLock="0"/>
      </w:r>
      <w:r>
        <w:rPr>
          <w:rStyle w:val="Section Number"/>
          <w:rtl w:val="0"/>
          <w:lang w:val="en-US"/>
        </w:rPr>
        <w:t xml:space="preserve">) documented how low-code platforms enable non-technical staff to build applications, leading to efficiency gains. These findings collectively demonstrate that technical enablement technologies produce measurable organizational benefits not just by automating tasks, but by fundamentally changing </w:t>
      </w:r>
      <w:r>
        <w:rPr>
          <w:rFonts w:ascii="Aptos" w:cs="Aptos" w:hAnsi="Aptos" w:eastAsia="Aptos"/>
          <w:i w:val="1"/>
          <w:iCs w:val="1"/>
          <w:rtl w:val="0"/>
          <w:lang w:val="en-US"/>
        </w:rPr>
        <w:t>who</w:t>
      </w:r>
      <w:r>
        <w:rPr>
          <w:rStyle w:val="Section Number"/>
          <w:rtl w:val="0"/>
          <w:lang w:val="en-US"/>
        </w:rPr>
        <w:t xml:space="preserve"> can perform them.</w:t>
      </w:r>
      <w:bookmarkEnd w:id="83"/>
    </w:p>
    <w:p>
      <w:pPr>
        <w:pStyle w:val="Heading 2"/>
      </w:pPr>
      <w:bookmarkStart w:name="_Toc42" w:id="84"/>
      <w:bookmarkStart w:name="strategicalignmentwithindustrytrends" w:id="85"/>
      <w:r>
        <w:rPr>
          <w:rStyle w:val="Section Number"/>
          <w:rtl w:val="0"/>
          <w:lang w:val="en-US"/>
        </w:rPr>
        <w:t>4.5</w:t>
        <w:tab/>
        <w:t>Strategic Alignment with Industry Trends</w:t>
      </w:r>
      <w:bookmarkEnd w:id="85"/>
      <w:bookmarkEnd w:id="84"/>
    </w:p>
    <w:p>
      <w:pPr>
        <w:pStyle w:val="Heading 3"/>
      </w:pPr>
      <w:bookmarkStart w:name="_Toc43" w:id="86"/>
      <w:bookmarkStart w:name="Xed9e06a95ff250a8a942f2f7f5df51995868660" w:id="87"/>
      <w:r>
        <w:rPr>
          <w:rStyle w:val="Section Number"/>
          <w:rtl w:val="0"/>
          <w:lang w:val="en-US"/>
        </w:rPr>
        <w:t>4.5.1</w:t>
        <w:tab/>
        <w:t>Pillar 1 Alignment: Analytics Maturity Trajectories</w:t>
      </w:r>
      <w:bookmarkEnd w:id="86"/>
    </w:p>
    <w:p>
      <w:pPr>
        <w:pStyle w:val="First Paragraph"/>
      </w:pPr>
      <w:r>
        <w:rPr>
          <w:rStyle w:val="Section Number"/>
          <w:rtl w:val="0"/>
          <w:lang w:val="en-US"/>
        </w:rPr>
        <w:t>Applied to recent industry literature, the three-pillar framework highlights how barrier-reducing technologies track with broader healthcare analytics trajectories. The revised HIMSS AMAM model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rPr>
        <w:t>2</w:t>
      </w:r>
      <w:r>
        <w:rPr/>
        <w:fldChar w:fldCharType="end" w:fldLock="0"/>
      </w:r>
      <w:r>
        <w:rPr>
          <w:rStyle w:val="Section Number"/>
          <w:rtl w:val="0"/>
          <w:lang w:val="en-US"/>
        </w:rPr>
        <w:t>) emphasizes AI readiness and governance frameworks, and conversational interfaces for analytics can be understood as one illustrative application of these themes: they aim to democratize access to data while preserving organizational controls, rather than constituting a prescriptive pathway to maturity advancement.</w:t>
      </w:r>
      <w:bookmarkEnd w:id="87"/>
    </w:p>
    <w:p>
      <w:pPr>
        <w:pStyle w:val="Heading 3"/>
      </w:pPr>
      <w:bookmarkStart w:name="_Toc44" w:id="88"/>
      <w:bookmarkStart w:name="X99f987e24eaa93de818bf9cf3b7acafb42e2b6f" w:id="89"/>
      <w:r>
        <w:rPr>
          <w:rStyle w:val="Section Number"/>
          <w:rtl w:val="0"/>
          <w:lang w:val="en-US"/>
        </w:rPr>
        <w:t>4.5.2</w:t>
        <w:tab/>
        <w:t>Pillar 2 Alignment: Workforce Knowledge Risks</w:t>
      </w:r>
      <w:bookmarkEnd w:id="88"/>
    </w:p>
    <w:p>
      <w:pPr>
        <w:pStyle w:val="First Paragraph"/>
      </w:pPr>
      <w:r>
        <w:rPr>
          <w:rStyle w:val="Section Number"/>
          <w:rtl w:val="0"/>
          <w:lang w:val="en-US"/>
        </w:rPr>
        <w:t>The literature emphasizes that institutional memory loss represents an existential risk to healthcare analytics programs, particularly when critical analytical practices remain tacit and concentrated in a small number of experts. Within our three-pillar framework, this risk appears as a compounding mechanism: workforce turnover erodes tacit expertise, low analytics maturity limits organizations</w:t>
      </w:r>
      <w:r>
        <w:rPr>
          <w:rStyle w:val="Section Number"/>
          <w:rtl w:val="0"/>
          <w:lang w:val="en-US"/>
        </w:rPr>
        <w:t xml:space="preserve">’ </w:t>
      </w:r>
      <w:r>
        <w:rPr>
          <w:rStyle w:val="Section Number"/>
          <w:rtl w:val="0"/>
          <w:lang w:val="en-US"/>
        </w:rPr>
        <w:t>ability to encode that expertise, and technical barriers constrain efforts to make encoded knowledge broadly accessible. Effective knowledge preservation therefore requires mechanisms that transform tacit analytical knowledge into encoded, shareable, and routinely accessible artifacts. This requirement aligns with Nonaka</w:t>
      </w:r>
      <w:r>
        <w:rPr>
          <w:rStyle w:val="Section Number"/>
          <w:rtl w:val="0"/>
          <w:lang w:val="en-US"/>
        </w:rPr>
        <w:t>’</w:t>
      </w:r>
      <w:r>
        <w:rPr>
          <w:rStyle w:val="Section Number"/>
          <w:rtl w:val="0"/>
          <w:lang w:val="en-US"/>
        </w:rPr>
        <w:t>s SECI model (Socialization, Externalization, Combination, Internalization), which describes organizational knowledge creation as a continuous dialogue between tacit and explicit knowledge (</w:t>
      </w:r>
      <w:r>
        <w:rPr>
          <w:rStyle w:val="Hyperlink.0"/>
        </w:rPr>
        <w:fldChar w:fldCharType="begin" w:fldLock="0"/>
      </w:r>
      <w:r>
        <w:rPr>
          <w:rStyle w:val="Hyperlink.0"/>
        </w:rPr>
        <w:instrText xml:space="preserve"> HYPERLINK \l "reffarnese2019" </w:instrText>
      </w:r>
      <w:r>
        <w:rPr>
          <w:rStyle w:val="Hyperlink.0"/>
        </w:rPr>
        <w:fldChar w:fldCharType="separate" w:fldLock="0"/>
      </w:r>
      <w:r>
        <w:rPr>
          <w:rStyle w:val="Hyperlink.0"/>
          <w:rtl w:val="0"/>
        </w:rPr>
        <w:t>35</w:t>
      </w:r>
      <w:r>
        <w:rPr/>
        <w:fldChar w:fldCharType="end" w:fldLock="0"/>
      </w:r>
      <w:r>
        <w:rPr>
          <w:rStyle w:val="Section Number"/>
          <w:rtl w:val="0"/>
          <w:lang w:val="en-US"/>
        </w:rPr>
        <w:t>). Recent research demonstrates that AI tools, including conversational interfaces, can enhance all four SECI stages, particularly facilitating the externalization process where tacit analytical knowledge becomes explicit, queryable forms (</w:t>
      </w:r>
      <w:r>
        <w:rPr>
          <w:rStyle w:val="Hyperlink.0"/>
        </w:rPr>
        <w:fldChar w:fldCharType="begin" w:fldLock="0"/>
      </w:r>
      <w:r>
        <w:rPr>
          <w:rStyle w:val="Hyperlink.0"/>
        </w:rPr>
        <w:instrText xml:space="preserve"> HYPERLINK \l "refzhang2025" </w:instrText>
      </w:r>
      <w:r>
        <w:rPr>
          <w:rStyle w:val="Hyperlink.0"/>
        </w:rPr>
        <w:fldChar w:fldCharType="separate" w:fldLock="0"/>
      </w:r>
      <w:r>
        <w:rPr>
          <w:rStyle w:val="Hyperlink.0"/>
          <w:rtl w:val="0"/>
        </w:rPr>
        <w:t>38</w:t>
      </w:r>
      <w:r>
        <w:rPr/>
        <w:fldChar w:fldCharType="end" w:fldLock="0"/>
      </w:r>
      <w:r>
        <w:rPr>
          <w:rStyle w:val="Section Number"/>
          <w:rtl w:val="0"/>
          <w:lang w:val="en-US"/>
        </w:rPr>
        <w:t>). This theoretical foundation supports embedding organizational knowledge in systems rather than individuals, ensuring continuity despite workforce turnover.</w:t>
      </w:r>
      <w:bookmarkEnd w:id="89"/>
    </w:p>
    <w:p>
      <w:pPr>
        <w:pStyle w:val="Heading 3"/>
      </w:pPr>
      <w:bookmarkStart w:name="_Toc45" w:id="90"/>
      <w:bookmarkStart w:name="Xb0817a2c588c42abef9f74a676361fa3cb036bc" w:id="91"/>
      <w:r>
        <w:rPr>
          <w:rStyle w:val="Section Number"/>
          <w:rtl w:val="0"/>
          <w:lang w:val="en-US"/>
        </w:rPr>
        <w:t>4.5.3</w:t>
        <w:tab/>
        <w:t>Pillar 3 Alignment: Technical Enablement ROI</w:t>
      </w:r>
      <w:bookmarkEnd w:id="90"/>
    </w:p>
    <w:p>
      <w:pPr>
        <w:pStyle w:val="First Paragraph"/>
      </w:pPr>
      <w:r>
        <w:rPr>
          <w:rStyle w:val="Section Number"/>
          <w:rtl w:val="0"/>
          <w:lang w:val="en-US"/>
        </w:rPr>
        <w:t>Academic research documents multiple pathways to ROI for barrier-reducing technologies in healthcare analytics. Conversational AI implementations show direct benefits in analytical efficiency: Dadi et al. (</w:t>
      </w:r>
      <w:r>
        <w:rPr>
          <w:rStyle w:val="Hyperlink.0"/>
        </w:rPr>
        <w:fldChar w:fldCharType="begin" w:fldLock="0"/>
      </w:r>
      <w:r>
        <w:rPr>
          <w:rStyle w:val="Hyperlink.0"/>
        </w:rPr>
        <w:instrText xml:space="preserve"> HYPERLINK \l "refdadi2025" </w:instrText>
      </w:r>
      <w:r>
        <w:rPr>
          <w:rStyle w:val="Hyperlink.0"/>
        </w:rPr>
        <w:fldChar w:fldCharType="separate" w:fldLock="0"/>
      </w:r>
      <w:r>
        <w:rPr>
          <w:rStyle w:val="Hyperlink.0"/>
          <w:rtl w:val="0"/>
        </w:rPr>
        <w:t>91</w:t>
      </w:r>
      <w:r>
        <w:rPr/>
        <w:fldChar w:fldCharType="end" w:fldLock="0"/>
      </w:r>
      <w:r>
        <w:rPr>
          <w:rStyle w:val="Section Number"/>
          <w:rtl w:val="0"/>
          <w:lang w:val="en-US"/>
        </w:rPr>
        <w:t>) report a 63% increase in self-service analytics adoption among non-technical staff and a 37% reduction in data retrieval time. Jiao et al. (</w:t>
      </w:r>
      <w:r>
        <w:rPr>
          <w:rStyle w:val="Hyperlink.0"/>
        </w:rPr>
        <w:fldChar w:fldCharType="begin" w:fldLock="0"/>
      </w:r>
      <w:r>
        <w:rPr>
          <w:rStyle w:val="Hyperlink.0"/>
        </w:rPr>
        <w:instrText xml:space="preserve"> HYPERLINK \l "refjiao2023" </w:instrText>
      </w:r>
      <w:r>
        <w:rPr>
          <w:rStyle w:val="Hyperlink.0"/>
        </w:rPr>
        <w:fldChar w:fldCharType="separate" w:fldLock="0"/>
      </w:r>
      <w:r>
        <w:rPr>
          <w:rStyle w:val="Hyperlink.0"/>
          <w:rtl w:val="0"/>
        </w:rPr>
        <w:t>113</w:t>
      </w:r>
      <w:r>
        <w:rPr/>
        <w:fldChar w:fldCharType="end" w:fldLock="0"/>
      </w:r>
      <w:r>
        <w:rPr>
          <w:rStyle w:val="Section Number"/>
          <w:rtl w:val="0"/>
          <w:lang w:val="en-US"/>
        </w:rPr>
        <w:t>) further established the economic value of AI in healthcare, identifying measurable cost reductions across administrative and clinical workflows. Precision medicine platforms have demonstrated 92.5% accuracy in parsing complex biomedical queries, executing tasks significantly faster than standard web portals (</w:t>
      </w:r>
      <w:r>
        <w:rPr>
          <w:rStyle w:val="Hyperlink.0"/>
        </w:rPr>
        <w:fldChar w:fldCharType="begin" w:fldLock="0"/>
      </w:r>
      <w:r>
        <w:rPr>
          <w:rStyle w:val="Hyperlink.0"/>
        </w:rPr>
        <w:instrText xml:space="preserve"> HYPERLINK \l "refyang2025" </w:instrText>
      </w:r>
      <w:r>
        <w:rPr>
          <w:rStyle w:val="Hyperlink.0"/>
        </w:rPr>
        <w:fldChar w:fldCharType="separate" w:fldLock="0"/>
      </w:r>
      <w:r>
        <w:rPr>
          <w:rStyle w:val="Hyperlink.0"/>
          <w:rtl w:val="0"/>
        </w:rPr>
        <w:t>108</w:t>
      </w:r>
      <w:r>
        <w:rPr/>
        <w:fldChar w:fldCharType="end" w:fldLock="0"/>
      </w:r>
      <w:r>
        <w:rPr>
          <w:rStyle w:val="Section Number"/>
          <w:rtl w:val="0"/>
          <w:lang w:val="en-US"/>
        </w:rPr>
        <w:t>). Furthermore, multimodal interfaces can accelerate database query formulation by 2.7x to 6.7x compared to traditional typing, reducing the cost of insight generation (</w:t>
      </w:r>
      <w:r>
        <w:rPr>
          <w:rStyle w:val="Hyperlink.0"/>
        </w:rPr>
        <w:fldChar w:fldCharType="begin" w:fldLock="0"/>
      </w:r>
      <w:r>
        <w:rPr>
          <w:rStyle w:val="Hyperlink.0"/>
        </w:rPr>
        <w:instrText xml:space="preserve"> HYPERLINK \l "refshah2020" </w:instrText>
      </w:r>
      <w:r>
        <w:rPr>
          <w:rStyle w:val="Hyperlink.0"/>
        </w:rPr>
        <w:fldChar w:fldCharType="separate" w:fldLock="0"/>
      </w:r>
      <w:r>
        <w:rPr>
          <w:rStyle w:val="Hyperlink.0"/>
          <w:rtl w:val="0"/>
        </w:rPr>
        <w:t>94</w:t>
      </w:r>
      <w:r>
        <w:rPr/>
        <w:fldChar w:fldCharType="end" w:fldLock="0"/>
      </w:r>
      <w:r>
        <w:rPr>
          <w:rStyle w:val="Section Number"/>
          <w:rtl w:val="0"/>
          <w:lang w:val="en-US"/>
        </w:rPr>
        <w:t>). Pennington (</w:t>
      </w:r>
      <w:r>
        <w:rPr>
          <w:rStyle w:val="Hyperlink.0"/>
        </w:rPr>
        <w:fldChar w:fldCharType="begin" w:fldLock="0"/>
      </w:r>
      <w:r>
        <w:rPr>
          <w:rStyle w:val="Hyperlink.0"/>
        </w:rPr>
        <w:instrText xml:space="preserve"> HYPERLINK \l "refpennington2023" </w:instrText>
      </w:r>
      <w:r>
        <w:rPr>
          <w:rStyle w:val="Hyperlink.0"/>
        </w:rPr>
        <w:fldChar w:fldCharType="separate" w:fldLock="0"/>
      </w:r>
      <w:r>
        <w:rPr>
          <w:rStyle w:val="Hyperlink.0"/>
          <w:rtl w:val="0"/>
        </w:rPr>
        <w:t>111</w:t>
      </w:r>
      <w:r>
        <w:rPr/>
        <w:fldChar w:fldCharType="end" w:fldLock="0"/>
      </w:r>
      <w:r>
        <w:rPr>
          <w:rStyle w:val="Section Number"/>
          <w:rtl w:val="0"/>
          <w:lang w:val="en-US"/>
        </w:rPr>
        <w:t>) documented that AI in revenue cycle management accelerated payment cycles from 90 to 40 days, improving cash flow through administrative analytics.</w:t>
      </w:r>
    </w:p>
    <w:p>
      <w:pPr>
        <w:pStyle w:val="Body Text"/>
      </w:pPr>
      <w:r>
        <w:rPr>
          <w:rStyle w:val="Section Number"/>
          <w:rtl w:val="0"/>
          <w:lang w:val="en-US"/>
        </w:rPr>
        <w:t>Low-code platform ROI provides analogous evidence for the value of technical barrier reduction. Industry-sponsored research from Forrester (</w:t>
      </w:r>
      <w:r>
        <w:rPr>
          <w:rStyle w:val="Hyperlink.0"/>
        </w:rPr>
        <w:fldChar w:fldCharType="begin" w:fldLock="0"/>
      </w:r>
      <w:r>
        <w:rPr>
          <w:rStyle w:val="Hyperlink.0"/>
        </w:rPr>
        <w:instrText xml:space="preserve"> HYPERLINK \l "refforrester2024" </w:instrText>
      </w:r>
      <w:r>
        <w:rPr>
          <w:rStyle w:val="Hyperlink.0"/>
        </w:rPr>
        <w:fldChar w:fldCharType="separate" w:fldLock="0"/>
      </w:r>
      <w:r>
        <w:rPr>
          <w:rStyle w:val="Hyperlink.0"/>
          <w:rtl w:val="0"/>
        </w:rPr>
        <w:t>25</w:t>
      </w:r>
      <w:r>
        <w:rPr/>
        <w:fldChar w:fldCharType="end" w:fldLock="0"/>
      </w:r>
      <w:r>
        <w:rPr>
          <w:rStyle w:val="Section Number"/>
          <w:rtl w:val="0"/>
          <w:lang w:val="en-US"/>
        </w:rPr>
        <w:t>) projects 206% three-year ROI from Power Platform implementations. Peer-reviewed studies corroborate these findings: a systematic review identified cost and time reduction as the most frequently discussed benefits across 17 studies (</w:t>
      </w:r>
      <w:r>
        <w:rPr>
          <w:rStyle w:val="Hyperlink.0"/>
        </w:rPr>
        <w:fldChar w:fldCharType="begin" w:fldLock="0"/>
      </w:r>
      <w:r>
        <w:rPr>
          <w:rStyle w:val="Hyperlink.0"/>
        </w:rPr>
        <w:instrText xml:space="preserve"> HYPERLINK \l "refelkamouchi2023" </w:instrText>
      </w:r>
      <w:r>
        <w:rPr>
          <w:rStyle w:val="Hyperlink.0"/>
        </w:rPr>
        <w:fldChar w:fldCharType="separate" w:fldLock="0"/>
      </w:r>
      <w:r>
        <w:rPr>
          <w:rStyle w:val="Hyperlink.0"/>
          <w:rtl w:val="0"/>
        </w:rPr>
        <w:t>114</w:t>
      </w:r>
      <w:r>
        <w:rPr/>
        <w:fldChar w:fldCharType="end" w:fldLock="0"/>
      </w:r>
      <w:r>
        <w:rPr>
          <w:rStyle w:val="Section Number"/>
          <w:rtl w:val="0"/>
          <w:lang w:val="en-US"/>
        </w:rPr>
        <w:t>), healthcare institutions report 177% ROI over 36 months with 67% faster development (</w:t>
      </w:r>
      <w:r>
        <w:rPr>
          <w:rStyle w:val="Hyperlink.0"/>
        </w:rPr>
        <w:fldChar w:fldCharType="begin" w:fldLock="0"/>
      </w:r>
      <w:r>
        <w:rPr>
          <w:rStyle w:val="Hyperlink.0"/>
        </w:rPr>
        <w:instrText xml:space="preserve"> HYPERLINK \l "refmogili2025" </w:instrText>
      </w:r>
      <w:r>
        <w:rPr>
          <w:rStyle w:val="Hyperlink.0"/>
        </w:rPr>
        <w:fldChar w:fldCharType="separate" w:fldLock="0"/>
      </w:r>
      <w:r>
        <w:rPr>
          <w:rStyle w:val="Hyperlink.0"/>
          <w:rtl w:val="0"/>
        </w:rPr>
        <w:t>109</w:t>
      </w:r>
      <w:r>
        <w:rPr/>
        <w:fldChar w:fldCharType="end" w:fldLock="0"/>
      </w:r>
      <w:r>
        <w:rPr>
          <w:rStyle w:val="Section Number"/>
          <w:rtl w:val="0"/>
          <w:lang w:val="en-US"/>
        </w:rPr>
        <w:t>), and small healthcare clinics document 250% cumulative three-year ROI (</w:t>
      </w:r>
      <w:r>
        <w:rPr>
          <w:rStyle w:val="Hyperlink.0"/>
        </w:rPr>
        <w:fldChar w:fldCharType="begin" w:fldLock="0"/>
      </w:r>
      <w:r>
        <w:rPr>
          <w:rStyle w:val="Hyperlink.0"/>
        </w:rPr>
        <w:instrText xml:space="preserve"> HYPERLINK \l "refpervaiz2025" </w:instrText>
      </w:r>
      <w:r>
        <w:rPr>
          <w:rStyle w:val="Hyperlink.0"/>
        </w:rPr>
        <w:fldChar w:fldCharType="separate" w:fldLock="0"/>
      </w:r>
      <w:r>
        <w:rPr>
          <w:rStyle w:val="Hyperlink.0"/>
          <w:rtl w:val="0"/>
        </w:rPr>
        <w:t>115</w:t>
      </w:r>
      <w:r>
        <w:rPr/>
        <w:fldChar w:fldCharType="end" w:fldLock="0"/>
      </w:r>
      <w:r>
        <w:rPr>
          <w:rStyle w:val="Section Number"/>
          <w:rtl w:val="0"/>
          <w:lang w:val="en-US"/>
        </w:rPr>
        <w:t>). While low-code and conversational AI differ in implementation approach, both generate returns through the same mechanism: enabling domain experts to accomplish tasks previously requiring specialized technical staff. Market research supports continued investment in accessible analytics: Precedence Research (</w:t>
      </w:r>
      <w:r>
        <w:rPr>
          <w:rStyle w:val="Hyperlink.0"/>
        </w:rPr>
        <w:fldChar w:fldCharType="begin" w:fldLock="0"/>
      </w:r>
      <w:r>
        <w:rPr>
          <w:rStyle w:val="Hyperlink.0"/>
        </w:rPr>
        <w:instrText xml:space="preserve"> HYPERLINK \l "refprecedence2024" </w:instrText>
      </w:r>
      <w:r>
        <w:rPr>
          <w:rStyle w:val="Hyperlink.0"/>
        </w:rPr>
        <w:fldChar w:fldCharType="separate" w:fldLock="0"/>
      </w:r>
      <w:r>
        <w:rPr>
          <w:rStyle w:val="Hyperlink.0"/>
          <w:rtl w:val="0"/>
        </w:rPr>
        <w:t>27</w:t>
      </w:r>
      <w:r>
        <w:rPr/>
        <w:fldChar w:fldCharType="end" w:fldLock="0"/>
      </w:r>
      <w:r>
        <w:rPr>
          <w:rStyle w:val="Section Number"/>
          <w:rtl w:val="0"/>
          <w:lang w:val="en-US"/>
        </w:rPr>
        <w:t>) projects the healthcare analytics market to grow from $64.49 billion in 2025 to $369.66 billion by 2034 (21.41% CAGR).</w:t>
      </w:r>
      <w:bookmarkEnd w:id="91"/>
    </w:p>
    <w:p>
      <w:pPr>
        <w:pStyle w:val="Heading 2"/>
      </w:pPr>
      <w:bookmarkStart w:name="_Toc46" w:id="92"/>
      <w:bookmarkStart w:name="gapsincurrentliterature" w:id="93"/>
      <w:r>
        <w:rPr>
          <w:rStyle w:val="Section Number"/>
          <w:rtl w:val="0"/>
          <w:lang w:val="en-US"/>
        </w:rPr>
        <w:t>4.6</w:t>
        <w:tab/>
        <w:t>Gaps in Current Literature</w:t>
      </w:r>
      <w:bookmarkEnd w:id="92"/>
    </w:p>
    <w:p>
      <w:pPr>
        <w:pStyle w:val="First Paragraph"/>
      </w:pPr>
      <w:r>
        <w:rPr>
          <w:rStyle w:val="Section Number"/>
          <w:rtl w:val="0"/>
          <w:lang w:val="en-US"/>
        </w:rPr>
        <w:t>Despite substantial evidence supporting conversational AI in healthcare analytics, several research gaps persist:</w:t>
      </w:r>
    </w:p>
    <w:p>
      <w:pPr>
        <w:pStyle w:val="Compact"/>
        <w:numPr>
          <w:ilvl w:val="0"/>
          <w:numId w:val="12"/>
        </w:numPr>
        <w:rPr>
          <w:lang w:val="en-US"/>
        </w:rPr>
      </w:pPr>
      <w:r>
        <w:rPr>
          <w:rFonts w:ascii="Aptos" w:cs="Aptos" w:hAnsi="Aptos" w:eastAsia="Aptos"/>
          <w:i w:val="1"/>
          <w:iCs w:val="1"/>
          <w:rtl w:val="0"/>
          <w:lang w:val="en-US"/>
        </w:rPr>
        <w:t>Long-term outcomes</w:t>
      </w:r>
      <w:r>
        <w:rPr>
          <w:rStyle w:val="Section Number"/>
          <w:rtl w:val="0"/>
          <w:lang w:val="en-US"/>
        </w:rPr>
        <w:t>: Most studies examine 6-24 month implementations (</w:t>
      </w:r>
      <w:r>
        <w:rPr>
          <w:rStyle w:val="Hyperlink.0"/>
        </w:rPr>
        <w:fldChar w:fldCharType="begin" w:fldLock="0"/>
      </w:r>
      <w:r>
        <w:rPr>
          <w:rStyle w:val="Hyperlink.0"/>
        </w:rPr>
        <w:instrText xml:space="preserve"> HYPERLINK \l "refdadi2025" </w:instrText>
      </w:r>
      <w:r>
        <w:rPr>
          <w:rStyle w:val="Hyperlink.0"/>
        </w:rPr>
        <w:fldChar w:fldCharType="separate" w:fldLock="0"/>
      </w:r>
      <w:r>
        <w:rPr>
          <w:rStyle w:val="Hyperlink.0"/>
          <w:rtl w:val="0"/>
          <w:lang w:val="en-US"/>
        </w:rPr>
        <w:t>91</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"refpennington2023" </w:instrText>
      </w:r>
      <w:r>
        <w:rPr>
          <w:rStyle w:val="Hyperlink.0"/>
        </w:rPr>
        <w:fldChar w:fldCharType="separate" w:fldLock="0"/>
      </w:r>
      <w:r>
        <w:rPr>
          <w:rStyle w:val="Hyperlink.0"/>
          <w:rtl w:val="0"/>
          <w:lang w:val="en-US"/>
        </w:rPr>
        <w:t>111</w:t>
      </w:r>
      <w:r>
        <w:rPr/>
        <w:fldChar w:fldCharType="end" w:fldLock="0"/>
      </w:r>
      <w:r>
        <w:rPr>
          <w:rStyle w:val="Section Number"/>
          <w:rtl w:val="0"/>
          <w:lang w:val="en-US"/>
        </w:rPr>
        <w:t>); multi-year impacts remain understudied</w:t>
      </w:r>
    </w:p>
    <w:p>
      <w:pPr>
        <w:pStyle w:val="Compact"/>
        <w:numPr>
          <w:ilvl w:val="0"/>
          <w:numId w:val="2"/>
        </w:numPr>
        <w:rPr>
          <w:lang w:val="en-US"/>
        </w:rPr>
      </w:pPr>
      <w:r>
        <w:rPr>
          <w:rFonts w:ascii="Aptos" w:cs="Aptos" w:hAnsi="Aptos" w:eastAsia="Aptos"/>
          <w:i w:val="1"/>
          <w:iCs w:val="1"/>
          <w:rtl w:val="0"/>
          <w:lang w:val="en-US"/>
        </w:rPr>
        <w:t>Scalability across specialties</w:t>
      </w:r>
      <w:r>
        <w:rPr>
          <w:rStyle w:val="Section Number"/>
          <w:rtl w:val="0"/>
          <w:lang w:val="en-US"/>
        </w:rPr>
        <w:t>: Evidence primarily focuses on general acute care (</w:t>
      </w:r>
      <w:r>
        <w:rPr>
          <w:rStyle w:val="Hyperlink.0"/>
        </w:rPr>
        <w:fldChar w:fldCharType="begin" w:fldLock="0"/>
      </w:r>
      <w:r>
        <w:rPr>
          <w:rStyle w:val="Hyperlink.0"/>
        </w:rPr>
        <w:instrText xml:space="preserve"> HYPERLINK \l "refwang2020" </w:instrText>
      </w:r>
      <w:r>
        <w:rPr>
          <w:rStyle w:val="Hyperlink.0"/>
        </w:rPr>
        <w:fldChar w:fldCharType="separate" w:fldLock="0"/>
      </w:r>
      <w:r>
        <w:rPr>
          <w:rStyle w:val="Hyperlink.0"/>
          <w:rtl w:val="0"/>
          <w:lang w:val="en-US"/>
        </w:rPr>
        <w:t>80</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"reflee2023" </w:instrText>
      </w:r>
      <w:r>
        <w:rPr>
          <w:rStyle w:val="Hyperlink.0"/>
        </w:rPr>
        <w:fldChar w:fldCharType="separate" w:fldLock="0"/>
      </w:r>
      <w:r>
        <w:rPr>
          <w:rStyle w:val="Hyperlink.0"/>
          <w:rtl w:val="0"/>
          <w:lang w:val="en-US"/>
        </w:rPr>
        <w:t>87</w:t>
      </w:r>
      <w:r>
        <w:rPr/>
        <w:fldChar w:fldCharType="end" w:fldLock="0"/>
      </w:r>
      <w:r>
        <w:rPr>
          <w:rStyle w:val="Section Number"/>
          <w:rtl w:val="0"/>
          <w:lang w:val="en-US"/>
        </w:rPr>
        <w:t>); specialty-specific applications need investigation</w:t>
      </w:r>
    </w:p>
    <w:p>
      <w:pPr>
        <w:pStyle w:val="Compact"/>
        <w:numPr>
          <w:ilvl w:val="0"/>
          <w:numId w:val="2"/>
        </w:numPr>
        <w:rPr>
          <w:lang w:val="en-US"/>
        </w:rPr>
      </w:pPr>
      <w:r>
        <w:rPr>
          <w:rFonts w:ascii="Aptos" w:cs="Aptos" w:hAnsi="Aptos" w:eastAsia="Aptos"/>
          <w:i w:val="1"/>
          <w:iCs w:val="1"/>
          <w:rtl w:val="0"/>
          <w:lang w:val="en-US"/>
        </w:rPr>
        <w:t>Governance frameworks</w:t>
      </w:r>
      <w:r>
        <w:rPr>
          <w:rStyle w:val="Section Number"/>
          <w:rtl w:val="0"/>
          <w:lang w:val="en-US"/>
        </w:rPr>
        <w:t>: Limited research on optimal governance models for democratized analytics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lang w:val="en-US"/>
        </w:rPr>
        <w:t>2</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"refsnowdon2024b" </w:instrText>
      </w:r>
      <w:r>
        <w:rPr>
          <w:rStyle w:val="Hyperlink.0"/>
        </w:rPr>
        <w:fldChar w:fldCharType="separate" w:fldLock="0"/>
      </w:r>
      <w:r>
        <w:rPr>
          <w:rStyle w:val="Hyperlink.0"/>
          <w:rtl w:val="0"/>
          <w:lang w:val="en-US"/>
        </w:rPr>
        <w:t>22</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Training methodologies</w:t>
      </w:r>
      <w:r>
        <w:rPr>
          <w:rStyle w:val="Section Number"/>
          <w:rtl w:val="0"/>
          <w:lang w:val="en-US"/>
        </w:rPr>
        <w:t>: Best practices for transitioning from traditional (</w:t>
      </w:r>
      <w:r>
        <w:rPr>
          <w:rStyle w:val="Hyperlink.0"/>
        </w:rPr>
        <w:fldChar w:fldCharType="begin" w:fldLock="0"/>
      </w:r>
      <w:r>
        <w:rPr>
          <w:rStyle w:val="Hyperlink.0"/>
        </w:rPr>
        <w:instrText xml:space="preserve"> HYPERLINK \l "refmusa2023" </w:instrText>
      </w:r>
      <w:r>
        <w:rPr>
          <w:rStyle w:val="Hyperlink.0"/>
        </w:rPr>
        <w:fldChar w:fldCharType="separate" w:fldLock="0"/>
      </w:r>
      <w:r>
        <w:rPr>
          <w:rStyle w:val="Hyperlink.0"/>
          <w:rtl w:val="0"/>
          <w:lang w:val="en-US"/>
        </w:rPr>
        <w:t>76</w:t>
      </w:r>
      <w:r>
        <w:rPr/>
        <w:fldChar w:fldCharType="end" w:fldLock="0"/>
      </w:r>
      <w:r>
        <w:rPr>
          <w:rStyle w:val="Section Number"/>
          <w:rtl w:val="0"/>
          <w:lang w:val="en-US"/>
        </w:rPr>
        <w:t>) to conversational analytics lack empirical validation</w:t>
      </w:r>
    </w:p>
    <w:p>
      <w:pPr>
        <w:pStyle w:val="Compact"/>
        <w:numPr>
          <w:ilvl w:val="0"/>
          <w:numId w:val="2"/>
        </w:numPr>
        <w:rPr>
          <w:lang w:val="en-US"/>
        </w:rPr>
      </w:pPr>
      <w:r>
        <w:rPr>
          <w:rFonts w:ascii="Aptos" w:cs="Aptos" w:hAnsi="Aptos" w:eastAsia="Aptos"/>
          <w:i w:val="1"/>
          <w:iCs w:val="1"/>
          <w:rtl w:val="0"/>
          <w:lang w:val="en-US"/>
        </w:rPr>
        <w:t>Integration patterns</w:t>
      </w:r>
      <w:r>
        <w:rPr>
          <w:rStyle w:val="Section Number"/>
          <w:rtl w:val="0"/>
          <w:lang w:val="en-US"/>
        </w:rPr>
        <w:t>: Architectural guidance for incorporating conversational AI into existing healthcare IT ecosystems remains sparse (</w:t>
      </w:r>
      <w:r>
        <w:rPr>
          <w:rStyle w:val="Hyperlink.0"/>
        </w:rPr>
        <w:fldChar w:fldCharType="begin" w:fldLock="0"/>
      </w:r>
      <w:r>
        <w:rPr>
          <w:rStyle w:val="Hyperlink.0"/>
        </w:rPr>
        <w:instrText xml:space="preserve"> HYPERLINK \l "refpark2024" </w:instrText>
      </w:r>
      <w:r>
        <w:rPr>
          <w:rStyle w:val="Hyperlink.0"/>
        </w:rPr>
        <w:fldChar w:fldCharType="separate" w:fldLock="0"/>
      </w:r>
      <w:r>
        <w:rPr>
          <w:rStyle w:val="Hyperlink.0"/>
          <w:rtl w:val="0"/>
          <w:lang w:val="en-US"/>
        </w:rPr>
        <w:t>92</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"refyang2025" </w:instrText>
      </w:r>
      <w:r>
        <w:rPr>
          <w:rStyle w:val="Hyperlink.0"/>
        </w:rPr>
        <w:fldChar w:fldCharType="separate" w:fldLock="0"/>
      </w:r>
      <w:r>
        <w:rPr>
          <w:rStyle w:val="Hyperlink.0"/>
          <w:rtl w:val="0"/>
          <w:lang w:val="en-US"/>
        </w:rPr>
        <w:t>108</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Long-term productivity tracking</w:t>
      </w:r>
      <w:r>
        <w:rPr>
          <w:rStyle w:val="Section Number"/>
          <w:rtl w:val="0"/>
          <w:lang w:val="en-US"/>
        </w:rPr>
        <w:t>: While peer-reviewed studies now document immediate productivity gains (63% self-service adoption increase, 37% data retrieval time reduction, 10-30% query completion time improvement (</w:t>
      </w:r>
      <w:r>
        <w:rPr>
          <w:rStyle w:val="Hyperlink.0"/>
        </w:rPr>
        <w:fldChar w:fldCharType="begin" w:fldLock="0"/>
      </w:r>
      <w:r>
        <w:rPr>
          <w:rStyle w:val="Hyperlink.0"/>
        </w:rPr>
        <w:instrText xml:space="preserve"> HYPERLINK \l "refyuan2019" </w:instrText>
      </w:r>
      <w:r>
        <w:rPr>
          <w:rStyle w:val="Hyperlink.0"/>
        </w:rPr>
        <w:fldChar w:fldCharType="separate" w:fldLock="0"/>
      </w:r>
      <w:r>
        <w:rPr>
          <w:rStyle w:val="Hyperlink.0"/>
          <w:rtl w:val="0"/>
          <w:lang w:val="en-US"/>
        </w:rPr>
        <w:t>81</w:t>
      </w:r>
      <w:r>
        <w:rPr/>
        <w:fldChar w:fldCharType="end" w:fldLock="0"/>
      </w:r>
      <w:r>
        <w:rPr>
          <w:rStyle w:val="Section Number"/>
          <w:rtl w:val="0"/>
          <w:lang w:val="en-US"/>
        </w:rPr>
        <w:t>), (</w:t>
      </w:r>
      <w:r>
        <w:rPr>
          <w:rStyle w:val="Hyperlink.0"/>
        </w:rPr>
        <w:fldChar w:fldCharType="begin" w:fldLock="0"/>
      </w:r>
      <w:r>
        <w:rPr>
          <w:rStyle w:val="Hyperlink.0"/>
        </w:rPr>
        <w:instrText xml:space="preserve"> HYPERLINK \l "refdadi2025" </w:instrText>
      </w:r>
      <w:r>
        <w:rPr>
          <w:rStyle w:val="Hyperlink.0"/>
        </w:rPr>
        <w:fldChar w:fldCharType="separate" w:fldLock="0"/>
      </w:r>
      <w:r>
        <w:rPr>
          <w:rStyle w:val="Hyperlink.0"/>
          <w:rtl w:val="0"/>
          <w:lang w:val="en-US"/>
        </w:rPr>
        <w:t>91</w:t>
      </w:r>
      <w:r>
        <w:rPr/>
        <w:fldChar w:fldCharType="end" w:fldLock="0"/>
      </w:r>
      <w:r>
        <w:rPr>
          <w:rStyle w:val="Section Number"/>
          <w:rtl w:val="0"/>
          <w:lang w:val="en-US"/>
        </w:rPr>
        <w:t>), (</w:t>
      </w:r>
      <w:r>
        <w:rPr>
          <w:rStyle w:val="Hyperlink.0"/>
        </w:rPr>
        <w:fldChar w:fldCharType="begin" w:fldLock="0"/>
      </w:r>
      <w:r>
        <w:rPr>
          <w:rStyle w:val="Hyperlink.0"/>
        </w:rPr>
        <w:instrText xml:space="preserve"> HYPERLINK \l "refshah2020" </w:instrText>
      </w:r>
      <w:r>
        <w:rPr>
          <w:rStyle w:val="Hyperlink.0"/>
        </w:rPr>
        <w:fldChar w:fldCharType="separate" w:fldLock="0"/>
      </w:r>
      <w:r>
        <w:rPr>
          <w:rStyle w:val="Hyperlink.0"/>
          <w:rtl w:val="0"/>
          <w:lang w:val="en-US"/>
        </w:rPr>
        <w:t>94</w:t>
      </w:r>
      <w:r>
        <w:rPr/>
        <w:fldChar w:fldCharType="end" w:fldLock="0"/>
      </w:r>
      <w:r>
        <w:rPr>
          <w:rStyle w:val="Section Number"/>
          <w:rtl w:val="0"/>
          <w:lang w:val="en-US"/>
        </w:rPr>
        <w:t>), (</w:t>
      </w:r>
      <w:r>
        <w:rPr>
          <w:rStyle w:val="Hyperlink.0"/>
        </w:rPr>
        <w:fldChar w:fldCharType="begin" w:fldLock="0"/>
      </w:r>
      <w:r>
        <w:rPr>
          <w:rStyle w:val="Hyperlink.0"/>
        </w:rPr>
        <w:instrText xml:space="preserve"> HYPERLINK \l "refipeirotis2025" </w:instrText>
      </w:r>
      <w:r>
        <w:rPr>
          <w:rStyle w:val="Hyperlink.0"/>
        </w:rPr>
        <w:fldChar w:fldCharType="separate" w:fldLock="0"/>
      </w:r>
      <w:r>
        <w:rPr>
          <w:rStyle w:val="Hyperlink.0"/>
          <w:rtl w:val="0"/>
          <w:lang w:val="en-US"/>
        </w:rPr>
        <w:t>93</w:t>
      </w:r>
      <w:r>
        <w:rPr/>
        <w:fldChar w:fldCharType="end" w:fldLock="0"/>
      </w:r>
      <w:r>
        <w:rPr>
          <w:rStyle w:val="Section Number"/>
          <w:rtl w:val="0"/>
          <w:lang w:val="en-US"/>
        </w:rPr>
        <w:t>)), longitudinal studies tracking sustained productivity improvements over multiple years remain limited</w:t>
      </w:r>
    </w:p>
    <w:p>
      <w:pPr>
        <w:pStyle w:val="Compact"/>
        <w:numPr>
          <w:ilvl w:val="0"/>
          <w:numId w:val="2"/>
        </w:numPr>
        <w:rPr>
          <w:lang w:val="en-US"/>
        </w:rPr>
      </w:pPr>
      <w:r>
        <w:rPr>
          <w:rFonts w:ascii="Aptos" w:cs="Aptos" w:hAnsi="Aptos" w:eastAsia="Aptos"/>
          <w:i w:val="1"/>
          <w:iCs w:val="1"/>
          <w:rtl w:val="0"/>
          <w:lang w:val="en-US"/>
        </w:rPr>
        <w:t>Citizen developer productivity methodology</w:t>
      </w:r>
      <w:r>
        <w:rPr>
          <w:rStyle w:val="Section Number"/>
          <w:rtl w:val="0"/>
          <w:lang w:val="en-US"/>
        </w:rPr>
        <w:t>: No validated healthcare-specific instrument exists for measuring citizen developer productivity. While Berkshire NHS reports over 1,600 citizen developers (</w:t>
      </w:r>
      <w:r>
        <w:rPr>
          <w:rStyle w:val="Hyperlink.0"/>
        </w:rPr>
        <w:fldChar w:fldCharType="begin" w:fldLock="0"/>
      </w:r>
      <w:r>
        <w:rPr>
          <w:rStyle w:val="Hyperlink.0"/>
        </w:rPr>
        <w:instrText xml:space="preserve"> HYPERLINK \l "refberkshire2024" </w:instrText>
      </w:r>
      <w:r>
        <w:rPr>
          <w:rStyle w:val="Hyperlink.0"/>
        </w:rPr>
        <w:fldChar w:fldCharType="separate" w:fldLock="0"/>
      </w:r>
      <w:r>
        <w:rPr>
          <w:rStyle w:val="Hyperlink.0"/>
          <w:rtl w:val="0"/>
          <w:lang w:val="en-US"/>
        </w:rPr>
        <w:t>24</w:t>
      </w:r>
      <w:r>
        <w:rPr/>
        <w:fldChar w:fldCharType="end" w:fldLock="0"/>
      </w:r>
      <w:r>
        <w:rPr>
          <w:rStyle w:val="Section Number"/>
          <w:rtl w:val="0"/>
          <w:lang w:val="en-US"/>
        </w:rPr>
        <w:t>), the methodology for quantifying their productivity contributions lacks standardization across studies</w:t>
      </w:r>
    </w:p>
    <w:p>
      <w:pPr>
        <w:pStyle w:val="Compact"/>
        <w:numPr>
          <w:ilvl w:val="0"/>
          <w:numId w:val="2"/>
        </w:numPr>
        <w:rPr>
          <w:lang w:val="en-US"/>
        </w:rPr>
      </w:pPr>
      <w:r>
        <w:rPr>
          <w:rFonts w:ascii="Aptos" w:cs="Aptos" w:hAnsi="Aptos" w:eastAsia="Aptos"/>
          <w:i w:val="1"/>
          <w:iCs w:val="1"/>
          <w:rtl w:val="0"/>
          <w:lang w:val="en-US"/>
        </w:rPr>
        <w:t>AMAM-specific outcome evidence</w:t>
      </w:r>
      <w:r>
        <w:rPr>
          <w:rStyle w:val="Section Number"/>
          <w:rtl w:val="0"/>
          <w:lang w:val="en-US"/>
        </w:rPr>
        <w:t>: The HIMSS Analytics Maturity Assessment Model (AMAM) was released in October 2024; existing outcome studies linking maturity stages to patient outcomes use the older EMRAM (EHR adoption) model (</w:t>
      </w:r>
      <w:r>
        <w:rPr>
          <w:rStyle w:val="Hyperlink.0"/>
        </w:rPr>
        <w:fldChar w:fldCharType="begin" w:fldLock="0"/>
      </w:r>
      <w:r>
        <w:rPr>
          <w:rStyle w:val="Hyperlink.0"/>
        </w:rPr>
        <w:instrText xml:space="preserve"> HYPERLINK \l "refsnowdon2024" </w:instrText>
      </w:r>
      <w:r>
        <w:rPr>
          <w:rStyle w:val="Hyperlink.0"/>
        </w:rPr>
        <w:fldChar w:fldCharType="separate" w:fldLock="0"/>
      </w:r>
      <w:r>
        <w:rPr>
          <w:rStyle w:val="Hyperlink.0"/>
          <w:rtl w:val="0"/>
          <w:lang w:val="en-US"/>
        </w:rPr>
        <w:t>45</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"refsnowdon2024a" </w:instrText>
      </w:r>
      <w:r>
        <w:rPr>
          <w:rStyle w:val="Hyperlink.0"/>
        </w:rPr>
        <w:fldChar w:fldCharType="separate" w:fldLock="0"/>
      </w:r>
      <w:r>
        <w:rPr>
          <w:rStyle w:val="Hyperlink.0"/>
          <w:rtl w:val="0"/>
          <w:lang w:val="en-US"/>
        </w:rPr>
        <w:t>116</w:t>
      </w:r>
      <w:r>
        <w:rPr/>
        <w:fldChar w:fldCharType="end" w:fldLock="0"/>
      </w:r>
      <w:r>
        <w:rPr>
          <w:rStyle w:val="Section Number"/>
          <w:rtl w:val="0"/>
          <w:lang w:val="en-US"/>
        </w:rPr>
        <w:t>). As of this review, AMAM-specific outcome studies remain very limited, providing only emerging evidence for analytics maturity (as distinct from EHR adoption) impact on outcomes</w:t>
      </w:r>
      <w:bookmarkEnd w:id="93"/>
    </w:p>
    <w:p>
      <w:pPr>
        <w:pStyle w:val="Heading 2"/>
      </w:pPr>
      <w:bookmarkStart w:name="_Toc47" w:id="94"/>
      <w:bookmarkStart w:name="whytheproblempersists" w:id="95"/>
      <w:r>
        <w:rPr>
          <w:rStyle w:val="Section Number"/>
          <w:rtl w:val="0"/>
          <w:lang w:val="en-US"/>
        </w:rPr>
        <w:t>4.7</w:t>
        <w:tab/>
        <w:t>Why the Problem Persists</w:t>
      </w:r>
      <w:bookmarkEnd w:id="94"/>
    </w:p>
    <w:p>
      <w:pPr>
        <w:pStyle w:val="First Paragraph"/>
      </w:pPr>
      <w:r>
        <w:rPr>
          <w:rStyle w:val="Section Number"/>
          <w:rtl w:val="0"/>
          <w:lang w:val="en-US"/>
        </w:rPr>
        <w:t>Despite clear evidence of healthcare</w:t>
      </w:r>
      <w:r>
        <w:rPr>
          <w:rStyle w:val="Section Number"/>
          <w:rtl w:val="0"/>
          <w:lang w:val="en-US"/>
        </w:rPr>
        <w:t>’</w:t>
      </w:r>
      <w:r>
        <w:rPr>
          <w:rStyle w:val="Section Number"/>
          <w:rtl w:val="0"/>
          <w:lang w:val="en-US"/>
        </w:rPr>
        <w:t>s analytics challenges and available technology, the problem remains unsolved. Analysis of market dynamics reveals three structural barriers:</w:t>
      </w:r>
      <w:bookmarkEnd w:id="95"/>
    </w:p>
    <w:p>
      <w:pPr>
        <w:pStyle w:val="Heading 3"/>
      </w:pPr>
      <w:bookmarkStart w:name="_Toc48" w:id="96"/>
      <w:bookmarkStart w:name="failedstandardizationapproaches" w:id="97"/>
      <w:r>
        <w:rPr>
          <w:rStyle w:val="Section Number"/>
          <w:rtl w:val="0"/>
          <w:lang w:val="en-US"/>
        </w:rPr>
        <w:t>4.7.1</w:t>
        <w:tab/>
        <w:t>Failed Standardization Approaches</w:t>
      </w:r>
      <w:bookmarkEnd w:id="96"/>
    </w:p>
    <w:p>
      <w:pPr>
        <w:pStyle w:val="First Paragraph"/>
      </w:pPr>
      <w:r>
        <w:rPr>
          <w:rStyle w:val="Section Number"/>
          <w:rtl w:val="0"/>
          <w:lang w:val="en-US"/>
        </w:rPr>
        <w:t>Large-scale efforts to standardize healthcare data and analytics have consistently encountered fundamental barriers. Academic research identifies a persistent tension between achieving short-term institutional solutions and pursuing long-term global interoperability, with standardization complexity arising from diverse community interests and technical issues (</w:t>
      </w:r>
      <w:r>
        <w:rPr>
          <w:rStyle w:val="Hyperlink.0"/>
        </w:rPr>
        <w:fldChar w:fldCharType="begin" w:fldLock="0"/>
      </w:r>
      <w:r>
        <w:rPr>
          <w:rStyle w:val="Hyperlink.0"/>
        </w:rPr>
        <w:instrText xml:space="preserve"> HYPERLINK \l "refrichesson2007" </w:instrText>
      </w:r>
      <w:r>
        <w:rPr>
          <w:rStyle w:val="Hyperlink.0"/>
        </w:rPr>
        <w:fldChar w:fldCharType="separate" w:fldLock="0"/>
      </w:r>
      <w:r>
        <w:rPr>
          <w:rStyle w:val="Hyperlink.0"/>
          <w:rtl w:val="0"/>
        </w:rPr>
        <w:t>117</w:t>
      </w:r>
      <w:r>
        <w:rPr/>
        <w:fldChar w:fldCharType="end" w:fldLock="0"/>
      </w:r>
      <w:r>
        <w:rPr>
          <w:rStyle w:val="Section Number"/>
          <w:rtl w:val="0"/>
          <w:lang w:val="en-US"/>
        </w:rPr>
        <w:t xml:space="preserve">). Data standardization faces three primary technological obstacles: metadata uncertainties, data transfer challenges, and missing data, compounded by legacy data collection methods that have created a </w:t>
      </w:r>
      <w:r>
        <w:rPr>
          <w:rStyle w:val="Section Number"/>
          <w:rtl w:val="0"/>
          <w:lang w:val="en-US"/>
        </w:rPr>
        <w:t>“</w:t>
      </w:r>
      <w:r>
        <w:rPr>
          <w:rStyle w:val="Section Number"/>
          <w:rtl w:val="0"/>
          <w:lang w:val="en-US"/>
        </w:rPr>
        <w:t>patchwork</w:t>
      </w:r>
      <w:r>
        <w:rPr>
          <w:rStyle w:val="Section Number"/>
          <w:rtl w:val="0"/>
          <w:lang w:val="en-US"/>
        </w:rPr>
        <w:t xml:space="preserve">” </w:t>
      </w:r>
      <w:r>
        <w:rPr>
          <w:rStyle w:val="Section Number"/>
          <w:rtl w:val="0"/>
          <w:lang w:val="en-US"/>
        </w:rPr>
        <w:t>of inconsistent organizational practices (</w:t>
      </w:r>
      <w:r>
        <w:rPr>
          <w:rStyle w:val="Hyperlink.0"/>
        </w:rPr>
        <w:fldChar w:fldCharType="begin" w:fldLock="0"/>
      </w:r>
      <w:r>
        <w:rPr>
          <w:rStyle w:val="Hyperlink.0"/>
        </w:rPr>
        <w:instrText xml:space="preserve"> HYPERLINK \l "refgal2019" </w:instrText>
      </w:r>
      <w:r>
        <w:rPr>
          <w:rStyle w:val="Hyperlink.0"/>
        </w:rPr>
        <w:fldChar w:fldCharType="separate" w:fldLock="0"/>
      </w:r>
      <w:r>
        <w:rPr>
          <w:rStyle w:val="Hyperlink.0"/>
          <w:rtl w:val="0"/>
        </w:rPr>
        <w:t>8</w:t>
      </w:r>
      <w:r>
        <w:rPr/>
        <w:fldChar w:fldCharType="end" w:fldLock="0"/>
      </w:r>
      <w:r>
        <w:rPr>
          <w:rStyle w:val="Section Number"/>
          <w:rtl w:val="0"/>
          <w:lang w:val="en-US"/>
        </w:rPr>
        <w:t>).</w:t>
      </w:r>
    </w:p>
    <w:p>
      <w:pPr>
        <w:pStyle w:val="Body Text"/>
      </w:pPr>
      <w:r>
        <w:rPr>
          <w:rStyle w:val="Section Number"/>
          <w:rtl w:val="0"/>
          <w:lang w:val="en-US"/>
        </w:rPr>
        <w:t>These challenges manifest in clinical practice through workflow variability. Even within the same institution, clinical workflows vary significantly, and transitions to standardized systems often cause profound disruptions to existing processes (</w:t>
      </w:r>
      <w:r>
        <w:rPr>
          <w:rStyle w:val="Hyperlink.0"/>
        </w:rPr>
        <w:fldChar w:fldCharType="begin" w:fldLock="0"/>
      </w:r>
      <w:r>
        <w:rPr>
          <w:rStyle w:val="Hyperlink.0"/>
        </w:rPr>
        <w:instrText xml:space="preserve"> HYPERLINK \l "refzheng2020" </w:instrText>
      </w:r>
      <w:r>
        <w:rPr>
          <w:rStyle w:val="Hyperlink.0"/>
        </w:rPr>
        <w:fldChar w:fldCharType="separate" w:fldLock="0"/>
      </w:r>
      <w:r>
        <w:rPr>
          <w:rStyle w:val="Hyperlink.0"/>
          <w:rtl w:val="0"/>
        </w:rPr>
        <w:t>118</w:t>
      </w:r>
      <w:r>
        <w:rPr/>
        <w:fldChar w:fldCharType="end" w:fldLock="0"/>
      </w:r>
      <w:r>
        <w:rPr>
          <w:rStyle w:val="Section Number"/>
          <w:rtl w:val="0"/>
          <w:lang w:val="en-US"/>
        </w:rPr>
        <w:t>). At the institutional level, data fragmentation across different organizations creates barriers to linkage, access, and care continuity, while governance issues including unclear responsibilities and weak collaboration compound the problem (</w:t>
      </w:r>
      <w:r>
        <w:rPr>
          <w:rStyle w:val="Hyperlink.0"/>
        </w:rPr>
        <w:fldChar w:fldCharType="begin" w:fldLock="0"/>
      </w:r>
      <w:r>
        <w:rPr>
          <w:rStyle w:val="Hyperlink.0"/>
        </w:rPr>
        <w:instrText xml:space="preserve"> HYPERLINK \l "refbogaert2021" </w:instrText>
      </w:r>
      <w:r>
        <w:rPr>
          <w:rStyle w:val="Hyperlink.0"/>
        </w:rPr>
        <w:fldChar w:fldCharType="separate" w:fldLock="0"/>
      </w:r>
      <w:r>
        <w:rPr>
          <w:rStyle w:val="Hyperlink.0"/>
          <w:rtl w:val="0"/>
        </w:rPr>
        <w:t>119</w:t>
      </w:r>
      <w:r>
        <w:rPr/>
        <w:fldChar w:fldCharType="end" w:fldLock="0"/>
      </w:r>
      <w:r>
        <w:rPr>
          <w:rStyle w:val="Section Number"/>
          <w:rtl w:val="0"/>
          <w:lang w:val="en-US"/>
        </w:rPr>
        <w:t>).</w:t>
      </w:r>
    </w:p>
    <w:p>
      <w:pPr>
        <w:pStyle w:val="Body Text"/>
      </w:pPr>
      <w:r>
        <w:rPr>
          <w:rStyle w:val="Section Number"/>
          <w:rtl w:val="0"/>
          <w:lang w:val="en-US"/>
        </w:rPr>
        <w:t>High-profile industry events illustrate these documented challenges. IBM divested its Watson Health data and analytics assets to Francisco Partners in 2022 (</w:t>
      </w:r>
      <w:r>
        <w:rPr>
          <w:rStyle w:val="Hyperlink.0"/>
        </w:rPr>
        <w:fldChar w:fldCharType="begin" w:fldLock="0"/>
      </w:r>
      <w:r>
        <w:rPr>
          <w:rStyle w:val="Hyperlink.0"/>
        </w:rPr>
        <w:instrText xml:space="preserve"> HYPERLINK \l "refibm2022" </w:instrText>
      </w:r>
      <w:r>
        <w:rPr>
          <w:rStyle w:val="Hyperlink.0"/>
        </w:rPr>
        <w:fldChar w:fldCharType="separate" w:fldLock="0"/>
      </w:r>
      <w:r>
        <w:rPr>
          <w:rStyle w:val="Hyperlink.0"/>
          <w:rtl w:val="0"/>
        </w:rPr>
        <w:t>28</w:t>
      </w:r>
      <w:r>
        <w:rPr/>
        <w:fldChar w:fldCharType="end" w:fldLock="0"/>
      </w:r>
      <w:r>
        <w:rPr>
          <w:rStyle w:val="Section Number"/>
          <w:rtl w:val="0"/>
          <w:lang w:val="en-US"/>
        </w:rPr>
        <w:t xml:space="preserve">), following years of underperformance attributed to a fundamental mismatch between AI capabilities and clinical reality: the technology encountered the </w:t>
      </w:r>
      <w:r>
        <w:rPr>
          <w:rStyle w:val="Section Number"/>
          <w:rtl w:val="0"/>
          <w:lang w:val="en-US"/>
        </w:rPr>
        <w:t>“</w:t>
      </w:r>
      <w:r>
        <w:rPr>
          <w:rStyle w:val="Section Number"/>
          <w:rtl w:val="0"/>
          <w:lang w:val="en-US"/>
        </w:rPr>
        <w:t>messy reality</w:t>
      </w:r>
      <w:r>
        <w:rPr>
          <w:rStyle w:val="Section Number"/>
          <w:rtl w:val="0"/>
          <w:lang w:val="en-US"/>
        </w:rPr>
        <w:t xml:space="preserve">” </w:t>
      </w:r>
      <w:r>
        <w:rPr>
          <w:rStyle w:val="Section Number"/>
          <w:rtl w:val="0"/>
          <w:lang w:val="en-US"/>
        </w:rPr>
        <w:t>of healthcare data environments where centralized models failed to account for the highly variable, institution-specific business logic embedded in clinical workflows (</w:t>
      </w:r>
      <w:r>
        <w:rPr>
          <w:rStyle w:val="Hyperlink.0"/>
        </w:rPr>
        <w:fldChar w:fldCharType="begin" w:fldLock="0"/>
      </w:r>
      <w:r>
        <w:rPr>
          <w:rStyle w:val="Hyperlink.0"/>
        </w:rPr>
        <w:instrText xml:space="preserve"> HYPERLINK \l "refstrickland2019" </w:instrText>
      </w:r>
      <w:r>
        <w:rPr>
          <w:rStyle w:val="Hyperlink.0"/>
        </w:rPr>
        <w:fldChar w:fldCharType="separate" w:fldLock="0"/>
      </w:r>
      <w:r>
        <w:rPr>
          <w:rStyle w:val="Hyperlink.0"/>
          <w:rtl w:val="0"/>
        </w:rPr>
        <w:t>120</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"refyang2020" </w:instrText>
      </w:r>
      <w:r>
        <w:rPr>
          <w:rStyle w:val="Hyperlink.0"/>
        </w:rPr>
        <w:fldChar w:fldCharType="separate" w:fldLock="0"/>
      </w:r>
      <w:r>
        <w:rPr>
          <w:rStyle w:val="Hyperlink.0"/>
          <w:rtl w:val="0"/>
        </w:rPr>
        <w:t>121</w:t>
      </w:r>
      <w:r>
        <w:rPr/>
        <w:fldChar w:fldCharType="end" w:fldLock="0"/>
      </w:r>
      <w:r>
        <w:rPr>
          <w:rStyle w:val="Section Number"/>
          <w:rtl w:val="0"/>
          <w:lang w:val="en-US"/>
        </w:rPr>
        <w:t>). Academic analysis identified additional contributing factors including suboptimal business performance (only breaking even), a restrictive top-down commercialization strategy that limited market reach, and the highly-regulated nature of healthcare creating barriers to AI deployment (</w:t>
      </w:r>
      <w:r>
        <w:rPr>
          <w:rStyle w:val="Hyperlink.0"/>
        </w:rPr>
        <w:fldChar w:fldCharType="begin" w:fldLock="0"/>
      </w:r>
      <w:r>
        <w:rPr>
          <w:rStyle w:val="Hyperlink.0"/>
        </w:rPr>
        <w:instrText xml:space="preserve"> HYPERLINK \l "refyang2020" </w:instrText>
      </w:r>
      <w:r>
        <w:rPr>
          <w:rStyle w:val="Hyperlink.0"/>
        </w:rPr>
        <w:fldChar w:fldCharType="separate" w:fldLock="0"/>
      </w:r>
      <w:r>
        <w:rPr>
          <w:rStyle w:val="Hyperlink.0"/>
          <w:rtl w:val="0"/>
        </w:rPr>
        <w:t>121</w:t>
      </w:r>
      <w:r>
        <w:rPr/>
        <w:fldChar w:fldCharType="end" w:fldLock="0"/>
      </w:r>
      <w:r>
        <w:rPr>
          <w:rStyle w:val="Section Number"/>
          <w:rtl w:val="0"/>
          <w:lang w:val="en-US"/>
        </w:rPr>
        <w:t>). The Haven healthcare venture (backed by Amazon, Berkshire Hathaway, and JPMorgan Chase) disbanded in 2021 after three years (</w:t>
      </w:r>
      <w:r>
        <w:rPr>
          <w:rStyle w:val="Hyperlink.0"/>
        </w:rPr>
        <w:fldChar w:fldCharType="begin" w:fldLock="0"/>
      </w:r>
      <w:r>
        <w:rPr>
          <w:rStyle w:val="Hyperlink.0"/>
        </w:rPr>
        <w:instrText xml:space="preserve"> HYPERLINK \l "reflavito2021" </w:instrText>
      </w:r>
      <w:r>
        <w:rPr>
          <w:rStyle w:val="Hyperlink.0"/>
        </w:rPr>
        <w:fldChar w:fldCharType="separate" w:fldLock="0"/>
      </w:r>
      <w:r>
        <w:rPr>
          <w:rStyle w:val="Hyperlink.0"/>
          <w:rtl w:val="0"/>
        </w:rPr>
        <w:t>29</w:t>
      </w:r>
      <w:r>
        <w:rPr/>
        <w:fldChar w:fldCharType="end" w:fldLock="0"/>
      </w:r>
      <w:r>
        <w:rPr>
          <w:rStyle w:val="Section Number"/>
          <w:rtl w:val="0"/>
          <w:lang w:val="en-US"/>
        </w:rPr>
        <w:t>), with academic analysis identifying multiple contributing factors: even the three founding companies could not effectively share health-care cost data with each other, the venture never employed more than 75 people (limiting its ability to effect industry-wide change), and leadership turnover destabilized organizational continuity (</w:t>
      </w:r>
      <w:r>
        <w:rPr>
          <w:rStyle w:val="Hyperlink.0"/>
        </w:rPr>
        <w:fldChar w:fldCharType="begin" w:fldLock="0"/>
      </w:r>
      <w:r>
        <w:rPr>
          <w:rStyle w:val="Hyperlink.0"/>
        </w:rPr>
        <w:instrText xml:space="preserve"> HYPERLINK \l "refacchiardo2021" </w:instrText>
      </w:r>
      <w:r>
        <w:rPr>
          <w:rStyle w:val="Hyperlink.0"/>
        </w:rPr>
        <w:fldChar w:fldCharType="separate" w:fldLock="0"/>
      </w:r>
      <w:r>
        <w:rPr>
          <w:rStyle w:val="Hyperlink.0"/>
          <w:rtl w:val="0"/>
        </w:rPr>
        <w:t>122</w:t>
      </w:r>
      <w:r>
        <w:rPr/>
        <w:fldChar w:fldCharType="end" w:fldLock="0"/>
      </w:r>
      <w:r>
        <w:rPr>
          <w:rStyle w:val="Section Number"/>
          <w:rtl w:val="0"/>
          <w:lang w:val="en-US"/>
        </w:rPr>
        <w:t>). Research on Big Tech platform entry into healthcare positions both Watson Health and Haven within a broader pattern of technology companies encountering regulatory complexity and institutional resistance when attempting to standardize fragmented healthcare systems (</w:t>
      </w:r>
      <w:r>
        <w:rPr>
          <w:rStyle w:val="Hyperlink.0"/>
        </w:rPr>
        <w:fldChar w:fldCharType="begin" w:fldLock="0"/>
      </w:r>
      <w:r>
        <w:rPr>
          <w:rStyle w:val="Hyperlink.0"/>
        </w:rPr>
        <w:instrText xml:space="preserve"> HYPERLINK \l "refozalp2022" </w:instrText>
      </w:r>
      <w:r>
        <w:rPr>
          <w:rStyle w:val="Hyperlink.0"/>
        </w:rPr>
        <w:fldChar w:fldCharType="separate" w:fldLock="0"/>
      </w:r>
      <w:r>
        <w:rPr>
          <w:rStyle w:val="Hyperlink.0"/>
          <w:rtl w:val="0"/>
        </w:rPr>
        <w:t>123</w:t>
      </w:r>
      <w:r>
        <w:rPr/>
        <w:fldChar w:fldCharType="end" w:fldLock="0"/>
      </w:r>
      <w:r>
        <w:rPr>
          <w:rStyle w:val="Section Number"/>
          <w:rtl w:val="0"/>
          <w:lang w:val="en-US"/>
        </w:rPr>
        <w:t>). These outcomes align with the academic literature</w:t>
      </w:r>
      <w:r>
        <w:rPr>
          <w:rStyle w:val="Section Number"/>
          <w:rtl w:val="0"/>
          <w:lang w:val="en-US"/>
        </w:rPr>
        <w:t>’</w:t>
      </w:r>
      <w:r>
        <w:rPr>
          <w:rStyle w:val="Section Number"/>
          <w:rtl w:val="0"/>
          <w:lang w:val="en-US"/>
        </w:rPr>
        <w:t>s findings: standardized solutions face significant barriers when applied across institutions with unique data definitions, business rules, and clinical workflows.</w:t>
      </w:r>
    </w:p>
    <w:p>
      <w:pPr>
        <w:pStyle w:val="Body Text"/>
      </w:pPr>
      <w:r>
        <w:rPr>
          <w:rStyle w:val="Section Number"/>
          <w:rtl w:val="0"/>
          <w:lang w:val="en-US"/>
        </w:rPr>
        <w:t>These observations represent documented market events; however, establishing causal mechanisms between organizational strategies and interoperability outcomes requires controlled empirical research beyond this review</w:t>
      </w:r>
      <w:r>
        <w:rPr>
          <w:rStyle w:val="Section Number"/>
          <w:rtl w:val="0"/>
          <w:lang w:val="en-US"/>
        </w:rPr>
        <w:t>’</w:t>
      </w:r>
      <w:r>
        <w:rPr>
          <w:rStyle w:val="Section Number"/>
          <w:rtl w:val="0"/>
          <w:lang w:val="en-US"/>
        </w:rPr>
        <w:t>s scope. The patterns noted here warrant further investigation through rigorous organizational studies.</w:t>
      </w:r>
      <w:bookmarkEnd w:id="97"/>
    </w:p>
    <w:p>
      <w:pPr>
        <w:pStyle w:val="Heading 3"/>
      </w:pPr>
      <w:bookmarkStart w:name="_Toc49" w:id="98"/>
      <w:bookmarkStart w:name="deploymentconstraintmismatch" w:id="99"/>
      <w:r>
        <w:rPr>
          <w:rStyle w:val="Section Number"/>
          <w:rtl w:val="0"/>
          <w:lang w:val="en-US"/>
        </w:rPr>
        <w:t>4.7.2</w:t>
        <w:tab/>
        <w:t>Deployment Constraint Mismatch</w:t>
      </w:r>
      <w:bookmarkEnd w:id="98"/>
    </w:p>
    <w:p>
      <w:pPr>
        <w:pStyle w:val="First Paragraph"/>
      </w:pPr>
      <w:r>
        <w:rPr>
          <w:rStyle w:val="Section Number"/>
          <w:rtl w:val="0"/>
          <w:lang w:val="en-US"/>
        </w:rPr>
        <w:t>Healthcare organizations increasingly require solutions functional in secure, network-isolated environments due to regulatory requirements and data governance policies (</w:t>
      </w:r>
      <w:r>
        <w:rPr>
          <w:rStyle w:val="Hyperlink.0"/>
        </w:rPr>
        <w:fldChar w:fldCharType="begin" w:fldLock="0"/>
      </w:r>
      <w:r>
        <w:rPr>
          <w:rStyle w:val="Hyperlink.0"/>
        </w:rPr>
        <w:instrText xml:space="preserve"> HYPERLINK \l "refnashid2023" </w:instrText>
      </w:r>
      <w:r>
        <w:rPr>
          <w:rStyle w:val="Hyperlink.0"/>
        </w:rPr>
        <w:fldChar w:fldCharType="separate" w:fldLock="0"/>
      </w:r>
      <w:r>
        <w:rPr>
          <w:rStyle w:val="Hyperlink.0"/>
          <w:rtl w:val="0"/>
        </w:rPr>
        <w:t>15</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"refbogaert2021" </w:instrText>
      </w:r>
      <w:r>
        <w:rPr>
          <w:rStyle w:val="Hyperlink.0"/>
        </w:rPr>
        <w:fldChar w:fldCharType="separate" w:fldLock="0"/>
      </w:r>
      <w:r>
        <w:rPr>
          <w:rStyle w:val="Hyperlink.0"/>
          <w:rtl w:val="0"/>
        </w:rPr>
        <w:t>119</w:t>
      </w:r>
      <w:r>
        <w:rPr/>
        <w:fldChar w:fldCharType="end" w:fldLock="0"/>
      </w:r>
      <w:r>
        <w:rPr>
          <w:rStyle w:val="Section Number"/>
          <w:rtl w:val="0"/>
          <w:lang w:val="en-US"/>
        </w:rPr>
        <w:t>). General-purpose cloud AI services cannot meet these deployment constraints while simultaneously lacking the institution-specific context necessary for accurate analytics. The fundamental requirement that institutional knowledge must be captured, preserved, and accessed within each organization</w:t>
      </w:r>
      <w:r>
        <w:rPr>
          <w:rStyle w:val="Section Number"/>
          <w:rtl w:val="0"/>
          <w:lang w:val="en-US"/>
        </w:rPr>
        <w:t>’</w:t>
      </w:r>
      <w:r>
        <w:rPr>
          <w:rStyle w:val="Section Number"/>
          <w:rtl w:val="0"/>
          <w:lang w:val="en-US"/>
        </w:rPr>
        <w:t>s specific environment cannot be addressed by standardized cloud offerings (</w:t>
      </w:r>
      <w:r>
        <w:rPr>
          <w:rStyle w:val="Hyperlink.0"/>
        </w:rPr>
        <w:fldChar w:fldCharType="begin" w:fldLock="0"/>
      </w:r>
      <w:r>
        <w:rPr>
          <w:rStyle w:val="Hyperlink.0"/>
        </w:rPr>
        <w:instrText xml:space="preserve"> HYPERLINK \l "refyang2020" </w:instrText>
      </w:r>
      <w:r>
        <w:rPr>
          <w:rStyle w:val="Hyperlink.0"/>
        </w:rPr>
        <w:fldChar w:fldCharType="separate" w:fldLock="0"/>
      </w:r>
      <w:r>
        <w:rPr>
          <w:rStyle w:val="Hyperlink.0"/>
          <w:rtl w:val="0"/>
        </w:rPr>
        <w:t>121</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"refozalp2022" </w:instrText>
      </w:r>
      <w:r>
        <w:rPr>
          <w:rStyle w:val="Hyperlink.0"/>
        </w:rPr>
        <w:fldChar w:fldCharType="separate" w:fldLock="0"/>
      </w:r>
      <w:r>
        <w:rPr>
          <w:rStyle w:val="Hyperlink.0"/>
          <w:rtl w:val="0"/>
        </w:rPr>
        <w:t>123</w:t>
      </w:r>
      <w:r>
        <w:rPr/>
        <w:fldChar w:fldCharType="end" w:fldLock="0"/>
      </w:r>
      <w:r>
        <w:rPr>
          <w:rStyle w:val="Section Number"/>
          <w:rtl w:val="0"/>
          <w:lang w:val="en-US"/>
        </w:rPr>
        <w:t>).</w:t>
      </w:r>
    </w:p>
    <w:p>
      <w:pPr>
        <w:pStyle w:val="Body Text"/>
      </w:pPr>
      <w:r>
        <w:rPr>
          <w:rStyle w:val="Section Number"/>
          <w:rtl w:val="0"/>
          <w:lang w:val="en-US"/>
        </w:rPr>
        <w:t>These dynamics explain why, despite technological capability, the healthcare analytics maturity gap persists. Solutions must be designed for institution-specific deployment rather than cross-organizational standardization.</w:t>
      </w:r>
      <w:bookmarkEnd w:id="99"/>
    </w:p>
    <w:p>
      <w:pPr>
        <w:pStyle w:val="Heading"/>
      </w:pPr>
      <w:bookmarkStart w:name="_Toc50" w:id="100"/>
      <w:bookmarkStart w:name="discussion" w:id="101"/>
      <w:r>
        <w:rPr>
          <w:rStyle w:val="Section Number"/>
          <w:rtl w:val="0"/>
          <w:lang w:val="en-US"/>
        </w:rPr>
        <w:t>5</w:t>
        <w:tab/>
        <w:t>Discussion</w:t>
      </w:r>
      <w:bookmarkEnd w:id="101"/>
      <w:bookmarkEnd w:id="100"/>
    </w:p>
    <w:p>
      <w:pPr>
        <w:pStyle w:val="Heading 2"/>
      </w:pPr>
      <w:bookmarkStart w:name="_Toc51" w:id="102"/>
      <w:bookmarkStart w:name="strengthsoftheevidencebase" w:id="103"/>
      <w:r>
        <w:rPr>
          <w:rStyle w:val="Section Number"/>
          <w:rtl w:val="0"/>
          <w:lang w:val="en-US"/>
        </w:rPr>
        <w:t>5.1</w:t>
        <w:tab/>
        <w:t>Strengths of the Evidence Base</w:t>
      </w:r>
      <w:bookmarkEnd w:id="102"/>
    </w:p>
    <w:p>
      <w:pPr>
        <w:pStyle w:val="First Paragraph"/>
      </w:pPr>
      <w:r>
        <w:rPr>
          <w:rStyle w:val="Section Number"/>
          <w:rtl w:val="0"/>
          <w:lang w:val="en-US"/>
        </w:rPr>
        <w:t>The evidence base for the three-pillar framework presents several strengths:</w:t>
      </w:r>
      <w:bookmarkEnd w:id="103"/>
    </w:p>
    <w:p>
      <w:pPr>
        <w:pStyle w:val="Heading 3"/>
      </w:pPr>
      <w:bookmarkStart w:name="_Toc52" w:id="104"/>
      <w:bookmarkStart w:name="benchmarkeddata" w:id="105"/>
      <w:r>
        <w:rPr>
          <w:rStyle w:val="Section Number"/>
          <w:rtl w:val="0"/>
        </w:rPr>
        <w:t>5.1.1</w:t>
        <w:tab/>
        <w:t>Benchmarked Data</w:t>
      </w:r>
      <w:bookmarkEnd w:id="104"/>
    </w:p>
    <w:p>
      <w:pPr>
        <w:pStyle w:val="First Paragraph"/>
      </w:pPr>
      <w:r>
        <w:rPr>
          <w:rStyle w:val="Section Number"/>
          <w:rtl w:val="0"/>
          <w:lang w:val="en-US"/>
        </w:rPr>
        <w:t>The evidence base includes peer-reviewed benchmarking studies from top venues (NEJM AI, NeurIPS, NAACL) that provide empirical validation of LLM capabilities in healthcare contexts. Studies like MedAgentBench (</w:t>
      </w:r>
      <w:r>
        <w:rPr>
          <w:rStyle w:val="Hyperlink.0"/>
        </w:rPr>
        <w:fldChar w:fldCharType="begin" w:fldLock="0"/>
      </w:r>
      <w:r>
        <w:rPr>
          <w:rStyle w:val="Hyperlink.0"/>
        </w:rPr>
        <w:instrText xml:space="preserve"> HYPERLINK \l "refmedagentbench2024" </w:instrText>
      </w:r>
      <w:r>
        <w:rPr>
          <w:rStyle w:val="Hyperlink.0"/>
        </w:rPr>
        <w:fldChar w:fldCharType="separate" w:fldLock="0"/>
      </w:r>
      <w:r>
        <w:rPr>
          <w:rStyle w:val="Hyperlink.0"/>
          <w:rtl w:val="0"/>
        </w:rPr>
        <w:t>84</w:t>
      </w:r>
      <w:r>
        <w:rPr/>
        <w:fldChar w:fldCharType="end" w:fldLock="0"/>
      </w:r>
      <w:r>
        <w:rPr>
          <w:rStyle w:val="Section Number"/>
          <w:rtl w:val="0"/>
          <w:lang w:val="en-US"/>
        </w:rPr>
        <w:t>) and comprehensive medical LLM evaluations (</w:t>
      </w:r>
      <w:r>
        <w:rPr>
          <w:rStyle w:val="Hyperlink.0"/>
        </w:rPr>
        <w:fldChar w:fldCharType="begin" w:fldLock="0"/>
      </w:r>
      <w:r>
        <w:rPr>
          <w:rStyle w:val="Hyperlink.0"/>
        </w:rPr>
        <w:instrText xml:space="preserve"> HYPERLINK \l "refwu2024a" </w:instrText>
      </w:r>
      <w:r>
        <w:rPr>
          <w:rStyle w:val="Hyperlink.0"/>
        </w:rPr>
        <w:fldChar w:fldCharType="separate" w:fldLock="0"/>
      </w:r>
      <w:r>
        <w:rPr>
          <w:rStyle w:val="Hyperlink.0"/>
          <w:rtl w:val="0"/>
        </w:rPr>
        <w:t>85</w:t>
      </w:r>
      <w:r>
        <w:rPr/>
        <w:fldChar w:fldCharType="end" w:fldLock="0"/>
      </w:r>
      <w:r>
        <w:rPr>
          <w:rStyle w:val="Section Number"/>
          <w:rtl w:val="0"/>
          <w:lang w:val="en-US"/>
        </w:rPr>
        <w:t>) offer reproducible, quantitative performance metrics.</w:t>
      </w:r>
      <w:bookmarkEnd w:id="105"/>
    </w:p>
    <w:p>
      <w:pPr>
        <w:pStyle w:val="Heading 3"/>
      </w:pPr>
      <w:bookmarkStart w:name="_Toc53" w:id="106"/>
      <w:bookmarkStart w:name="realworldimplementations" w:id="107"/>
      <w:r>
        <w:rPr>
          <w:rStyle w:val="Section Number"/>
          <w:rtl w:val="0"/>
          <w:lang w:val="en-US"/>
        </w:rPr>
        <w:t>5.1.2</w:t>
        <w:tab/>
        <w:t>Real-world Implementations</w:t>
      </w:r>
      <w:bookmarkEnd w:id="106"/>
    </w:p>
    <w:p>
      <w:pPr>
        <w:pStyle w:val="First Paragraph"/>
      </w:pPr>
      <w:r>
        <w:rPr>
          <w:rStyle w:val="Section Number"/>
          <w:rtl w:val="0"/>
          <w:lang w:val="en-US"/>
        </w:rPr>
        <w:t>The Berkshire Healthcare NHS Trust case (</w:t>
      </w:r>
      <w:r>
        <w:rPr>
          <w:rStyle w:val="Hyperlink.0"/>
        </w:rPr>
        <w:fldChar w:fldCharType="begin" w:fldLock="0"/>
      </w:r>
      <w:r>
        <w:rPr>
          <w:rStyle w:val="Hyperlink.0"/>
        </w:rPr>
        <w:instrText xml:space="preserve"> HYPERLINK \l "refberkshire2024" </w:instrText>
      </w:r>
      <w:r>
        <w:rPr>
          <w:rStyle w:val="Hyperlink.0"/>
        </w:rPr>
        <w:fldChar w:fldCharType="separate" w:fldLock="0"/>
      </w:r>
      <w:r>
        <w:rPr>
          <w:rStyle w:val="Hyperlink.0"/>
          <w:rtl w:val="0"/>
        </w:rPr>
        <w:t>24</w:t>
      </w:r>
      <w:r>
        <w:rPr/>
        <w:fldChar w:fldCharType="end" w:fldLock="0"/>
      </w:r>
      <w:r>
        <w:rPr>
          <w:rStyle w:val="Section Number"/>
          <w:rtl w:val="0"/>
          <w:lang w:val="en-US"/>
        </w:rPr>
        <w:t>) demonstrates successful low-code adoption in healthcare, with over 1,600 citizen developers creating solutions. This provides concrete evidence that non-technical healthcare professionals can effectively use these platforms.</w:t>
      </w:r>
      <w:bookmarkEnd w:id="107"/>
    </w:p>
    <w:p>
      <w:pPr>
        <w:pStyle w:val="Heading 3"/>
      </w:pPr>
      <w:bookmarkStart w:name="_Toc54" w:id="108"/>
      <w:bookmarkStart w:name="interconnectedchallenges" w:id="109"/>
      <w:r>
        <w:rPr>
          <w:rStyle w:val="Section Number"/>
          <w:rtl w:val="0"/>
          <w:lang w:val="en-US"/>
        </w:rPr>
        <w:t>5.1.3</w:t>
        <w:tab/>
        <w:t>Interconnected Challenges</w:t>
      </w:r>
      <w:bookmarkEnd w:id="108"/>
    </w:p>
    <w:p>
      <w:pPr>
        <w:pStyle w:val="First Paragraph"/>
      </w:pPr>
      <w:r>
        <w:rPr>
          <w:rStyle w:val="Section Number"/>
          <w:rtl w:val="0"/>
          <w:lang w:val="en-US"/>
        </w:rPr>
        <w:t>The framework illuminates how technical barriers, analytics maturity constraints, and institutional memory loss compound each other, explaining why single-pillar interventions often fail (</w:t>
      </w:r>
      <w:r>
        <w:rPr>
          <w:rStyle w:val="Hyperlink.0"/>
        </w:rPr>
        <w:fldChar w:fldCharType="begin" w:fldLock="0"/>
      </w:r>
      <w:r>
        <w:rPr>
          <w:rStyle w:val="Hyperlink.0"/>
        </w:rPr>
        <w:instrText xml:space="preserve"> HYPERLINK \l "refkamble2019" </w:instrText>
      </w:r>
      <w:r>
        <w:rPr>
          <w:rStyle w:val="Hyperlink.0"/>
        </w:rPr>
        <w:fldChar w:fldCharType="separate" w:fldLock="0"/>
      </w:r>
      <w:r>
        <w:rPr>
          <w:rStyle w:val="Hyperlink.0"/>
          <w:rtl w:val="0"/>
        </w:rPr>
        <w:t>17</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"refmassingham2018" </w:instrText>
      </w:r>
      <w:r>
        <w:rPr>
          <w:rStyle w:val="Hyperlink.0"/>
        </w:rPr>
        <w:fldChar w:fldCharType="separate" w:fldLock="0"/>
      </w:r>
      <w:r>
        <w:rPr>
          <w:rStyle w:val="Hyperlink.0"/>
          <w:rtl w:val="0"/>
        </w:rPr>
        <w:t>34</w:t>
      </w:r>
      <w:r>
        <w:rPr/>
        <w:fldChar w:fldCharType="end" w:fldLock="0"/>
      </w:r>
      <w:r>
        <w:rPr>
          <w:rStyle w:val="Section Number"/>
          <w:rtl w:val="0"/>
          <w:lang w:val="en-US"/>
        </w:rPr>
        <w:t>). This integrated perspective enables healthcare organizations to understand why addressing one challenge in isolation may not produce lasting improvement.</w:t>
      </w:r>
      <w:bookmarkEnd w:id="109"/>
    </w:p>
    <w:p>
      <w:pPr>
        <w:pStyle w:val="Heading 3"/>
      </w:pPr>
      <w:bookmarkStart w:name="_Toc55" w:id="110"/>
      <w:bookmarkStart w:name="economicjustification" w:id="111"/>
      <w:r>
        <w:rPr>
          <w:rStyle w:val="Section Number"/>
          <w:rtl w:val="0"/>
          <w:lang w:val="en-US"/>
        </w:rPr>
        <w:t>5.1.4</w:t>
        <w:tab/>
        <w:t>Economic Justification</w:t>
      </w:r>
      <w:bookmarkEnd w:id="110"/>
    </w:p>
    <w:p>
      <w:pPr>
        <w:pStyle w:val="First Paragraph"/>
      </w:pPr>
      <w:r>
        <w:rPr>
          <w:rStyle w:val="Section Number"/>
          <w:rtl w:val="0"/>
          <w:lang w:val="en-US"/>
        </w:rPr>
        <w:t>The financial evidence is compelling, with conversational analytics adoption linked to operational efficiency gains of 21.3% and staff productivity correlations of r = 0.60 (</w:t>
      </w:r>
      <w:r>
        <w:rPr>
          <w:rStyle w:val="Hyperlink.0"/>
        </w:rPr>
        <w:fldChar w:fldCharType="begin" w:fldLock="0"/>
      </w:r>
      <w:r>
        <w:rPr>
          <w:rStyle w:val="Hyperlink.0"/>
        </w:rPr>
        <w:instrText xml:space="preserve"> HYPERLINK \l "refnashid2023a" </w:instrText>
      </w:r>
      <w:r>
        <w:rPr>
          <w:rStyle w:val="Hyperlink.0"/>
        </w:rPr>
        <w:fldChar w:fldCharType="separate" w:fldLock="0"/>
      </w:r>
      <w:r>
        <w:rPr>
          <w:rStyle w:val="Hyperlink.0"/>
          <w:rtl w:val="0"/>
        </w:rPr>
        <w:t>124</w:t>
      </w:r>
      <w:r>
        <w:rPr/>
        <w:fldChar w:fldCharType="end" w:fldLock="0"/>
      </w:r>
      <w:r>
        <w:rPr>
          <w:rStyle w:val="Section Number"/>
          <w:rtl w:val="0"/>
          <w:lang w:val="en-US"/>
        </w:rPr>
        <w:t>). Furthermore, industry analysis of low-code implementation</w:t>
      </w:r>
      <w:r>
        <w:rPr>
          <w:rStyle w:val="Section Number"/>
          <w:rtl w:val="0"/>
          <w:lang w:val="en-US"/>
        </w:rPr>
        <w:t>—</w:t>
      </w:r>
      <w:r>
        <w:rPr>
          <w:rStyle w:val="Section Number"/>
          <w:rtl w:val="0"/>
          <w:lang w:val="en-US"/>
        </w:rPr>
        <w:t>a technical precursor to conversational interfaces</w:t>
      </w:r>
      <w:r>
        <w:rPr>
          <w:rStyle w:val="Section Number"/>
          <w:rtl w:val="0"/>
          <w:lang w:val="en-US"/>
        </w:rPr>
        <w:t>—</w:t>
      </w:r>
      <w:r>
        <w:rPr>
          <w:rStyle w:val="Section Number"/>
          <w:rtl w:val="0"/>
          <w:lang w:val="en-US"/>
        </w:rPr>
        <w:t>demonstrates a 50% reduction in application development time and an ROI of 206% over three years (</w:t>
      </w:r>
      <w:r>
        <w:rPr>
          <w:rStyle w:val="Hyperlink.0"/>
        </w:rPr>
        <w:fldChar w:fldCharType="begin" w:fldLock="0"/>
      </w:r>
      <w:r>
        <w:rPr>
          <w:rStyle w:val="Hyperlink.0"/>
        </w:rPr>
        <w:instrText xml:space="preserve"> HYPERLINK \l "refforrester2024a" </w:instrText>
      </w:r>
      <w:r>
        <w:rPr>
          <w:rStyle w:val="Hyperlink.0"/>
        </w:rPr>
        <w:fldChar w:fldCharType="separate" w:fldLock="0"/>
      </w:r>
      <w:r>
        <w:rPr>
          <w:rStyle w:val="Hyperlink.0"/>
          <w:rtl w:val="0"/>
        </w:rPr>
        <w:t>125</w:t>
      </w:r>
      <w:r>
        <w:rPr/>
        <w:fldChar w:fldCharType="end" w:fldLock="0"/>
      </w:r>
      <w:r>
        <w:rPr>
          <w:rStyle w:val="Section Number"/>
          <w:rtl w:val="0"/>
          <w:lang w:val="en-US"/>
        </w:rPr>
        <w:t>). Market growth projections (</w:t>
      </w:r>
      <w:r>
        <w:rPr>
          <w:rStyle w:val="Hyperlink.0"/>
        </w:rPr>
        <w:fldChar w:fldCharType="begin" w:fldLock="0"/>
      </w:r>
      <w:r>
        <w:rPr>
          <w:rStyle w:val="Hyperlink.0"/>
        </w:rPr>
        <w:instrText xml:space="preserve"> HYPERLINK \l "refprecedence2024" </w:instrText>
      </w:r>
      <w:r>
        <w:rPr>
          <w:rStyle w:val="Hyperlink.0"/>
        </w:rPr>
        <w:fldChar w:fldCharType="separate" w:fldLock="0"/>
      </w:r>
      <w:r>
        <w:rPr>
          <w:rStyle w:val="Hyperlink.0"/>
          <w:rtl w:val="0"/>
        </w:rPr>
        <w:t>27</w:t>
      </w:r>
      <w:r>
        <w:rPr/>
        <w:fldChar w:fldCharType="end" w:fldLock="0"/>
      </w:r>
      <w:r>
        <w:rPr>
          <w:rStyle w:val="Section Number"/>
          <w:rtl w:val="0"/>
          <w:lang w:val="en-US"/>
        </w:rPr>
        <w:t>) showing the healthcare analytics market expanding from $64.49B to $369.66B by 2034 indicate sustained investment demand.</w:t>
      </w:r>
      <w:bookmarkEnd w:id="111"/>
    </w:p>
    <w:p>
      <w:pPr>
        <w:pStyle w:val="Heading 3"/>
      </w:pPr>
      <w:bookmarkStart w:name="_Toc56" w:id="112"/>
      <w:bookmarkStart w:name="evidencelimitations" w:id="113"/>
      <w:r>
        <w:rPr>
          <w:rStyle w:val="Section Number"/>
          <w:rtl w:val="0"/>
          <w:lang w:val="fr-FR"/>
        </w:rPr>
        <w:t>5.1.5</w:t>
        <w:tab/>
        <w:t>Evidence Limitations</w:t>
      </w:r>
      <w:bookmarkEnd w:id="112"/>
    </w:p>
    <w:p>
      <w:pPr>
        <w:pStyle w:val="First Paragraph"/>
      </w:pPr>
      <w:r>
        <w:rPr>
          <w:rStyle w:val="Section Number"/>
          <w:rtl w:val="0"/>
          <w:lang w:val="en-US"/>
        </w:rPr>
        <w:t>The evidence base includes important caveats. Ziletti and D</w:t>
      </w:r>
      <w:r>
        <w:rPr>
          <w:rStyle w:val="Section Number"/>
          <w:rtl w:val="0"/>
          <w:lang w:val="en-US"/>
        </w:rPr>
        <w:t>’</w:t>
      </w:r>
      <w:r>
        <w:rPr>
          <w:rStyle w:val="Section Number"/>
          <w:rtl w:val="0"/>
          <w:lang w:val="en-US"/>
        </w:rPr>
        <w:t>Ambrosi (</w:t>
      </w:r>
      <w:r>
        <w:rPr>
          <w:rStyle w:val="Hyperlink.0"/>
        </w:rPr>
        <w:fldChar w:fldCharType="begin" w:fldLock="0"/>
      </w:r>
      <w:r>
        <w:rPr>
          <w:rStyle w:val="Hyperlink.0"/>
        </w:rPr>
        <w:instrText xml:space="preserve"> HYPERLINK \l "refziletti2024" </w:instrText>
      </w:r>
      <w:r>
        <w:rPr>
          <w:rStyle w:val="Hyperlink.0"/>
        </w:rPr>
        <w:fldChar w:fldCharType="separate" w:fldLock="0"/>
      </w:r>
      <w:r>
        <w:rPr>
          <w:rStyle w:val="Hyperlink.0"/>
          <w:rtl w:val="0"/>
        </w:rPr>
        <w:t>20</w:t>
      </w:r>
      <w:r>
        <w:rPr/>
        <w:fldChar w:fldCharType="end" w:fldLock="0"/>
      </w:r>
      <w:r>
        <w:rPr>
          <w:rStyle w:val="Section Number"/>
          <w:rtl w:val="0"/>
          <w:lang w:val="en-US"/>
        </w:rPr>
        <w:t xml:space="preserve">) note that </w:t>
      </w:r>
      <w:r>
        <w:rPr>
          <w:rStyle w:val="Section Number"/>
          <w:rtl w:val="0"/>
          <w:lang w:val="en-US"/>
        </w:rPr>
        <w:t>“</w:t>
      </w:r>
      <w:r>
        <w:rPr>
          <w:rStyle w:val="Section Number"/>
          <w:rtl w:val="0"/>
          <w:lang w:val="en-US"/>
        </w:rPr>
        <w:t>current language models are not yet sufficiently accurate for unsupervised use,</w:t>
      </w:r>
      <w:r>
        <w:rPr>
          <w:rStyle w:val="Section Number"/>
          <w:rtl w:val="0"/>
          <w:lang w:val="en-US"/>
        </w:rPr>
        <w:t xml:space="preserve">” </w:t>
      </w:r>
      <w:r>
        <w:rPr>
          <w:rStyle w:val="Section Number"/>
          <w:rtl w:val="0"/>
          <w:lang w:val="en-US"/>
        </w:rPr>
        <w:t>and benchmarking studies (</w:t>
      </w:r>
      <w:r>
        <w:rPr>
          <w:rStyle w:val="Hyperlink.0"/>
        </w:rPr>
        <w:fldChar w:fldCharType="begin" w:fldLock="0"/>
      </w:r>
      <w:r>
        <w:rPr>
          <w:rStyle w:val="Hyperlink.0"/>
        </w:rPr>
        <w:instrText xml:space="preserve"> HYPERLINK \l "refang2004" </w:instrText>
      </w:r>
      <w:r>
        <w:rPr>
          <w:rStyle w:val="Hyperlink.0"/>
        </w:rPr>
        <w:fldChar w:fldCharType="separate" w:fldLock="0"/>
      </w:r>
      <w:r>
        <w:rPr>
          <w:rStyle w:val="Hyperlink.0"/>
          <w:rtl w:val="0"/>
        </w:rPr>
        <w:t>7</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"refwu2024a" </w:instrText>
      </w:r>
      <w:r>
        <w:rPr>
          <w:rStyle w:val="Hyperlink.0"/>
        </w:rPr>
        <w:fldChar w:fldCharType="separate" w:fldLock="0"/>
      </w:r>
      <w:r>
        <w:rPr>
          <w:rStyle w:val="Hyperlink.0"/>
          <w:rtl w:val="0"/>
        </w:rPr>
        <w:t>85</w:t>
      </w:r>
      <w:r>
        <w:rPr/>
        <w:fldChar w:fldCharType="end" w:fldLock="0"/>
      </w:r>
      <w:r>
        <w:rPr>
          <w:rStyle w:val="Section Number"/>
          <w:rtl w:val="0"/>
          <w:lang w:val="en-US"/>
        </w:rPr>
        <w:t>) show significant gaps between benchmark performance and clinical readiness. This honest assessment enables appropriate implementation strategies.</w:t>
      </w:r>
      <w:bookmarkEnd w:id="113"/>
    </w:p>
    <w:p>
      <w:pPr>
        <w:pStyle w:val="Heading 2"/>
      </w:pPr>
      <w:bookmarkStart w:name="_Toc57" w:id="114"/>
      <w:bookmarkStart w:name="Xbca8258d8553bb7b8c553ab0498fb165f016144" w:id="115"/>
      <w:r>
        <w:rPr>
          <w:rStyle w:val="Section Number"/>
          <w:rtl w:val="0"/>
          <w:lang w:val="en-US"/>
        </w:rPr>
        <w:t>5.2</w:t>
        <w:tab/>
        <w:t>Limitations of the Three-Pillar Framework</w:t>
      </w:r>
      <w:bookmarkEnd w:id="114"/>
    </w:p>
    <w:p>
      <w:pPr>
        <w:pStyle w:val="First Paragraph"/>
      </w:pPr>
      <w:r>
        <w:rPr>
          <w:rStyle w:val="Section Number"/>
          <w:rtl w:val="0"/>
          <w:lang w:val="en-US"/>
        </w:rPr>
        <w:t>While the three-pillar framework provides a comprehensive lens for understanding healthcare analytics challenges, several limitations regarding the proposed technological solutions and the current evidence base must be acknowledged:</w:t>
      </w:r>
      <w:bookmarkEnd w:id="115"/>
    </w:p>
    <w:p>
      <w:pPr>
        <w:pStyle w:val="Heading 3"/>
      </w:pPr>
      <w:bookmarkStart w:name="_Toc58" w:id="116"/>
      <w:bookmarkStart w:name="implementationcomplexity" w:id="117"/>
      <w:r>
        <w:rPr>
          <w:rStyle w:val="Section Number"/>
          <w:rtl w:val="0"/>
          <w:lang w:val="en-US"/>
        </w:rPr>
        <w:t>5.2.1</w:t>
        <w:tab/>
        <w:t>Implementation Complexity</w:t>
      </w:r>
      <w:bookmarkEnd w:id="116"/>
    </w:p>
    <w:p>
      <w:pPr>
        <w:pStyle w:val="First Paragraph"/>
      </w:pPr>
      <w:r>
        <w:rPr>
          <w:rStyle w:val="Section Number"/>
          <w:rtl w:val="0"/>
          <w:lang w:val="en-US"/>
        </w:rPr>
        <w:t>Healthcare environments present unique complexity challenges including regulatory requirements, legacy system integration, and change management across diverse user populations (</w:t>
      </w:r>
      <w:r>
        <w:rPr>
          <w:rStyle w:val="Hyperlink.0"/>
        </w:rPr>
        <w:fldChar w:fldCharType="begin" w:fldLock="0"/>
      </w:r>
      <w:r>
        <w:rPr>
          <w:rStyle w:val="Hyperlink.0"/>
        </w:rPr>
        <w:instrText xml:space="preserve"> HYPERLINK \l "refgal2019" </w:instrText>
      </w:r>
      <w:r>
        <w:rPr>
          <w:rStyle w:val="Hyperlink.0"/>
        </w:rPr>
        <w:fldChar w:fldCharType="separate" w:fldLock="0"/>
      </w:r>
      <w:r>
        <w:rPr>
          <w:rStyle w:val="Hyperlink.0"/>
          <w:rtl w:val="0"/>
        </w:rPr>
        <w:t>8</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"refshahbaz2019" </w:instrText>
      </w:r>
      <w:r>
        <w:rPr>
          <w:rStyle w:val="Hyperlink.0"/>
        </w:rPr>
        <w:fldChar w:fldCharType="separate" w:fldLock="0"/>
      </w:r>
      <w:r>
        <w:rPr>
          <w:rStyle w:val="Hyperlink.0"/>
          <w:rtl w:val="0"/>
        </w:rPr>
        <w:t>16</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"refozalp2022" </w:instrText>
      </w:r>
      <w:r>
        <w:rPr>
          <w:rStyle w:val="Hyperlink.0"/>
        </w:rPr>
        <w:fldChar w:fldCharType="separate" w:fldLock="0"/>
      </w:r>
      <w:r>
        <w:rPr>
          <w:rStyle w:val="Hyperlink.0"/>
          <w:rtl w:val="0"/>
        </w:rPr>
        <w:t>123</w:t>
      </w:r>
      <w:r>
        <w:rPr/>
        <w:fldChar w:fldCharType="end" w:fldLock="0"/>
      </w:r>
      <w:r>
        <w:rPr>
          <w:rStyle w:val="Section Number"/>
          <w:rtl w:val="0"/>
          <w:lang w:val="en-US"/>
        </w:rPr>
        <w:t>). Implementation timelines reflect this complexity, though low-code approaches compare favorably to traditional analytics infrastructure projects. Healthcare and pharmaceutical organizations face particularly acute legacy modernization challenges, paralleling patterns documented in broader enterprise software contexts (</w:t>
      </w:r>
      <w:r>
        <w:rPr>
          <w:rStyle w:val="Hyperlink.0"/>
        </w:rPr>
        <w:fldChar w:fldCharType="begin" w:fldLock="0"/>
      </w:r>
      <w:r>
        <w:rPr>
          <w:rStyle w:val="Hyperlink.0"/>
        </w:rPr>
        <w:instrText xml:space="preserve"> HYPERLINK \l "refanthropic2025" </w:instrText>
      </w:r>
      <w:r>
        <w:rPr>
          <w:rStyle w:val="Hyperlink.0"/>
        </w:rPr>
        <w:fldChar w:fldCharType="separate" w:fldLock="0"/>
      </w:r>
      <w:r>
        <w:rPr>
          <w:rStyle w:val="Hyperlink.0"/>
          <w:rtl w:val="0"/>
        </w:rPr>
        <w:t>10</w:t>
      </w:r>
      <w:r>
        <w:rPr/>
        <w:fldChar w:fldCharType="end" w:fldLock="0"/>
      </w:r>
      <w:r>
        <w:rPr>
          <w:rStyle w:val="Section Number"/>
          <w:rtl w:val="0"/>
          <w:lang w:val="en-US"/>
        </w:rPr>
        <w:t>).</w:t>
      </w:r>
      <w:bookmarkEnd w:id="117"/>
    </w:p>
    <w:p>
      <w:pPr>
        <w:pStyle w:val="Heading 3"/>
      </w:pPr>
      <w:bookmarkStart w:name="_Toc59" w:id="118"/>
      <w:bookmarkStart w:name="X45f8c7a46a04784e9744b636e11bc2977732e83" w:id="119"/>
      <w:r>
        <w:rPr>
          <w:rStyle w:val="Section Number"/>
          <w:rtl w:val="0"/>
          <w:lang w:val="en-US"/>
        </w:rPr>
        <w:t>5.2.2</w:t>
        <w:tab/>
        <w:t>Context-Specific Customization Requirements</w:t>
      </w:r>
      <w:bookmarkEnd w:id="118"/>
    </w:p>
    <w:p>
      <w:pPr>
        <w:pStyle w:val="First Paragraph"/>
      </w:pPr>
      <w:r>
        <w:rPr>
          <w:rStyle w:val="Section Number"/>
          <w:rtl w:val="0"/>
          <w:lang w:val="en-US"/>
        </w:rPr>
        <w:t>Healthcare organizations vary significantly in data structures, clinical workflows, and analytical needs. Evidence suggests that successful implementations require substantial customization to organizational contexts, potentially limiting the applicability of standardized approaches (</w:t>
      </w:r>
      <w:r>
        <w:rPr>
          <w:rStyle w:val="Hyperlink.0"/>
        </w:rPr>
        <w:fldChar w:fldCharType="begin" w:fldLock="0"/>
      </w:r>
      <w:r>
        <w:rPr>
          <w:rStyle w:val="Hyperlink.0"/>
        </w:rPr>
        <w:instrText xml:space="preserve"> HYPERLINK \l "refzheng2020" </w:instrText>
      </w:r>
      <w:r>
        <w:rPr>
          <w:rStyle w:val="Hyperlink.0"/>
        </w:rPr>
        <w:fldChar w:fldCharType="separate" w:fldLock="0"/>
      </w:r>
      <w:r>
        <w:rPr>
          <w:rStyle w:val="Hyperlink.0"/>
          <w:rtl w:val="0"/>
        </w:rPr>
        <w:t>118</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"refyang2020" </w:instrText>
      </w:r>
      <w:r>
        <w:rPr>
          <w:rStyle w:val="Hyperlink.0"/>
        </w:rPr>
        <w:fldChar w:fldCharType="separate" w:fldLock="0"/>
      </w:r>
      <w:r>
        <w:rPr>
          <w:rStyle w:val="Hyperlink.0"/>
          <w:rtl w:val="0"/>
        </w:rPr>
        <w:t>121</w:t>
      </w:r>
      <w:r>
        <w:rPr/>
        <w:fldChar w:fldCharType="end" w:fldLock="0"/>
      </w:r>
      <w:r>
        <w:rPr>
          <w:rStyle w:val="Section Number"/>
          <w:rtl w:val="0"/>
          <w:lang w:val="en-US"/>
        </w:rPr>
        <w:t>).</w:t>
      </w:r>
      <w:bookmarkEnd w:id="119"/>
    </w:p>
    <w:p>
      <w:pPr>
        <w:pStyle w:val="Heading 3"/>
      </w:pPr>
      <w:bookmarkStart w:name="_Toc60" w:id="120"/>
      <w:bookmarkStart w:name="longtermoutcomeuncertainties" w:id="121"/>
      <w:r>
        <w:rPr>
          <w:rStyle w:val="Section Number"/>
          <w:rtl w:val="0"/>
          <w:lang w:val="en-US"/>
        </w:rPr>
        <w:t>5.2.3</w:t>
        <w:tab/>
        <w:t>Long-Term Outcome Uncertainties</w:t>
      </w:r>
      <w:bookmarkEnd w:id="120"/>
    </w:p>
    <w:p>
      <w:pPr>
        <w:pStyle w:val="First Paragraph"/>
      </w:pPr>
      <w:r>
        <w:rPr>
          <w:rStyle w:val="Section Number"/>
          <w:rtl w:val="0"/>
          <w:lang w:val="en-US"/>
        </w:rPr>
        <w:t>Most studies examine 6-24 month implementations (</w:t>
      </w:r>
      <w:r>
        <w:rPr>
          <w:rStyle w:val="Hyperlink.0"/>
        </w:rPr>
        <w:fldChar w:fldCharType="begin" w:fldLock="0"/>
      </w:r>
      <w:r>
        <w:rPr>
          <w:rStyle w:val="Hyperlink.0"/>
        </w:rPr>
        <w:instrText xml:space="preserve"> HYPERLINK \l "refberkshire2024" </w:instrText>
      </w:r>
      <w:r>
        <w:rPr>
          <w:rStyle w:val="Hyperlink.0"/>
        </w:rPr>
        <w:fldChar w:fldCharType="separate" w:fldLock="0"/>
      </w:r>
      <w:r>
        <w:rPr>
          <w:rStyle w:val="Hyperlink.0"/>
          <w:rtl w:val="0"/>
        </w:rPr>
        <w:t>24</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"refsezgin2022" </w:instrText>
      </w:r>
      <w:r>
        <w:rPr>
          <w:rStyle w:val="Hyperlink.0"/>
        </w:rPr>
        <w:fldChar w:fldCharType="separate" w:fldLock="0"/>
      </w:r>
      <w:r>
        <w:rPr>
          <w:rStyle w:val="Hyperlink.0"/>
          <w:rtl w:val="0"/>
        </w:rPr>
        <w:t>126</w:t>
      </w:r>
      <w:r>
        <w:rPr/>
        <w:fldChar w:fldCharType="end" w:fldLock="0"/>
      </w:r>
      <w:r>
        <w:rPr>
          <w:rStyle w:val="Section Number"/>
          <w:rtl w:val="0"/>
          <w:lang w:val="en-US"/>
        </w:rPr>
        <w:t>). Questions remain about long-term sustainability, user engagement over extended periods, and the evolution of organizational capabilities beyond initial deployment periods. The research gap analysis in the Literature Review identifies this as a priority area for future investigation.</w:t>
      </w:r>
      <w:bookmarkEnd w:id="121"/>
    </w:p>
    <w:p>
      <w:pPr>
        <w:pStyle w:val="Heading 3"/>
      </w:pPr>
      <w:bookmarkStart w:name="_Toc61" w:id="122"/>
      <w:bookmarkStart w:name="X2274a69eeb0cb360e25f4a0c6de53a1a41ef3b2" w:id="123"/>
      <w:r>
        <w:rPr>
          <w:rStyle w:val="Section Number"/>
          <w:rtl w:val="0"/>
          <w:lang w:val="en-US"/>
        </w:rPr>
        <w:t>5.2.4</w:t>
        <w:tab/>
        <w:t>Governance and Quality Assurance Challenges</w:t>
      </w:r>
      <w:bookmarkEnd w:id="122"/>
    </w:p>
    <w:p>
      <w:pPr>
        <w:pStyle w:val="First Paragraph"/>
      </w:pPr>
      <w:r>
        <w:rPr>
          <w:rStyle w:val="Section Number"/>
          <w:rtl w:val="0"/>
          <w:lang w:val="en-US"/>
        </w:rPr>
        <w:t>Democratizing analytics access creates new challenges in maintaining data quality, analytical rigor, and clinical safety standards. While the evidence shows reduced error rates with conversational AI (</w:t>
      </w:r>
      <w:r>
        <w:rPr>
          <w:rStyle w:val="Hyperlink.0"/>
        </w:rPr>
        <w:fldChar w:fldCharType="begin" w:fldLock="0"/>
      </w:r>
      <w:r>
        <w:rPr>
          <w:rStyle w:val="Hyperlink.0"/>
        </w:rPr>
        <w:instrText xml:space="preserve"> HYPERLINK \l "refipeirotis2025" </w:instrText>
      </w:r>
      <w:r>
        <w:rPr>
          <w:rStyle w:val="Hyperlink.0"/>
        </w:rPr>
        <w:fldChar w:fldCharType="separate" w:fldLock="0"/>
      </w:r>
      <w:r>
        <w:rPr>
          <w:rStyle w:val="Hyperlink.0"/>
          <w:rtl w:val="0"/>
        </w:rPr>
        <w:t>93</w:t>
      </w:r>
      <w:r>
        <w:rPr/>
        <w:fldChar w:fldCharType="end" w:fldLock="0"/>
      </w:r>
      <w:r>
        <w:rPr>
          <w:rStyle w:val="Section Number"/>
          <w:rtl w:val="0"/>
          <w:lang w:val="en-US"/>
        </w:rPr>
        <w:t>), healthcare organizations must develop new governance frameworks for managing distributed analytical capabilities (</w:t>
      </w:r>
      <w:r>
        <w:rPr>
          <w:rStyle w:val="Hyperlink.0"/>
        </w:rPr>
        <w:fldChar w:fldCharType="begin" w:fldLock="0"/>
      </w:r>
      <w:r>
        <w:rPr>
          <w:rStyle w:val="Hyperlink.0"/>
        </w:rPr>
        <w:instrText xml:space="preserve"> HYPERLINK \l "refhimss2025ucdavis" </w:instrText>
      </w:r>
      <w:r>
        <w:rPr>
          <w:rStyle w:val="Hyperlink.0"/>
        </w:rPr>
        <w:fldChar w:fldCharType="separate" w:fldLock="0"/>
      </w:r>
      <w:r>
        <w:rPr>
          <w:rStyle w:val="Hyperlink.0"/>
          <w:rtl w:val="0"/>
        </w:rPr>
        <w:t>127</w:t>
      </w:r>
      <w:r>
        <w:rPr/>
        <w:fldChar w:fldCharType="end" w:fldLock="0"/>
      </w:r>
      <w:r>
        <w:rPr>
          <w:rStyle w:val="Section Number"/>
          <w:rtl w:val="0"/>
          <w:lang w:val="en-US"/>
        </w:rPr>
        <w:t>).</w:t>
      </w:r>
      <w:bookmarkEnd w:id="123"/>
    </w:p>
    <w:p>
      <w:pPr>
        <w:pStyle w:val="Heading 3"/>
      </w:pPr>
      <w:bookmarkStart w:name="_Toc62" w:id="124"/>
      <w:bookmarkStart w:name="specialtyspecificapplicationgaps" w:id="125"/>
      <w:r>
        <w:rPr>
          <w:rStyle w:val="Section Number"/>
          <w:rtl w:val="0"/>
          <w:lang w:val="en-US"/>
        </w:rPr>
        <w:t>5.2.5</w:t>
        <w:tab/>
        <w:t>Specialty-Specific Application Gaps</w:t>
      </w:r>
      <w:bookmarkEnd w:id="124"/>
    </w:p>
    <w:p>
      <w:pPr>
        <w:pStyle w:val="First Paragraph"/>
      </w:pPr>
      <w:r>
        <w:rPr>
          <w:rStyle w:val="Section Number"/>
          <w:rtl w:val="0"/>
          <w:lang w:val="en-US"/>
        </w:rPr>
        <w:t>Evidence primarily focuses on general acute care settings (</w:t>
      </w:r>
      <w:r>
        <w:rPr>
          <w:rStyle w:val="Hyperlink.0"/>
        </w:rPr>
        <w:fldChar w:fldCharType="begin" w:fldLock="0"/>
      </w:r>
      <w:r>
        <w:rPr>
          <w:rStyle w:val="Hyperlink.0"/>
        </w:rPr>
        <w:instrText xml:space="preserve"> HYPERLINK \l "refyang2021" </w:instrText>
      </w:r>
      <w:r>
        <w:rPr>
          <w:rStyle w:val="Hyperlink.0"/>
        </w:rPr>
        <w:fldChar w:fldCharType="separate" w:fldLock="0"/>
      </w:r>
      <w:r>
        <w:rPr>
          <w:rStyle w:val="Hyperlink.0"/>
          <w:rtl w:val="0"/>
        </w:rPr>
        <w:t>58</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"refwang2025" </w:instrText>
      </w:r>
      <w:r>
        <w:rPr>
          <w:rStyle w:val="Hyperlink.0"/>
        </w:rPr>
        <w:fldChar w:fldCharType="separate" w:fldLock="0"/>
      </w:r>
      <w:r>
        <w:rPr>
          <w:rStyle w:val="Hyperlink.0"/>
          <w:rtl w:val="0"/>
        </w:rPr>
        <w:t>82</w:t>
      </w:r>
      <w:r>
        <w:rPr/>
        <w:fldChar w:fldCharType="end" w:fldLock="0"/>
      </w:r>
      <w:r>
        <w:rPr>
          <w:rStyle w:val="Section Number"/>
          <w:rtl w:val="0"/>
          <w:lang w:val="en-US"/>
        </w:rPr>
        <w:t>). Applications in specialized domains (oncology, cardiology, mental health) require domain-specific validation and customization that may not generalize from the existing evidence base.</w:t>
      </w:r>
      <w:bookmarkEnd w:id="125"/>
    </w:p>
    <w:p>
      <w:pPr>
        <w:pStyle w:val="Heading 3"/>
      </w:pPr>
      <w:bookmarkStart w:name="_Toc63" w:id="126"/>
      <w:bookmarkStart w:name="limitationsofthereviewmethodology" w:id="127"/>
      <w:r>
        <w:rPr>
          <w:rStyle w:val="Section Number"/>
          <w:rtl w:val="0"/>
          <w:lang w:val="en-US"/>
        </w:rPr>
        <w:t>5.2.6</w:t>
        <w:tab/>
        <w:t>Limitations of the Review Methodology</w:t>
      </w:r>
      <w:bookmarkEnd w:id="126"/>
    </w:p>
    <w:p>
      <w:pPr>
        <w:pStyle w:val="First Paragraph"/>
      </w:pPr>
      <w:r>
        <w:rPr>
          <w:rStyle w:val="Section Number"/>
          <w:rtl w:val="0"/>
          <w:lang w:val="en-US"/>
        </w:rPr>
        <w:t>As a narrative review, this paper has methodological limitations distinct from systematic reviews. The non-exhaustive literature search, single-author synthesis, and post-hoc selection criteria may have introduced selection or interpretation bias. No formal quality assessment tool was applied to included studies. These limitations, documented in detail in the Methodology section, should be considered when interpreting findings. The transparency provided through explicit documentation of search strategies, selection criteria, and synthesis approach enables readers to assess potential biases and evaluate the robustness of conclusions.</w:t>
      </w:r>
      <w:bookmarkEnd w:id="127"/>
    </w:p>
    <w:p>
      <w:pPr>
        <w:pStyle w:val="Heading 2"/>
      </w:pPr>
      <w:bookmarkStart w:name="_Toc64" w:id="128"/>
      <w:bookmarkStart w:name="futureresearchdirections" w:id="129"/>
      <w:r>
        <w:rPr>
          <w:rStyle w:val="Section Number"/>
          <w:rtl w:val="0"/>
          <w:lang w:val="en-US"/>
        </w:rPr>
        <w:t>5.3</w:t>
        <w:tab/>
        <w:t>Future Research Directions</w:t>
      </w:r>
      <w:bookmarkEnd w:id="128"/>
    </w:p>
    <w:p>
      <w:pPr>
        <w:pStyle w:val="First Paragraph"/>
      </w:pPr>
      <w:r>
        <w:rPr>
          <w:rStyle w:val="Section Number"/>
          <w:rtl w:val="0"/>
          <w:lang w:val="en-US"/>
        </w:rPr>
        <w:t>The evidence review identifies several priority areas for future investigation:</w:t>
      </w:r>
      <w:bookmarkEnd w:id="129"/>
    </w:p>
    <w:p>
      <w:pPr>
        <w:pStyle w:val="Heading 3"/>
      </w:pPr>
      <w:bookmarkStart w:name="_Toc65" w:id="130"/>
      <w:bookmarkStart w:name="shorttermresearchpriorities1year" w:id="131"/>
      <w:r>
        <w:rPr>
          <w:rStyle w:val="Section Number"/>
          <w:rtl w:val="0"/>
          <w:lang w:val="en-US"/>
        </w:rPr>
        <w:t>5.3.1</w:t>
        <w:tab/>
        <w:t>Short-Term Research Priorities (&lt;1 year)</w:t>
      </w:r>
      <w:bookmarkEnd w:id="130"/>
    </w:p>
    <w:p>
      <w:pPr>
        <w:pStyle w:val="Compact"/>
        <w:numPr>
          <w:ilvl w:val="0"/>
          <w:numId w:val="13"/>
        </w:numPr>
        <w:rPr>
          <w:lang w:val="en-US"/>
        </w:rPr>
      </w:pPr>
      <w:r>
        <w:rPr>
          <w:rFonts w:ascii="Aptos" w:cs="Aptos" w:hAnsi="Aptos" w:eastAsia="Aptos"/>
          <w:i w:val="1"/>
          <w:iCs w:val="1"/>
          <w:rtl w:val="0"/>
          <w:lang w:val="en-US"/>
        </w:rPr>
        <w:t>Reference Implementation Validation</w:t>
      </w:r>
      <w:r>
        <w:rPr>
          <w:rStyle w:val="Section Number"/>
          <w:rtl w:val="0"/>
          <w:lang w:val="en-US"/>
        </w:rPr>
        <w:t>: Empirical validation of NL2SQL approaches using synthetic healthcare data (e.g., Synthea) in reproducible cloud environments, enabling benchmarking against established datasets (EHRSQL, MIMICSQL) without privacy constraints (</w:t>
      </w:r>
      <w:r>
        <w:rPr>
          <w:rStyle w:val="Hyperlink.0"/>
        </w:rPr>
        <w:fldChar w:fldCharType="begin" w:fldLock="0"/>
      </w:r>
      <w:r>
        <w:rPr>
          <w:rStyle w:val="Hyperlink.0"/>
        </w:rPr>
        <w:instrText xml:space="preserve"> HYPERLINK \l "refwang2020" </w:instrText>
      </w:r>
      <w:r>
        <w:rPr>
          <w:rStyle w:val="Hyperlink.0"/>
        </w:rPr>
        <w:fldChar w:fldCharType="separate" w:fldLock="0"/>
      </w:r>
      <w:r>
        <w:rPr>
          <w:rStyle w:val="Hyperlink.0"/>
          <w:rtl w:val="0"/>
          <w:lang w:val="en-US"/>
        </w:rPr>
        <w:t>80</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"reflee2023" </w:instrText>
      </w:r>
      <w:r>
        <w:rPr>
          <w:rStyle w:val="Hyperlink.0"/>
        </w:rPr>
        <w:fldChar w:fldCharType="separate" w:fldLock="0"/>
      </w:r>
      <w:r>
        <w:rPr>
          <w:rStyle w:val="Hyperlink.0"/>
          <w:rtl w:val="0"/>
          <w:lang w:val="en-US"/>
        </w:rPr>
        <w:t>87</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Schema Discovery for Healthcare Databases</w:t>
      </w:r>
      <w:r>
        <w:rPr>
          <w:rStyle w:val="Section Number"/>
          <w:rtl w:val="0"/>
          <w:lang w:val="en-US"/>
        </w:rPr>
        <w:t>: Research on automated primary/foreign key discovery algorithms applied to healthcare schemas, addressing the complexity of clinical data models (</w:t>
      </w:r>
      <w:r>
        <w:rPr>
          <w:rStyle w:val="Hyperlink.0"/>
        </w:rPr>
        <w:fldChar w:fldCharType="begin" w:fldLock="0"/>
      </w:r>
      <w:r>
        <w:rPr>
          <w:rStyle w:val="Hyperlink.0"/>
        </w:rPr>
        <w:instrText xml:space="preserve"> HYPERLINK \l "refzhang2024" </w:instrText>
      </w:r>
      <w:r>
        <w:rPr>
          <w:rStyle w:val="Hyperlink.0"/>
        </w:rPr>
        <w:fldChar w:fldCharType="separate" w:fldLock="0"/>
      </w:r>
      <w:r>
        <w:rPr>
          <w:rStyle w:val="Hyperlink.0"/>
          <w:rtl w:val="0"/>
          <w:lang w:val="en-US"/>
        </w:rPr>
        <w:t>9</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Governance Framework Development</w:t>
      </w:r>
      <w:r>
        <w:rPr>
          <w:rStyle w:val="Section Number"/>
          <w:rtl w:val="0"/>
          <w:lang w:val="en-US"/>
        </w:rPr>
        <w:t>: Research on optimal governance models for democratized analytics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lang w:val="en-US"/>
        </w:rPr>
        <w:t>2</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"refsnowdon2024b" </w:instrText>
      </w:r>
      <w:r>
        <w:rPr>
          <w:rStyle w:val="Hyperlink.0"/>
        </w:rPr>
        <w:fldChar w:fldCharType="separate" w:fldLock="0"/>
      </w:r>
      <w:r>
        <w:rPr>
          <w:rStyle w:val="Hyperlink.0"/>
          <w:rtl w:val="0"/>
          <w:lang w:val="en-US"/>
        </w:rPr>
        <w:t>22</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Expansion to Unstructured Data</w:t>
      </w:r>
      <w:r>
        <w:rPr>
          <w:rStyle w:val="Section Number"/>
          <w:rtl w:val="0"/>
          <w:lang w:val="en-US"/>
        </w:rPr>
        <w:t>: While this paper focuses on SQL (structured data), ~80% of healthcare data is unstructured. Future research should explore how the three-pillar framework can provide the necessary governance structure for expansion into unstructured data via Vector/RAG technologies (</w:t>
      </w:r>
      <w:r>
        <w:rPr>
          <w:rStyle w:val="Hyperlink.0"/>
        </w:rPr>
        <w:fldChar w:fldCharType="begin" w:fldLock="0"/>
      </w:r>
      <w:r>
        <w:rPr>
          <w:rStyle w:val="Hyperlink.0"/>
        </w:rPr>
        <w:instrText xml:space="preserve"> HYPERLINK \l "refziletti2024" </w:instrText>
      </w:r>
      <w:r>
        <w:rPr>
          <w:rStyle w:val="Hyperlink.0"/>
        </w:rPr>
        <w:fldChar w:fldCharType="separate" w:fldLock="0"/>
      </w:r>
      <w:r>
        <w:rPr>
          <w:rStyle w:val="Hyperlink.0"/>
          <w:rtl w:val="0"/>
          <w:lang w:val="en-US"/>
        </w:rPr>
        <w:t>20</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"refblaskovic2025" </w:instrText>
      </w:r>
      <w:r>
        <w:rPr>
          <w:rStyle w:val="Hyperlink.0"/>
        </w:rPr>
        <w:fldChar w:fldCharType="separate" w:fldLock="0"/>
      </w:r>
      <w:r>
        <w:rPr>
          <w:rStyle w:val="Hyperlink.0"/>
          <w:rtl w:val="0"/>
          <w:lang w:val="en-US"/>
        </w:rPr>
        <w:t>86</w:t>
      </w:r>
      <w:r>
        <w:rPr/>
        <w:fldChar w:fldCharType="end" w:fldLock="0"/>
      </w:r>
      <w:r>
        <w:rPr>
          <w:rStyle w:val="Section Number"/>
          <w:rtl w:val="0"/>
          <w:lang w:val="en-US"/>
        </w:rPr>
        <w:t>).</w:t>
      </w:r>
      <w:bookmarkEnd w:id="131"/>
    </w:p>
    <w:p>
      <w:pPr>
        <w:pStyle w:val="Heading 3"/>
      </w:pPr>
      <w:bookmarkStart w:name="_Toc66" w:id="132"/>
      <w:bookmarkStart w:name="X7d60b5f2cd724c2ff27fb462003d9a6f0f38ecc" w:id="133"/>
      <w:r>
        <w:rPr>
          <w:rStyle w:val="Section Number"/>
          <w:rtl w:val="0"/>
          <w:lang w:val="en-US"/>
        </w:rPr>
        <w:t>5.3.2</w:t>
        <w:tab/>
        <w:t>Medium-Term Research Priorities (1-2 years)</w:t>
      </w:r>
      <w:bookmarkEnd w:id="132"/>
    </w:p>
    <w:p>
      <w:pPr>
        <w:pStyle w:val="Compact"/>
        <w:numPr>
          <w:ilvl w:val="0"/>
          <w:numId w:val="14"/>
        </w:numPr>
        <w:rPr>
          <w:lang w:val="en-US"/>
        </w:rPr>
      </w:pPr>
      <w:r>
        <w:rPr>
          <w:rFonts w:ascii="Aptos" w:cs="Aptos" w:hAnsi="Aptos" w:eastAsia="Aptos"/>
          <w:i w:val="1"/>
          <w:iCs w:val="1"/>
          <w:rtl w:val="0"/>
          <w:lang w:val="en-US"/>
        </w:rPr>
        <w:t>Healthcare Terminology Integration</w:t>
      </w:r>
      <w:r>
        <w:rPr>
          <w:rStyle w:val="Section Number"/>
          <w:rtl w:val="0"/>
          <w:lang w:val="en-US"/>
        </w:rPr>
        <w:t>: Development of programmatic approaches for mapping natural language queries to standardized vocabularies (SNOMED CT, LOINC, RxNorm) within NL2SQL pipelines</w:t>
      </w:r>
    </w:p>
    <w:p>
      <w:pPr>
        <w:pStyle w:val="Compact"/>
        <w:numPr>
          <w:ilvl w:val="0"/>
          <w:numId w:val="2"/>
        </w:numPr>
        <w:rPr>
          <w:lang w:val="en-US"/>
        </w:rPr>
      </w:pPr>
      <w:r>
        <w:rPr>
          <w:rFonts w:ascii="Aptos" w:cs="Aptos" w:hAnsi="Aptos" w:eastAsia="Aptos"/>
          <w:i w:val="1"/>
          <w:iCs w:val="1"/>
          <w:rtl w:val="0"/>
          <w:lang w:val="en-US"/>
        </w:rPr>
        <w:t>FHIR/OMOP Interoperability</w:t>
      </w:r>
      <w:r>
        <w:rPr>
          <w:rStyle w:val="Section Number"/>
          <w:rtl w:val="0"/>
          <w:lang w:val="en-US"/>
        </w:rPr>
        <w:t>: Research on reducing ETL burden for OMOP Common Data Model and FHIR transformations, enabling NL2SQL systems to operate across heterogeneous healthcare data standards</w:t>
      </w:r>
    </w:p>
    <w:p>
      <w:pPr>
        <w:pStyle w:val="Compact"/>
        <w:numPr>
          <w:ilvl w:val="0"/>
          <w:numId w:val="2"/>
        </w:numPr>
        <w:rPr>
          <w:lang w:val="en-US"/>
        </w:rPr>
      </w:pPr>
      <w:r>
        <w:rPr>
          <w:rFonts w:ascii="Aptos" w:cs="Aptos" w:hAnsi="Aptos" w:eastAsia="Aptos"/>
          <w:i w:val="1"/>
          <w:iCs w:val="1"/>
          <w:rtl w:val="0"/>
          <w:lang w:val="en-US"/>
        </w:rPr>
        <w:t>Longitudinal Outcome Studies</w:t>
      </w:r>
      <w:r>
        <w:rPr>
          <w:rStyle w:val="Section Number"/>
          <w:rtl w:val="0"/>
          <w:lang w:val="en-US"/>
        </w:rPr>
        <w:t>: Multi-year implementations to assess sustained benefits and organizational evolution</w:t>
      </w:r>
    </w:p>
    <w:p>
      <w:pPr>
        <w:pStyle w:val="Compact"/>
        <w:numPr>
          <w:ilvl w:val="0"/>
          <w:numId w:val="2"/>
        </w:numPr>
        <w:rPr>
          <w:lang w:val="en-US"/>
        </w:rPr>
      </w:pPr>
      <w:r>
        <w:rPr>
          <w:rFonts w:ascii="Aptos" w:cs="Aptos" w:hAnsi="Aptos" w:eastAsia="Aptos"/>
          <w:i w:val="1"/>
          <w:iCs w:val="1"/>
          <w:rtl w:val="0"/>
          <w:lang w:val="en-US"/>
        </w:rPr>
        <w:t>Comparative Effectiveness Research</w:t>
      </w:r>
      <w:r>
        <w:rPr>
          <w:rStyle w:val="Section Number"/>
          <w:rtl w:val="0"/>
          <w:lang w:val="en-US"/>
        </w:rPr>
        <w:t>: Head-to-head comparisons of different conversational AI approaches on healthcare-specific benchmarks</w:t>
      </w:r>
      <w:bookmarkEnd w:id="133"/>
    </w:p>
    <w:p>
      <w:pPr>
        <w:pStyle w:val="Heading 3"/>
      </w:pPr>
      <w:bookmarkStart w:name="_Toc67" w:id="134"/>
      <w:bookmarkStart w:name="longtermresearchpriorities2years" w:id="135"/>
      <w:r>
        <w:rPr>
          <w:rStyle w:val="Section Number"/>
          <w:rtl w:val="0"/>
          <w:lang w:val="en-US"/>
        </w:rPr>
        <w:t>5.3.3</w:t>
        <w:tab/>
        <w:t>Long-Term Research Priorities (&gt;2 years)</w:t>
      </w:r>
      <w:bookmarkEnd w:id="134"/>
    </w:p>
    <w:p>
      <w:pPr>
        <w:pStyle w:val="Compact"/>
        <w:numPr>
          <w:ilvl w:val="0"/>
          <w:numId w:val="15"/>
        </w:numPr>
        <w:rPr>
          <w:lang w:val="en-US"/>
        </w:rPr>
      </w:pPr>
      <w:r>
        <w:rPr>
          <w:rFonts w:ascii="Aptos" w:cs="Aptos" w:hAnsi="Aptos" w:eastAsia="Aptos"/>
          <w:i w:val="1"/>
          <w:iCs w:val="1"/>
          <w:rtl w:val="0"/>
          <w:lang w:val="en-US"/>
        </w:rPr>
        <w:t>Organizational Transformation Studies</w:t>
      </w:r>
      <w:r>
        <w:rPr>
          <w:rStyle w:val="Section Number"/>
          <w:rtl w:val="0"/>
          <w:lang w:val="en-US"/>
        </w:rPr>
        <w:t>: Research on how conversational AI platforms reshape healthcare organizational capabilities</w:t>
      </w:r>
    </w:p>
    <w:p>
      <w:pPr>
        <w:pStyle w:val="Compact"/>
        <w:numPr>
          <w:ilvl w:val="0"/>
          <w:numId w:val="2"/>
        </w:numPr>
        <w:rPr>
          <w:lang w:val="en-US"/>
        </w:rPr>
      </w:pPr>
      <w:r>
        <w:rPr>
          <w:rFonts w:ascii="Aptos" w:cs="Aptos" w:hAnsi="Aptos" w:eastAsia="Aptos"/>
          <w:i w:val="1"/>
          <w:iCs w:val="1"/>
          <w:rtl w:val="0"/>
          <w:lang w:val="en-US"/>
        </w:rPr>
        <w:t>Clinical Outcome Impact Assessment</w:t>
      </w:r>
      <w:r>
        <w:rPr>
          <w:rStyle w:val="Section Number"/>
          <w:rtl w:val="0"/>
          <w:lang w:val="en-US"/>
        </w:rPr>
        <w:t>: Studies linking improved analytics access to patient care outcomes</w:t>
      </w:r>
    </w:p>
    <w:p>
      <w:pPr>
        <w:pStyle w:val="Compact"/>
        <w:numPr>
          <w:ilvl w:val="0"/>
          <w:numId w:val="2"/>
        </w:numPr>
        <w:rPr>
          <w:lang w:val="en-US"/>
        </w:rPr>
      </w:pPr>
      <w:r>
        <w:rPr>
          <w:rFonts w:ascii="Aptos" w:cs="Aptos" w:hAnsi="Aptos" w:eastAsia="Aptos"/>
          <w:i w:val="1"/>
          <w:iCs w:val="1"/>
          <w:rtl w:val="0"/>
          <w:lang w:val="en-US"/>
        </w:rPr>
        <w:t>Cross-Institution Knowledge Portals</w:t>
      </w:r>
      <w:r>
        <w:rPr>
          <w:rStyle w:val="Section Number"/>
          <w:rtl w:val="0"/>
          <w:lang w:val="en-US"/>
        </w:rPr>
        <w:t>: Investigation of federated approaches enabling knowledge sharing across healthcare organizations while maintaining privacy and security requirements</w:t>
      </w:r>
      <w:bookmarkEnd w:id="135"/>
    </w:p>
    <w:p>
      <w:pPr>
        <w:pStyle w:val="Heading 2"/>
      </w:pPr>
      <w:bookmarkStart w:name="_Toc68" w:id="136"/>
      <w:bookmarkStart w:name="X61d6c821fa5ccb6d569ed091cbb7f573fa003c5" w:id="137"/>
      <w:r>
        <w:rPr>
          <w:rStyle w:val="Section Number"/>
          <w:rtl w:val="0"/>
          <w:lang w:val="en-US"/>
        </w:rPr>
        <w:t>5.4</w:t>
        <w:tab/>
        <w:t>Illustrative Application: Knowledge Preservation Mechanisms</w:t>
      </w:r>
      <w:bookmarkEnd w:id="136"/>
    </w:p>
    <w:p>
      <w:pPr>
        <w:pStyle w:val="First Paragraph"/>
      </w:pPr>
      <w:r>
        <w:rPr>
          <w:rStyle w:val="Section Number"/>
          <w:rtl w:val="0"/>
          <w:lang w:val="en-US"/>
        </w:rPr>
        <w:t>To illustrate how the three-pillar framework might inform technology design, we examine the validated query cycle concept introduced earlier. This mechanism differs fundamentally from traditional knowledge management approaches in healthcare. Traditional approaches rely on documentation: analysts write procedures, create data dictionaries, and maintain query libraries. However, documentation suffers from three critical weaknesses: it becomes stale as systems evolve, it captures procedural knowledge but not contextual judgment, and it requires active maintenance that often lapses after staff transitions (</w:t>
      </w:r>
      <w:r>
        <w:rPr>
          <w:rStyle w:val="Hyperlink.0"/>
        </w:rPr>
        <w:fldChar w:fldCharType="begin" w:fldLock="0"/>
      </w:r>
      <w:r>
        <w:rPr>
          <w:rStyle w:val="Hyperlink.0"/>
        </w:rPr>
        <w:instrText xml:space="preserve"> HYPERLINK \l "refwhittaker2008" </w:instrText>
      </w:r>
      <w:r>
        <w:rPr>
          <w:rStyle w:val="Hyperlink.0"/>
        </w:rPr>
        <w:fldChar w:fldCharType="separate" w:fldLock="0"/>
      </w:r>
      <w:r>
        <w:rPr>
          <w:rStyle w:val="Hyperlink.0"/>
          <w:rtl w:val="0"/>
        </w:rPr>
        <w:t>105</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"reflenz2007" </w:instrText>
      </w:r>
      <w:r>
        <w:rPr>
          <w:rStyle w:val="Hyperlink.0"/>
        </w:rPr>
        <w:fldChar w:fldCharType="separate" w:fldLock="0"/>
      </w:r>
      <w:r>
        <w:rPr>
          <w:rStyle w:val="Hyperlink.0"/>
          <w:rtl w:val="0"/>
        </w:rPr>
        <w:t>128</w:t>
      </w:r>
      <w:r>
        <w:rPr/>
        <w:fldChar w:fldCharType="end" w:fldLock="0"/>
      </w:r>
      <w:r>
        <w:rPr>
          <w:rStyle w:val="Section Number"/>
          <w:rtl w:val="0"/>
          <w:lang w:val="en-US"/>
        </w:rPr>
        <w:t>).</w:t>
      </w:r>
    </w:p>
    <w:p>
      <w:pPr>
        <w:pStyle w:val="Body Text"/>
      </w:pPr>
      <w:r>
        <w:rPr>
          <w:rStyle w:val="Section Number"/>
          <w:rtl w:val="0"/>
          <w:lang w:val="en-US"/>
        </w:rPr>
        <w:t>Validated query triples address each weakness:</w:t>
      </w:r>
    </w:p>
    <w:p>
      <w:pPr>
        <w:pStyle w:val="Compact"/>
        <w:numPr>
          <w:ilvl w:val="0"/>
          <w:numId w:val="16"/>
        </w:numPr>
        <w:rPr>
          <w:lang w:val="en-US"/>
        </w:rPr>
      </w:pPr>
      <w:r>
        <w:rPr>
          <w:rFonts w:ascii="Aptos" w:cs="Aptos" w:hAnsi="Aptos" w:eastAsia="Aptos"/>
          <w:i w:val="1"/>
          <w:iCs w:val="1"/>
          <w:rtl w:val="0"/>
          <w:lang w:val="en-US"/>
        </w:rPr>
        <w:t>Executability</w:t>
      </w:r>
      <w:r>
        <w:rPr>
          <w:rStyle w:val="Section Number"/>
          <w:rtl w:val="0"/>
          <w:lang w:val="en-US"/>
        </w:rPr>
        <w:t>: Validated triples are executable; they can be tested against current data to verify continued correctness, unlike static documentation</w:t>
      </w:r>
    </w:p>
    <w:p>
      <w:pPr>
        <w:pStyle w:val="Compact"/>
        <w:numPr>
          <w:ilvl w:val="0"/>
          <w:numId w:val="2"/>
        </w:numPr>
        <w:rPr>
          <w:lang w:val="en-US"/>
        </w:rPr>
      </w:pPr>
      <w:r>
        <w:rPr>
          <w:rFonts w:ascii="Aptos" w:cs="Aptos" w:hAnsi="Aptos" w:eastAsia="Aptos"/>
          <w:i w:val="1"/>
          <w:iCs w:val="1"/>
          <w:rtl w:val="0"/>
          <w:lang w:val="en-US"/>
        </w:rPr>
        <w:t>Contextual Completeness</w:t>
      </w:r>
      <w:r>
        <w:rPr>
          <w:rStyle w:val="Section Number"/>
          <w:rtl w:val="0"/>
          <w:lang w:val="en-US"/>
        </w:rPr>
        <w:t xml:space="preserve">: Validated triples capture the complete mapping from business question to data retrieval logic, embedding the contextual judgment that documentation typically omits (why this join, why this filter, why this aggregation). To prevent an intent gap, defined here as the loss of connection between the original business question and its technical SQL implementation, a validated triple is incomplete without mandatory </w:t>
      </w:r>
      <w:r>
        <w:rPr>
          <w:rStyle w:val="Section Number"/>
          <w:rtl w:val="0"/>
          <w:lang w:val="en-US"/>
        </w:rPr>
        <w:t>“</w:t>
      </w:r>
      <w:r>
        <w:rPr>
          <w:rStyle w:val="Section Number"/>
          <w:rtl w:val="0"/>
          <w:lang w:val="en-US"/>
        </w:rPr>
        <w:t>Rationale Metadata,</w:t>
      </w:r>
      <w:r>
        <w:rPr>
          <w:rStyle w:val="Section Number"/>
          <w:rtl w:val="0"/>
          <w:lang w:val="en-US"/>
        </w:rPr>
        <w:t xml:space="preserve">” </w:t>
      </w:r>
      <w:r>
        <w:rPr>
          <w:rStyle w:val="Section Number"/>
          <w:rtl w:val="0"/>
          <w:lang w:val="en-US"/>
        </w:rPr>
        <w:t xml:space="preserve">a text field documenting </w:t>
      </w:r>
      <w:r>
        <w:rPr>
          <w:rFonts w:ascii="Aptos" w:cs="Aptos" w:hAnsi="Aptos" w:eastAsia="Aptos"/>
          <w:i w:val="1"/>
          <w:iCs w:val="1"/>
          <w:rtl w:val="0"/>
          <w:lang w:val="en-US"/>
        </w:rPr>
        <w:t>why</w:t>
      </w:r>
      <w:r>
        <w:rPr>
          <w:rStyle w:val="Section Number"/>
          <w:rtl w:val="0"/>
          <w:lang w:val="en-US"/>
        </w:rPr>
        <w:t xml:space="preserve"> the query was constructed in a specific way (e.g., </w:t>
      </w:r>
      <w:r>
        <w:rPr>
          <w:rStyle w:val="Section Number"/>
          <w:rtl w:val="0"/>
          <w:lang w:val="en-US"/>
        </w:rPr>
        <w:t>“</w:t>
      </w:r>
      <w:r>
        <w:rPr>
          <w:rStyle w:val="Section Number"/>
          <w:rtl w:val="0"/>
          <w:lang w:val="en-US"/>
        </w:rPr>
        <w:t>Excluding Hospice per 2025 CMS rules</w:t>
      </w:r>
      <w:r>
        <w:rPr>
          <w:rStyle w:val="Section Number"/>
          <w:rtl w:val="0"/>
          <w:lang w:val="en-US"/>
        </w:rPr>
        <w:t>”</w:t>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Active Validation</w:t>
      </w:r>
      <w:r>
        <w:rPr>
          <w:rStyle w:val="Section Number"/>
          <w:rtl w:val="0"/>
          <w:lang w:val="en-US"/>
        </w:rPr>
        <w:t>: Validation happens at the point of use rather than as a separate maintenance task; every confirmed query becomes a knowledge artifact without additional documentation effort</w:t>
      </w:r>
    </w:p>
    <w:p>
      <w:pPr>
        <w:pStyle w:val="First Paragraph"/>
      </w:pPr>
      <w:r>
        <w:rPr>
          <w:rStyle w:val="Section Number"/>
          <w:rtl w:val="0"/>
          <w:lang w:val="en-US"/>
        </w:rPr>
        <w:t>This mechanism also differs from traditional query logging or usage analytics. Query logs capture what was asked, but not whether the answer was correct. Validated query triples capture expert confirmation that the SQL correctly answers the business question. This distinction is critical for institutional memory: organizations need to know not just what queries were run, but which queries produced trusted, verified answers.</w:t>
      </w:r>
    </w:p>
    <w:p>
      <w:pPr>
        <w:pStyle w:val="Body Text"/>
      </w:pPr>
      <w:r>
        <w:rPr>
          <w:rStyle w:val="Section Number"/>
          <w:rtl w:val="0"/>
          <w:lang w:val="en-US"/>
        </w:rPr>
        <w:t>Governance requirements for the validated query cycle include: defining who can validate queries (domain expertise requirements), establishing validation workflows (review processes for high-stakes queries), managing query versioning (as schemas evolve), and implementing retrieval policies (when to return exact matches versus inform new generation). Organizations implementing conversational AI platforms should design these governance structures before deployment rather than retrofitting them after knowledge accumulation begins (</w:t>
      </w:r>
      <w:r>
        <w:rPr>
          <w:rStyle w:val="Hyperlink.0"/>
        </w:rPr>
        <w:fldChar w:fldCharType="begin" w:fldLock="0"/>
      </w:r>
      <w:r>
        <w:rPr>
          <w:rStyle w:val="Hyperlink.0"/>
        </w:rPr>
        <w:instrText xml:space="preserve"> HYPERLINK \l "refoliveira2023" </w:instrText>
      </w:r>
      <w:r>
        <w:rPr>
          <w:rStyle w:val="Hyperlink.0"/>
        </w:rPr>
        <w:fldChar w:fldCharType="separate" w:fldLock="0"/>
      </w:r>
      <w:r>
        <w:rPr>
          <w:rStyle w:val="Hyperlink.0"/>
          <w:rtl w:val="0"/>
        </w:rPr>
        <w:t>129</w:t>
      </w:r>
      <w:r>
        <w:rPr/>
        <w:fldChar w:fldCharType="end" w:fldLock="0"/>
      </w:r>
      <w:r>
        <w:rPr>
          <w:rStyle w:val="Section Number"/>
          <w:rtl w:val="0"/>
          <w:lang w:val="en-US"/>
        </w:rPr>
        <w:t>).</w:t>
      </w:r>
      <w:bookmarkEnd w:id="137"/>
    </w:p>
    <w:p>
      <w:pPr>
        <w:pStyle w:val="Heading 3"/>
      </w:pPr>
      <w:bookmarkStart w:name="_Toc69" w:id="138"/>
      <w:bookmarkStart w:name="X4a516aa13ea1a545256627ad5ff3eb4bf9fc13b" w:id="139"/>
      <w:r>
        <w:rPr>
          <w:rStyle w:val="Section Number"/>
          <w:rtl w:val="0"/>
          <w:lang w:val="en-US"/>
        </w:rPr>
        <w:t>5.4.1</w:t>
        <w:tab/>
        <w:t>Resolving the Validator Paradox: Knowledge Ratchet and Standard Work</w:t>
      </w:r>
      <w:bookmarkEnd w:id="138"/>
    </w:p>
    <w:p>
      <w:pPr>
        <w:pStyle w:val="First Paragraph"/>
      </w:pPr>
      <w:r>
        <w:rPr>
          <w:rStyle w:val="Section Number"/>
          <w:rtl w:val="0"/>
          <w:lang w:val="en-US"/>
        </w:rPr>
        <w:t xml:space="preserve">A critical paradox emerges in the proposed solution: reliance on expert validation in an environment defined by expert turnover. If the experts are leaving, who validates the AI? To resolve this </w:t>
      </w:r>
      <w:r>
        <w:rPr>
          <w:rStyle w:val="Section Number"/>
          <w:rtl w:val="0"/>
          <w:lang w:val="en-US"/>
        </w:rPr>
        <w:t>“</w:t>
      </w:r>
      <w:r>
        <w:rPr>
          <w:rStyle w:val="Section Number"/>
          <w:rtl w:val="0"/>
          <w:lang w:val="en-US"/>
        </w:rPr>
        <w:t>validator paradox,</w:t>
      </w:r>
      <w:r>
        <w:rPr>
          <w:rStyle w:val="Section Number"/>
          <w:rtl w:val="0"/>
          <w:lang w:val="en-US"/>
        </w:rPr>
        <w:t xml:space="preserve">” </w:t>
      </w:r>
      <w:r>
        <w:rPr>
          <w:rStyle w:val="Section Number"/>
          <w:rtl w:val="0"/>
          <w:lang w:val="en-US"/>
        </w:rPr>
        <w:t xml:space="preserve">validation must be reframed not as </w:t>
      </w:r>
      <w:r>
        <w:rPr>
          <w:rFonts w:ascii="Aptos" w:cs="Aptos" w:hAnsi="Aptos" w:eastAsia="Aptos"/>
          <w:i w:val="1"/>
          <w:iCs w:val="1"/>
          <w:rtl w:val="0"/>
          <w:lang w:val="en-US"/>
        </w:rPr>
        <w:t>eternal truth</w:t>
      </w:r>
      <w:r>
        <w:rPr>
          <w:rStyle w:val="Section Number"/>
          <w:rtl w:val="0"/>
          <w:lang w:val="en-US"/>
        </w:rPr>
        <w:t xml:space="preserve"> but as the </w:t>
      </w:r>
      <w:r>
        <w:rPr>
          <w:rStyle w:val="Section Number"/>
          <w:rtl w:val="0"/>
          <w:lang w:val="en-US"/>
        </w:rPr>
        <w:t>“</w:t>
      </w:r>
      <w:r>
        <w:rPr>
          <w:rStyle w:val="Section Number"/>
          <w:rtl w:val="0"/>
          <w:lang w:val="en-US"/>
        </w:rPr>
        <w:t>standard work</w:t>
      </w:r>
      <w:r>
        <w:rPr>
          <w:rStyle w:val="Section Number"/>
          <w:rtl w:val="0"/>
          <w:lang w:val="en-US"/>
        </w:rPr>
        <w:t xml:space="preserve">” </w:t>
      </w:r>
      <w:r>
        <w:rPr>
          <w:rStyle w:val="Section Number"/>
          <w:rtl w:val="0"/>
          <w:lang w:val="en-US"/>
        </w:rPr>
        <w:t>of informatics, drawing on Lean management principles (</w:t>
      </w:r>
      <w:r>
        <w:rPr>
          <w:rStyle w:val="Hyperlink.0"/>
        </w:rPr>
        <w:fldChar w:fldCharType="begin" w:fldLock="0"/>
      </w:r>
      <w:r>
        <w:rPr>
          <w:rStyle w:val="Hyperlink.0"/>
        </w:rPr>
        <w:instrText xml:space="preserve"> HYPERLINK \l "refalukal2006" </w:instrText>
      </w:r>
      <w:r>
        <w:rPr>
          <w:rStyle w:val="Hyperlink.0"/>
        </w:rPr>
        <w:fldChar w:fldCharType="separate" w:fldLock="0"/>
      </w:r>
      <w:r>
        <w:rPr>
          <w:rStyle w:val="Hyperlink.0"/>
          <w:rtl w:val="0"/>
        </w:rPr>
        <w:t>130</w:t>
      </w:r>
      <w:r>
        <w:rPr/>
        <w:fldChar w:fldCharType="end" w:fldLock="0"/>
      </w:r>
      <w:r>
        <w:rPr>
          <w:rStyle w:val="Section Number"/>
          <w:rtl w:val="0"/>
          <w:lang w:val="en-US"/>
        </w:rPr>
        <w:t>).</w:t>
      </w:r>
    </w:p>
    <w:p>
      <w:pPr>
        <w:pStyle w:val="Body Text"/>
      </w:pPr>
      <w:r>
        <w:rPr>
          <w:rStyle w:val="Section Number"/>
          <w:rtl w:val="0"/>
          <w:lang w:val="en-US"/>
        </w:rPr>
        <w:t xml:space="preserve">In this model, a validated query represents the </w:t>
      </w:r>
      <w:r>
        <w:rPr>
          <w:rStyle w:val="Section Number"/>
          <w:rtl w:val="0"/>
          <w:lang w:val="en-US"/>
        </w:rPr>
        <w:t>“</w:t>
      </w:r>
      <w:r>
        <w:rPr>
          <w:rStyle w:val="Section Number"/>
          <w:rtl w:val="0"/>
          <w:lang w:val="en-US"/>
        </w:rPr>
        <w:t>current best way</w:t>
      </w:r>
      <w:r>
        <w:rPr>
          <w:rStyle w:val="Section Number"/>
          <w:rtl w:val="0"/>
          <w:lang w:val="en-US"/>
        </w:rPr>
        <w:t xml:space="preserve">” </w:t>
      </w:r>
      <w:r>
        <w:rPr>
          <w:rStyle w:val="Section Number"/>
          <w:rtl w:val="0"/>
          <w:lang w:val="en-US"/>
        </w:rPr>
        <w:t>to perform an analysis. As Alukal and Manos (</w:t>
      </w:r>
      <w:r>
        <w:rPr>
          <w:rStyle w:val="Hyperlink.0"/>
        </w:rPr>
        <w:fldChar w:fldCharType="begin" w:fldLock="0"/>
      </w:r>
      <w:r>
        <w:rPr>
          <w:rStyle w:val="Hyperlink.0"/>
        </w:rPr>
        <w:instrText xml:space="preserve"> HYPERLINK \l "refalukal2006" </w:instrText>
      </w:r>
      <w:r>
        <w:rPr>
          <w:rStyle w:val="Hyperlink.0"/>
        </w:rPr>
        <w:fldChar w:fldCharType="separate" w:fldLock="0"/>
      </w:r>
      <w:r>
        <w:rPr>
          <w:rStyle w:val="Hyperlink.0"/>
          <w:rtl w:val="0"/>
        </w:rPr>
        <w:t>130</w:t>
      </w:r>
      <w:r>
        <w:rPr/>
        <w:fldChar w:fldCharType="end" w:fldLock="0"/>
      </w:r>
      <w:r>
        <w:rPr>
          <w:rStyle w:val="Section Number"/>
          <w:rtl w:val="0"/>
          <w:lang w:val="en-US"/>
        </w:rPr>
        <w:t xml:space="preserve">) establish, standard work is the prerequisite for Kaizen (continuous improvement): without a documented standard, there is no baseline to improve upon. The Validated Query Cycle functions as an </w:t>
      </w:r>
      <w:r>
        <w:rPr>
          <w:rStyle w:val="Section Number"/>
          <w:rtl w:val="0"/>
          <w:lang w:val="en-US"/>
        </w:rPr>
        <w:t>“</w:t>
      </w:r>
      <w:r>
        <w:rPr>
          <w:rStyle w:val="Section Number"/>
          <w:rtl w:val="0"/>
          <w:lang w:val="en-US"/>
        </w:rPr>
        <w:t>organizational knowledge ratchet</w:t>
      </w:r>
      <w:r>
        <w:rPr>
          <w:rStyle w:val="Section Number"/>
          <w:rtl w:val="0"/>
          <w:lang w:val="en-US"/>
        </w:rPr>
        <w:t xml:space="preserve">” </w:t>
      </w:r>
      <w:r>
        <w:rPr>
          <w:rStyle w:val="Section Number"/>
          <w:rtl w:val="0"/>
          <w:lang w:val="en-US"/>
        </w:rPr>
        <w:t>(</w:t>
      </w:r>
      <w:r>
        <w:rPr>
          <w:rStyle w:val="Hyperlink.0"/>
        </w:rPr>
        <w:fldChar w:fldCharType="begin" w:fldLock="0"/>
      </w:r>
      <w:r>
        <w:rPr>
          <w:rStyle w:val="Hyperlink.0"/>
        </w:rPr>
        <w:instrText xml:space="preserve"> HYPERLINK \l "refrao2006" </w:instrText>
      </w:r>
      <w:r>
        <w:rPr>
          <w:rStyle w:val="Hyperlink.0"/>
        </w:rPr>
        <w:fldChar w:fldCharType="separate" w:fldLock="0"/>
      </w:r>
      <w:r>
        <w:rPr>
          <w:rStyle w:val="Hyperlink.0"/>
          <w:rtl w:val="0"/>
        </w:rPr>
        <w:t>33</w:t>
      </w:r>
      <w:r>
        <w:rPr/>
        <w:fldChar w:fldCharType="end" w:fldLock="0"/>
      </w:r>
      <w:r>
        <w:rPr>
          <w:rStyle w:val="Section Number"/>
          <w:rtl w:val="0"/>
          <w:lang w:val="en-US"/>
        </w:rPr>
        <w:t xml:space="preserve">). Even provisional validation by mid-level analysts captures operational logic into a procedural artifact. This prevents the </w:t>
      </w:r>
      <w:r>
        <w:rPr>
          <w:rStyle w:val="Section Number"/>
          <w:rtl w:val="0"/>
          <w:lang w:val="en-US"/>
        </w:rPr>
        <w:t>“</w:t>
      </w:r>
      <w:r>
        <w:rPr>
          <w:rStyle w:val="Section Number"/>
          <w:rtl w:val="0"/>
          <w:lang w:val="en-US"/>
        </w:rPr>
        <w:t>sliding back to zero</w:t>
      </w:r>
      <w:r>
        <w:rPr>
          <w:rStyle w:val="Section Number"/>
          <w:rtl w:val="0"/>
          <w:lang w:val="en-US"/>
        </w:rPr>
        <w:t xml:space="preserve">” </w:t>
      </w:r>
      <w:r>
        <w:rPr>
          <w:rStyle w:val="Section Number"/>
          <w:rtl w:val="0"/>
          <w:lang w:val="en-US"/>
        </w:rPr>
        <w:t>that occurs during turnover, allowing the organization to maintain a performance baseline that persists independent of individual tenure (</w:t>
      </w:r>
      <w:r>
        <w:rPr>
          <w:rStyle w:val="Hyperlink.0"/>
        </w:rPr>
        <w:fldChar w:fldCharType="begin" w:fldLock="0"/>
      </w:r>
      <w:r>
        <w:rPr>
          <w:rStyle w:val="Hyperlink.0"/>
        </w:rPr>
        <w:instrText xml:space="preserve"> HYPERLINK \l "refhong2025" </w:instrText>
      </w:r>
      <w:r>
        <w:rPr>
          <w:rStyle w:val="Hyperlink.0"/>
        </w:rPr>
        <w:fldChar w:fldCharType="separate" w:fldLock="0"/>
      </w:r>
      <w:r>
        <w:rPr>
          <w:rStyle w:val="Hyperlink.0"/>
          <w:rtl w:val="0"/>
        </w:rPr>
        <w:t>71</w:t>
      </w:r>
      <w:r>
        <w:rPr/>
        <w:fldChar w:fldCharType="end" w:fldLock="0"/>
      </w:r>
      <w:r>
        <w:rPr>
          <w:rStyle w:val="Section Number"/>
          <w:rtl w:val="0"/>
          <w:lang w:val="en-US"/>
        </w:rPr>
        <w:t xml:space="preserve">). Rather than requiring a permanent </w:t>
      </w:r>
      <w:r>
        <w:rPr>
          <w:rStyle w:val="Section Number"/>
          <w:rtl w:val="0"/>
          <w:lang w:val="en-US"/>
        </w:rPr>
        <w:t>“</w:t>
      </w:r>
      <w:r>
        <w:rPr>
          <w:rStyle w:val="Section Number"/>
          <w:rtl w:val="0"/>
          <w:lang w:val="en-US"/>
        </w:rPr>
        <w:t>core nucleus</w:t>
      </w:r>
      <w:r>
        <w:rPr>
          <w:rStyle w:val="Section Number"/>
          <w:rtl w:val="0"/>
          <w:lang w:val="en-US"/>
        </w:rPr>
        <w:t xml:space="preserve">” </w:t>
      </w:r>
      <w:r>
        <w:rPr>
          <w:rStyle w:val="Section Number"/>
          <w:rtl w:val="0"/>
          <w:lang w:val="en-US"/>
        </w:rPr>
        <w:t>of experts, the system accumulates knowledge incrementally, using the structure of the validation process to buffer against the disruptive effects of turnover.</w:t>
      </w:r>
      <w:bookmarkEnd w:id="139"/>
    </w:p>
    <w:p>
      <w:pPr>
        <w:pStyle w:val="Heading 3"/>
      </w:pPr>
      <w:bookmarkStart w:name="_Toc70" w:id="140"/>
      <w:bookmarkStart w:name="Xad254e8468ebed28913229d9141e5097b0df5ad" w:id="141"/>
      <w:r>
        <w:rPr>
          <w:rStyle w:val="Section Number"/>
          <w:rtl w:val="0"/>
          <w:lang w:val="en-US"/>
        </w:rPr>
        <w:t>5.4.2</w:t>
        <w:tab/>
        <w:t>Comparative Analysis of Knowledge Preservation Strategies</w:t>
      </w:r>
      <w:bookmarkEnd w:id="140"/>
    </w:p>
    <w:p>
      <w:pPr>
        <w:pStyle w:val="First Paragraph"/>
      </w:pPr>
      <w:r>
        <w:rPr>
          <w:rStyle w:val="Section Number"/>
          <w:rtl w:val="0"/>
          <w:lang w:val="en-US"/>
        </w:rPr>
        <w:t>Organizations have attempted to solve the institutional memory crisis through various strategies. This review compares the proposed conversational AI approach against established alternatives:</w:t>
      </w:r>
    </w:p>
    <w:p>
      <w:pPr>
        <w:pStyle w:val="Body"/>
        <w:numPr>
          <w:ilvl w:val="0"/>
          <w:numId w:val="17"/>
        </w:numPr>
        <w:rPr>
          <w:lang w:val="en-US"/>
        </w:rPr>
      </w:pPr>
      <w:r>
        <w:rPr>
          <w:rFonts w:ascii="Aptos" w:cs="Aptos" w:hAnsi="Aptos" w:eastAsia="Aptos"/>
          <w:i w:val="1"/>
          <w:iCs w:val="1"/>
          <w:rtl w:val="0"/>
          <w:lang w:val="en-US"/>
        </w:rPr>
        <w:t>Code-Based Semantic Layers and Fabrics</w:t>
      </w:r>
      <w:r>
        <w:rPr>
          <w:rStyle w:val="Section Number"/>
          <w:rtl w:val="0"/>
          <w:lang w:val="en-US"/>
        </w:rPr>
        <w:t xml:space="preserve">: Traditional semantic layers (e.g., dbt, LookML) attempt to encode business logic in version-controlled repositories. However, research indicates these layers suffer from </w:t>
      </w:r>
      <w:r>
        <w:rPr>
          <w:rStyle w:val="Section Number"/>
          <w:rtl w:val="1"/>
          <w:lang w:val="ar-SA" w:bidi="ar-SA"/>
        </w:rPr>
        <w:t>“</w:t>
      </w:r>
      <w:r>
        <w:rPr>
          <w:rStyle w:val="Section Number"/>
          <w:rtl w:val="0"/>
          <w:lang w:val="it-IT"/>
        </w:rPr>
        <w:t>schema rot</w:t>
      </w:r>
      <w:r>
        <w:rPr>
          <w:rStyle w:val="Section Number"/>
          <w:rtl w:val="0"/>
        </w:rPr>
        <w:t xml:space="preserve">” </w:t>
      </w:r>
      <w:r>
        <w:rPr>
          <w:rStyle w:val="Section Number"/>
          <w:rtl w:val="0"/>
          <w:lang w:val="en-US"/>
        </w:rPr>
        <w:t>in healthcare environments where EMR data models change frequently (e.g., quarterly upgrades). The maintenance burden often exceeds the capacity of high-turnover teams, leading to misalignment between the layer and the underlying data (</w:t>
      </w:r>
      <w:r>
        <w:rPr>
          <w:rStyle w:val="Hyperlink.0"/>
        </w:rPr>
        <w:fldChar w:fldCharType="begin" w:fldLock="0"/>
      </w:r>
      <w:r>
        <w:rPr>
          <w:rStyle w:val="Hyperlink.0"/>
        </w:rPr>
        <w:instrText xml:space="preserve"> HYPERLINK \l "refmannapur2025" </w:instrText>
      </w:r>
      <w:r>
        <w:rPr>
          <w:rStyle w:val="Hyperlink.0"/>
        </w:rPr>
        <w:fldChar w:fldCharType="separate" w:fldLock="0"/>
      </w:r>
      <w:r>
        <w:rPr>
          <w:rStyle w:val="Hyperlink.0"/>
          <w:rtl w:val="0"/>
        </w:rPr>
        <w:t>131</w:t>
      </w:r>
      <w:r>
        <w:rPr/>
        <w:fldChar w:fldCharType="end" w:fldLock="0"/>
      </w:r>
      <w:r>
        <w:rPr>
          <w:rStyle w:val="Section Number"/>
          <w:rtl w:val="0"/>
        </w:rPr>
        <w:t>,</w:t>
      </w:r>
      <w:r>
        <w:rPr>
          <w:rStyle w:val="Hyperlink.0"/>
        </w:rPr>
        <w:fldChar w:fldCharType="begin" w:fldLock="0"/>
      </w:r>
      <w:r>
        <w:rPr>
          <w:rStyle w:val="Hyperlink.0"/>
        </w:rPr>
        <w:instrText xml:space="preserve"> HYPERLINK \l "refyupopa2005" </w:instrText>
      </w:r>
      <w:r>
        <w:rPr>
          <w:rStyle w:val="Hyperlink.0"/>
        </w:rPr>
        <w:fldChar w:fldCharType="separate" w:fldLock="0"/>
      </w:r>
      <w:r>
        <w:rPr>
          <w:rStyle w:val="Hyperlink.0"/>
          <w:rtl w:val="0"/>
        </w:rPr>
        <w:t>132</w:t>
      </w:r>
      <w:r>
        <w:rPr/>
        <w:fldChar w:fldCharType="end" w:fldLock="0"/>
      </w:r>
      <w:r>
        <w:rPr>
          <w:rStyle w:val="Section Number"/>
          <w:rtl w:val="0"/>
          <w:lang w:val="de-DE"/>
        </w:rPr>
        <w:t xml:space="preserve">). Modern </w:t>
      </w:r>
      <w:r>
        <w:rPr>
          <w:rStyle w:val="Section Number"/>
          <w:rtl w:val="1"/>
          <w:lang w:val="ar-SA" w:bidi="ar-SA"/>
        </w:rPr>
        <w:t>“</w:t>
      </w:r>
      <w:r>
        <w:rPr>
          <w:rStyle w:val="Section Number"/>
          <w:rtl w:val="0"/>
          <w:lang w:val="it-IT"/>
        </w:rPr>
        <w:t>Semantic Fabrics</w:t>
      </w:r>
      <w:r>
        <w:rPr>
          <w:rStyle w:val="Section Number"/>
          <w:rtl w:val="0"/>
        </w:rPr>
        <w:t xml:space="preserve">” </w:t>
      </w:r>
      <w:r>
        <w:rPr>
          <w:rStyle w:val="Section Number"/>
          <w:rtl w:val="0"/>
          <w:lang w:val="en-US"/>
        </w:rPr>
        <w:t>using knowledge graphs and metadata-driven architectures (Data Governance 4.0) offer more flexible structures than relational databases (</w:t>
      </w:r>
      <w:r>
        <w:rPr>
          <w:rStyle w:val="Hyperlink.0"/>
        </w:rPr>
        <w:fldChar w:fldCharType="begin" w:fldLock="0"/>
      </w:r>
      <w:r>
        <w:rPr>
          <w:rStyle w:val="Hyperlink.0"/>
        </w:rPr>
        <w:instrText xml:space="preserve"> HYPERLINK \l "refoliveira2023" </w:instrText>
      </w:r>
      <w:r>
        <w:rPr>
          <w:rStyle w:val="Hyperlink.0"/>
        </w:rPr>
        <w:fldChar w:fldCharType="separate" w:fldLock="0"/>
      </w:r>
      <w:r>
        <w:rPr>
          <w:rStyle w:val="Hyperlink.0"/>
          <w:rtl w:val="0"/>
        </w:rPr>
        <w:t>129</w:t>
      </w:r>
      <w:r>
        <w:rPr/>
        <w:fldChar w:fldCharType="end" w:fldLock="0"/>
      </w:r>
      <w:r>
        <w:rPr>
          <w:rStyle w:val="Section Number"/>
          <w:rtl w:val="0"/>
        </w:rPr>
        <w:t>,</w:t>
      </w:r>
      <w:r>
        <w:rPr>
          <w:rStyle w:val="Hyperlink.0"/>
        </w:rPr>
        <w:fldChar w:fldCharType="begin" w:fldLock="0"/>
      </w:r>
      <w:r>
        <w:rPr>
          <w:rStyle w:val="Hyperlink.0"/>
        </w:rPr>
        <w:instrText xml:space="preserve"> HYPERLINK \l "refsivaranjani2025" </w:instrText>
      </w:r>
      <w:r>
        <w:rPr>
          <w:rStyle w:val="Hyperlink.0"/>
        </w:rPr>
        <w:fldChar w:fldCharType="separate" w:fldLock="0"/>
      </w:r>
      <w:r>
        <w:rPr>
          <w:rStyle w:val="Hyperlink.0"/>
          <w:rtl w:val="0"/>
        </w:rPr>
        <w:t>133</w:t>
      </w:r>
      <w:r>
        <w:rPr/>
        <w:fldChar w:fldCharType="end" w:fldLock="0"/>
      </w:r>
      <w:r>
        <w:rPr>
          <w:rStyle w:val="Section Number"/>
          <w:rtl w:val="0"/>
          <w:lang w:val="en-US"/>
        </w:rPr>
        <w:t xml:space="preserve">). AI-maintained adaptive frameworks can reduce false-positive quality alerts by 40% under </w:t>
      </w:r>
      <w:r>
        <w:rPr>
          <w:rStyle w:val="Section Number"/>
          <w:rtl w:val="1"/>
          <w:lang w:val="ar-SA" w:bidi="ar-SA"/>
        </w:rPr>
        <w:t>“</w:t>
      </w:r>
      <w:r>
        <w:rPr>
          <w:rStyle w:val="Section Number"/>
          <w:rtl w:val="0"/>
        </w:rPr>
        <w:t>schema drift</w:t>
      </w:r>
      <w:r>
        <w:rPr>
          <w:rStyle w:val="Section Number"/>
          <w:rtl w:val="0"/>
        </w:rPr>
        <w:t xml:space="preserve">” </w:t>
      </w:r>
      <w:r>
        <w:rPr>
          <w:rStyle w:val="Section Number"/>
          <w:rtl w:val="0"/>
          <w:lang w:val="es-ES_tradnl"/>
        </w:rPr>
        <w:t>scenarios (</w:t>
      </w:r>
      <w:r>
        <w:rPr>
          <w:rStyle w:val="Hyperlink.0"/>
        </w:rPr>
        <w:fldChar w:fldCharType="begin" w:fldLock="0"/>
      </w:r>
      <w:r>
        <w:rPr>
          <w:rStyle w:val="Hyperlink.0"/>
        </w:rPr>
        <w:instrText xml:space="preserve"> HYPERLINK \l "refbattula2025" </w:instrText>
      </w:r>
      <w:r>
        <w:rPr>
          <w:rStyle w:val="Hyperlink.0"/>
        </w:rPr>
        <w:fldChar w:fldCharType="separate" w:fldLock="0"/>
      </w:r>
      <w:r>
        <w:rPr>
          <w:rStyle w:val="Hyperlink.0"/>
          <w:rtl w:val="0"/>
        </w:rPr>
        <w:t>134</w:t>
      </w:r>
      <w:r>
        <w:rPr/>
        <w:fldChar w:fldCharType="end" w:fldLock="0"/>
      </w:r>
      <w:r>
        <w:rPr>
          <w:rStyle w:val="Section Number"/>
          <w:rtl w:val="0"/>
          <w:lang w:val="en-US"/>
        </w:rPr>
        <w:t xml:space="preserve">). However, the </w:t>
      </w:r>
      <w:r>
        <w:rPr>
          <w:rStyle w:val="Section Number"/>
          <w:rtl w:val="1"/>
          <w:lang w:val="ar-SA" w:bidi="ar-SA"/>
        </w:rPr>
        <w:t>“</w:t>
      </w:r>
      <w:r>
        <w:rPr>
          <w:rStyle w:val="Section Number"/>
          <w:rtl w:val="0"/>
          <w:lang w:val="en-US"/>
        </w:rPr>
        <w:t>semantic gap</w:t>
      </w:r>
      <w:r>
        <w:rPr>
          <w:rStyle w:val="Section Number"/>
          <w:rtl w:val="0"/>
        </w:rPr>
        <w:t xml:space="preserve">” </w:t>
      </w:r>
      <w:r>
        <w:rPr>
          <w:rStyle w:val="Section Number"/>
          <w:rtl w:val="0"/>
          <w:lang w:val="en-US"/>
        </w:rPr>
        <w:t>remains a fundamental challenge; medical concepts are inherently volatile, making stable References for programmers elusive (</w:t>
      </w:r>
      <w:r>
        <w:rPr>
          <w:rStyle w:val="Hyperlink.0"/>
        </w:rPr>
        <w:fldChar w:fldCharType="begin" w:fldLock="0"/>
      </w:r>
      <w:r>
        <w:rPr>
          <w:rStyle w:val="Hyperlink.0"/>
        </w:rPr>
        <w:instrText xml:space="preserve"> HYPERLINK \l "reflenz2007" </w:instrText>
      </w:r>
      <w:r>
        <w:rPr>
          <w:rStyle w:val="Hyperlink.0"/>
        </w:rPr>
        <w:fldChar w:fldCharType="separate" w:fldLock="0"/>
      </w:r>
      <w:r>
        <w:rPr>
          <w:rStyle w:val="Hyperlink.0"/>
          <w:rtl w:val="0"/>
        </w:rPr>
        <w:t>128</w:t>
      </w:r>
      <w:r>
        <w:rPr/>
        <w:fldChar w:fldCharType="end" w:fldLock="0"/>
      </w:r>
      <w:r>
        <w:rPr>
          <w:rStyle w:val="Section Number"/>
          <w:rtl w:val="0"/>
        </w:rPr>
        <w:t>).</w:t>
      </w:r>
    </w:p>
    <w:p>
      <w:pPr>
        <w:pStyle w:val="Body"/>
        <w:numPr>
          <w:ilvl w:val="0"/>
          <w:numId w:val="2"/>
        </w:numPr>
        <w:rPr>
          <w:lang w:val="it-IT"/>
        </w:rPr>
      </w:pPr>
      <w:r>
        <w:rPr>
          <w:rFonts w:ascii="Aptos" w:cs="Aptos" w:hAnsi="Aptos" w:eastAsia="Aptos"/>
          <w:i w:val="1"/>
          <w:iCs w:val="1"/>
          <w:rtl w:val="0"/>
          <w:lang w:val="it-IT"/>
        </w:rPr>
        <w:t>Passive vs.</w:t>
      </w:r>
      <w:r>
        <w:rPr>
          <w:rFonts w:ascii="Aptos" w:cs="Aptos" w:hAnsi="Aptos" w:eastAsia="Aptos"/>
          <w:i w:val="1"/>
          <w:iCs w:val="1"/>
          <w:rtl w:val="0"/>
        </w:rPr>
        <w:t> </w:t>
      </w:r>
      <w:r>
        <w:rPr>
          <w:rFonts w:ascii="Aptos" w:cs="Aptos" w:hAnsi="Aptos" w:eastAsia="Aptos"/>
          <w:i w:val="1"/>
          <w:iCs w:val="1"/>
          <w:rtl w:val="0"/>
          <w:lang w:val="en-US"/>
        </w:rPr>
        <w:t>Active Capture</w:t>
      </w:r>
      <w:r>
        <w:rPr>
          <w:rStyle w:val="Section Number"/>
          <w:rtl w:val="0"/>
          <w:lang w:val="en-US"/>
        </w:rPr>
        <w:t>: Traditional knowledge management relies on passive capture (wikis, documentation) where users must stop working to document. Evidence suggests this negatively impacts participation and leads to inaccurate records due to cognitive load (</w:t>
      </w:r>
      <w:r>
        <w:rPr>
          <w:rStyle w:val="Hyperlink.0"/>
        </w:rPr>
        <w:fldChar w:fldCharType="begin" w:fldLock="0"/>
      </w:r>
      <w:r>
        <w:rPr>
          <w:rStyle w:val="Hyperlink.0"/>
        </w:rPr>
        <w:instrText xml:space="preserve"> HYPERLINK \l "refwhittaker2008" </w:instrText>
      </w:r>
      <w:r>
        <w:rPr>
          <w:rStyle w:val="Hyperlink.0"/>
        </w:rPr>
        <w:fldChar w:fldCharType="separate" w:fldLock="0"/>
      </w:r>
      <w:r>
        <w:rPr>
          <w:rStyle w:val="Hyperlink.0"/>
          <w:rtl w:val="0"/>
        </w:rPr>
        <w:t>105</w:t>
      </w:r>
      <w:r>
        <w:rPr/>
        <w:fldChar w:fldCharType="end" w:fldLock="0"/>
      </w:r>
      <w:r>
        <w:rPr>
          <w:rStyle w:val="Section Number"/>
          <w:rtl w:val="0"/>
          <w:lang w:val="en-US"/>
        </w:rPr>
        <w:t>). In contrast, conversational interfaces represent active capture (Active Validation) where the query itself is the documentation (</w:t>
      </w:r>
      <w:r>
        <w:rPr>
          <w:rStyle w:val="Hyperlink.0"/>
        </w:rPr>
        <w:fldChar w:fldCharType="begin" w:fldLock="0"/>
      </w:r>
      <w:r>
        <w:rPr>
          <w:rStyle w:val="Hyperlink.0"/>
        </w:rPr>
        <w:instrText xml:space="preserve"> HYPERLINK \l "refmoore2018" </w:instrText>
      </w:r>
      <w:r>
        <w:rPr>
          <w:rStyle w:val="Hyperlink.0"/>
        </w:rPr>
        <w:fldChar w:fldCharType="separate" w:fldLock="0"/>
      </w:r>
      <w:r>
        <w:rPr>
          <w:rStyle w:val="Hyperlink.0"/>
          <w:rtl w:val="0"/>
        </w:rPr>
        <w:t>107</w:t>
      </w:r>
      <w:r>
        <w:rPr/>
        <w:fldChar w:fldCharType="end" w:fldLock="0"/>
      </w:r>
      <w:r>
        <w:rPr>
          <w:rStyle w:val="Section Number"/>
          <w:rtl w:val="0"/>
          <w:lang w:val="en-US"/>
        </w:rPr>
        <w:t>), integrating knowledge preservation directly into the analytical workflow.</w:t>
      </w:r>
    </w:p>
    <w:p>
      <w:pPr>
        <w:pStyle w:val="Body"/>
        <w:numPr>
          <w:ilvl w:val="0"/>
          <w:numId w:val="2"/>
        </w:numPr>
        <w:rPr>
          <w:lang w:val="pt-PT"/>
        </w:rPr>
      </w:pPr>
      <w:r>
        <w:rPr>
          <w:rFonts w:ascii="Aptos" w:cs="Aptos" w:hAnsi="Aptos" w:eastAsia="Aptos"/>
          <w:i w:val="1"/>
          <w:iCs w:val="1"/>
          <w:rtl w:val="0"/>
          <w:lang w:val="pt-PT"/>
        </w:rPr>
        <w:t>Governance vs.</w:t>
      </w:r>
      <w:r>
        <w:rPr>
          <w:rFonts w:ascii="Aptos" w:cs="Aptos" w:hAnsi="Aptos" w:eastAsia="Aptos"/>
          <w:i w:val="1"/>
          <w:iCs w:val="1"/>
          <w:rtl w:val="0"/>
        </w:rPr>
        <w:t> </w:t>
      </w:r>
      <w:r>
        <w:rPr>
          <w:rFonts w:ascii="Aptos" w:cs="Aptos" w:hAnsi="Aptos" w:eastAsia="Aptos"/>
          <w:i w:val="1"/>
          <w:iCs w:val="1"/>
          <w:rtl w:val="0"/>
          <w:lang w:val="en-US"/>
        </w:rPr>
        <w:t>Shadow IT</w:t>
      </w:r>
      <w:r>
        <w:rPr>
          <w:rStyle w:val="Section Number"/>
          <w:rtl w:val="0"/>
          <w:lang w:val="en-US"/>
        </w:rPr>
        <w:t>: Rigid, centralized models often drive analysts toward Shadow IT (extracting raw data to Excel) to achieve flexibility, defeating governance goals (</w:t>
      </w:r>
      <w:r>
        <w:rPr>
          <w:rStyle w:val="Hyperlink.0"/>
        </w:rPr>
        <w:fldChar w:fldCharType="begin" w:fldLock="0"/>
      </w:r>
      <w:r>
        <w:rPr>
          <w:rStyle w:val="Hyperlink.0"/>
        </w:rPr>
        <w:instrText xml:space="preserve"> HYPERLINK \l "refzimmermann2017" </w:instrText>
      </w:r>
      <w:r>
        <w:rPr>
          <w:rStyle w:val="Hyperlink.0"/>
        </w:rPr>
        <w:fldChar w:fldCharType="separate" w:fldLock="0"/>
      </w:r>
      <w:r>
        <w:rPr>
          <w:rStyle w:val="Hyperlink.0"/>
          <w:rtl w:val="0"/>
        </w:rPr>
        <w:t>135</w:t>
      </w:r>
      <w:r>
        <w:rPr/>
        <w:fldChar w:fldCharType="end" w:fldLock="0"/>
      </w:r>
      <w:r>
        <w:rPr>
          <w:rStyle w:val="Section Number"/>
          <w:rtl w:val="0"/>
          <w:lang w:val="en-US"/>
        </w:rPr>
        <w:t>). However, Shadow IT persists because it provides significant agility benefits, circumvents IT backlogs, and adds immediate value to business workgroups (</w:t>
      </w:r>
      <w:r>
        <w:rPr>
          <w:rStyle w:val="Hyperlink.0"/>
        </w:rPr>
        <w:fldChar w:fldCharType="begin" w:fldLock="0"/>
      </w:r>
      <w:r>
        <w:rPr>
          <w:rStyle w:val="Hyperlink.0"/>
        </w:rPr>
        <w:instrText xml:space="preserve"> HYPERLINK \l "refzimmermann2017" </w:instrText>
      </w:r>
      <w:r>
        <w:rPr>
          <w:rStyle w:val="Hyperlink.0"/>
        </w:rPr>
        <w:fldChar w:fldCharType="separate" w:fldLock="0"/>
      </w:r>
      <w:r>
        <w:rPr>
          <w:rStyle w:val="Hyperlink.0"/>
          <w:rtl w:val="0"/>
        </w:rPr>
        <w:t>135</w:t>
      </w:r>
      <w:r>
        <w:rPr/>
        <w:fldChar w:fldCharType="end" w:fldLock="0"/>
      </w:r>
      <w:r>
        <w:rPr>
          <w:rStyle w:val="Section Number"/>
          <w:rtl w:val="0"/>
        </w:rPr>
        <w:t>,</w:t>
      </w:r>
      <w:r>
        <w:rPr>
          <w:rStyle w:val="Hyperlink.0"/>
        </w:rPr>
        <w:fldChar w:fldCharType="begin" w:fldLock="0"/>
      </w:r>
      <w:r>
        <w:rPr>
          <w:rStyle w:val="Hyperlink.0"/>
        </w:rPr>
        <w:instrText xml:space="preserve"> HYPERLINK \l "refrivard1987" </w:instrText>
      </w:r>
      <w:r>
        <w:rPr>
          <w:rStyle w:val="Hyperlink.0"/>
        </w:rPr>
        <w:fldChar w:fldCharType="separate" w:fldLock="0"/>
      </w:r>
      <w:r>
        <w:rPr>
          <w:rStyle w:val="Hyperlink.0"/>
          <w:rtl w:val="0"/>
        </w:rPr>
        <w:t>136</w:t>
      </w:r>
      <w:r>
        <w:rPr/>
        <w:fldChar w:fldCharType="end" w:fldLock="0"/>
      </w:r>
      <w:r>
        <w:rPr>
          <w:rStyle w:val="Section Number"/>
          <w:rtl w:val="0"/>
          <w:lang w:val="en-US"/>
        </w:rPr>
        <w:t>). Spreadsheet-based components allow for rapid, local responsiveness to changing requirements (</w:t>
      </w:r>
      <w:r>
        <w:rPr>
          <w:rStyle w:val="Hyperlink.0"/>
        </w:rPr>
        <w:fldChar w:fldCharType="begin" w:fldLock="0"/>
      </w:r>
      <w:r>
        <w:rPr>
          <w:rStyle w:val="Hyperlink.0"/>
        </w:rPr>
        <w:instrText xml:space="preserve"> HYPERLINK \l "refkopper2020" </w:instrText>
      </w:r>
      <w:r>
        <w:rPr>
          <w:rStyle w:val="Hyperlink.0"/>
        </w:rPr>
        <w:fldChar w:fldCharType="separate" w:fldLock="0"/>
      </w:r>
      <w:r>
        <w:rPr>
          <w:rStyle w:val="Hyperlink.0"/>
          <w:rtl w:val="0"/>
        </w:rPr>
        <w:t>137</w:t>
      </w:r>
      <w:r>
        <w:rPr/>
        <w:fldChar w:fldCharType="end" w:fldLock="0"/>
      </w:r>
      <w:r>
        <w:rPr>
          <w:rStyle w:val="Section Number"/>
          <w:rtl w:val="0"/>
          <w:lang w:val="en-US"/>
        </w:rPr>
        <w:t>). Conversational interfaces offer a middle path: providing the flexibility and timeliness of Shadow IT within the governance perimeter of the validated query cycle (</w:t>
      </w:r>
      <w:r>
        <w:rPr>
          <w:rStyle w:val="Hyperlink.0"/>
        </w:rPr>
        <w:fldChar w:fldCharType="begin" w:fldLock="0"/>
      </w:r>
      <w:r>
        <w:rPr>
          <w:rStyle w:val="Hyperlink.0"/>
        </w:rPr>
        <w:instrText xml:space="preserve"> HYPERLINK \l "refoliveira2023" </w:instrText>
      </w:r>
      <w:r>
        <w:rPr>
          <w:rStyle w:val="Hyperlink.0"/>
        </w:rPr>
        <w:fldChar w:fldCharType="separate" w:fldLock="0"/>
      </w:r>
      <w:r>
        <w:rPr>
          <w:rStyle w:val="Hyperlink.0"/>
          <w:rtl w:val="0"/>
        </w:rPr>
        <w:t>129</w:t>
      </w:r>
      <w:r>
        <w:rPr/>
        <w:fldChar w:fldCharType="end" w:fldLock="0"/>
      </w:r>
      <w:r>
        <w:rPr>
          <w:rStyle w:val="Section Number"/>
          <w:rtl w:val="0"/>
          <w:lang w:val="en-US"/>
        </w:rPr>
        <w:t>). This approach aligns with recent evidence from UC Davis Health, where establishing standardized definitions enabled the organization to advance from AMAM Stage 0 to Stage 6 while weeding out biased AI models (</w:t>
      </w:r>
      <w:r>
        <w:rPr>
          <w:rStyle w:val="Hyperlink.0"/>
        </w:rPr>
        <w:fldChar w:fldCharType="begin" w:fldLock="0"/>
      </w:r>
      <w:r>
        <w:rPr>
          <w:rStyle w:val="Hyperlink.0"/>
        </w:rPr>
        <w:instrText xml:space="preserve"> HYPERLINK \l "refhimss2025ucdavis" </w:instrText>
      </w:r>
      <w:r>
        <w:rPr>
          <w:rStyle w:val="Hyperlink.0"/>
        </w:rPr>
        <w:fldChar w:fldCharType="separate" w:fldLock="0"/>
      </w:r>
      <w:r>
        <w:rPr>
          <w:rStyle w:val="Hyperlink.0"/>
          <w:rtl w:val="0"/>
        </w:rPr>
        <w:t>127</w:t>
      </w:r>
      <w:r>
        <w:rPr/>
        <w:fldChar w:fldCharType="end" w:fldLock="0"/>
      </w:r>
      <w:r>
        <w:rPr>
          <w:rStyle w:val="Section Number"/>
          <w:rtl w:val="0"/>
          <w:lang w:val="en-US"/>
        </w:rPr>
        <w:t xml:space="preserve">). By decoupling data access from data definition, organizations can democratize the </w:t>
      </w:r>
      <w:r>
        <w:rPr>
          <w:rFonts w:ascii="Aptos" w:cs="Aptos" w:hAnsi="Aptos" w:eastAsia="Aptos"/>
          <w:i w:val="1"/>
          <w:iCs w:val="1"/>
          <w:rtl w:val="0"/>
          <w:lang w:val="en-US"/>
        </w:rPr>
        <w:t>consumption</w:t>
      </w:r>
      <w:r>
        <w:rPr>
          <w:rStyle w:val="Section Number"/>
          <w:rtl w:val="0"/>
          <w:lang w:val="en-US"/>
        </w:rPr>
        <w:t xml:space="preserve"> of analytics without democratizing the </w:t>
      </w:r>
      <w:r>
        <w:rPr>
          <w:rFonts w:ascii="Aptos" w:cs="Aptos" w:hAnsi="Aptos" w:eastAsia="Aptos"/>
          <w:i w:val="1"/>
          <w:iCs w:val="1"/>
          <w:rtl w:val="0"/>
          <w:lang w:val="en-US"/>
        </w:rPr>
        <w:t>creation</w:t>
      </w:r>
      <w:r>
        <w:rPr>
          <w:rStyle w:val="Section Number"/>
          <w:rtl w:val="0"/>
          <w:lang w:val="en-US"/>
        </w:rPr>
        <w:t xml:space="preserve"> of potentially flawed metrics.</w:t>
      </w:r>
      <w:bookmarkEnd w:id="141"/>
    </w:p>
    <w:p>
      <w:pPr>
        <w:pStyle w:val="Heading 3"/>
      </w:pPr>
      <w:bookmarkStart w:name="_Toc71" w:id="142"/>
      <w:bookmarkStart w:name="X576f0f1b7df5a8b230b393ea2f56be8ec058506" w:id="143"/>
      <w:r>
        <w:rPr>
          <w:rStyle w:val="Section Number"/>
          <w:rtl w:val="0"/>
          <w:lang w:val="en-US"/>
        </w:rPr>
        <w:t>5.4.3</w:t>
        <w:tab/>
        <w:t>Lifecycle Management: Continuous Analytic Integration</w:t>
      </w:r>
      <w:bookmarkEnd w:id="142"/>
    </w:p>
    <w:p>
      <w:pPr>
        <w:pStyle w:val="First Paragraph"/>
      </w:pPr>
      <w:r>
        <w:rPr>
          <w:rStyle w:val="Section Number"/>
          <w:rtl w:val="0"/>
          <w:lang w:val="en-US"/>
        </w:rPr>
        <w:t xml:space="preserve">Leveraging the property of Executability, a validated SQL query is treated not as a static artifact but as a software asset within a CI/CD pipeline. In healthcare, database schemas (Epic, Cerner, OMOP) change frequently, breaking </w:t>
      </w:r>
      <w:r>
        <w:rPr>
          <w:rStyle w:val="Section Number"/>
          <w:rtl w:val="0"/>
          <w:lang w:val="en-US"/>
        </w:rPr>
        <w:t>“</w:t>
      </w:r>
      <w:r>
        <w:rPr>
          <w:rStyle w:val="Section Number"/>
          <w:rtl w:val="0"/>
          <w:lang w:val="en-US"/>
        </w:rPr>
        <w:t>frozen</w:t>
      </w:r>
      <w:r>
        <w:rPr>
          <w:rStyle w:val="Section Number"/>
          <w:rtl w:val="0"/>
          <w:lang w:val="en-US"/>
        </w:rPr>
        <w:t xml:space="preserve">” </w:t>
      </w:r>
      <w:r>
        <w:rPr>
          <w:rStyle w:val="Section Number"/>
          <w:rtl w:val="0"/>
          <w:lang w:val="en-US"/>
        </w:rPr>
        <w:t xml:space="preserve">code. To address </w:t>
      </w:r>
      <w:r>
        <w:rPr>
          <w:rStyle w:val="Section Number"/>
          <w:rtl w:val="0"/>
          <w:lang w:val="en-US"/>
        </w:rPr>
        <w:t>“</w:t>
      </w:r>
      <w:r>
        <w:rPr>
          <w:rStyle w:val="Section Number"/>
          <w:rtl w:val="0"/>
          <w:lang w:val="en-US"/>
        </w:rPr>
        <w:t>Schema Drift,</w:t>
      </w:r>
      <w:r>
        <w:rPr>
          <w:rStyle w:val="Section Number"/>
          <w:rtl w:val="0"/>
          <w:lang w:val="en-US"/>
        </w:rPr>
        <w:t xml:space="preserve">” </w:t>
      </w:r>
      <w:r>
        <w:rPr>
          <w:rStyle w:val="Section Number"/>
          <w:rtl w:val="0"/>
          <w:lang w:val="en-US"/>
        </w:rPr>
        <w:t xml:space="preserve">analytics must adopt principles from software engineering: </w:t>
      </w:r>
      <w:r>
        <w:rPr>
          <w:rFonts w:ascii="Aptos" w:cs="Aptos" w:hAnsi="Aptos" w:eastAsia="Aptos"/>
          <w:i w:val="1"/>
          <w:iCs w:val="1"/>
          <w:rtl w:val="0"/>
          <w:lang w:val="en-US"/>
        </w:rPr>
        <w:t>Continuous Analytic Integration</w:t>
      </w:r>
      <w:r>
        <w:rPr>
          <w:rStyle w:val="Section Number"/>
          <w:rtl w:val="0"/>
          <w:lang w:val="en-US"/>
        </w:rPr>
        <w:t>.</w:t>
      </w:r>
    </w:p>
    <w:p>
      <w:pPr>
        <w:pStyle w:val="Body Text"/>
      </w:pPr>
      <w:r>
        <w:rPr>
          <w:rStyle w:val="Section Number"/>
          <w:rtl w:val="0"/>
          <w:lang w:val="en-US"/>
        </w:rPr>
        <w:t xml:space="preserve">In this approach, Validated Query Triples are managed not as wiki entries but as software assets within a CI/CD pipeline. When the data warehouse schema is updated (e.g., a quarterly EHR upgrade), the system automatically re-runs the library of stored queries. Queries that fail or return anomalous results are flagged for review. This transforms </w:t>
      </w:r>
      <w:r>
        <w:rPr>
          <w:rStyle w:val="Section Number"/>
          <w:rtl w:val="0"/>
          <w:lang w:val="en-US"/>
        </w:rPr>
        <w:t>“</w:t>
      </w:r>
      <w:r>
        <w:rPr>
          <w:rStyle w:val="Section Number"/>
          <w:rtl w:val="0"/>
          <w:lang w:val="en-US"/>
        </w:rPr>
        <w:t>Institutional Memory</w:t>
      </w:r>
      <w:r>
        <w:rPr>
          <w:rStyle w:val="Section Number"/>
          <w:rtl w:val="0"/>
          <w:lang w:val="en-US"/>
        </w:rPr>
        <w:t xml:space="preserve">” </w:t>
      </w:r>
      <w:r>
        <w:rPr>
          <w:rStyle w:val="Section Number"/>
          <w:rtl w:val="0"/>
          <w:lang w:val="en-US"/>
        </w:rPr>
        <w:t>from a stagnant repository into a living, automated test suite that actively signals when organizational knowledge has drifted from technical reality.</w:t>
      </w:r>
      <w:bookmarkEnd w:id="143"/>
    </w:p>
    <w:p>
      <w:pPr>
        <w:pStyle w:val="Heading 2"/>
      </w:pPr>
      <w:bookmarkStart w:name="_Toc72" w:id="144"/>
      <w:bookmarkStart w:name="X0aa7bb3b58f8db9a69ec35d945c6ed7dec8b3d3" w:id="145"/>
      <w:r>
        <w:rPr>
          <w:rStyle w:val="Section Number"/>
          <w:rtl w:val="0"/>
          <w:lang w:val="en-US"/>
        </w:rPr>
        <w:t>5.5</w:t>
        <w:tab/>
        <w:t>Strategic Implications for Healthcare Organizations</w:t>
      </w:r>
      <w:bookmarkEnd w:id="144"/>
    </w:p>
    <w:p>
      <w:pPr>
        <w:pStyle w:val="First Paragraph"/>
      </w:pPr>
      <w:r>
        <w:rPr>
          <w:rStyle w:val="Section Number"/>
          <w:rtl w:val="0"/>
          <w:lang w:val="en-US"/>
        </w:rPr>
        <w:t>The evidence has implications for healthcare leaders considering analytics strategy:</w:t>
      </w:r>
      <w:bookmarkEnd w:id="145"/>
    </w:p>
    <w:p>
      <w:pPr>
        <w:pStyle w:val="Heading 3"/>
      </w:pPr>
      <w:bookmarkStart w:name="_Toc73" w:id="146"/>
      <w:bookmarkStart w:name="Xdd9df5df0f56f6aa866ccad66a0eaf365b0194b" w:id="147"/>
      <w:r>
        <w:rPr>
          <w:rStyle w:val="Section Number"/>
          <w:rtl w:val="0"/>
          <w:lang w:val="en-US"/>
        </w:rPr>
        <w:t>5.5.1</w:t>
        <w:tab/>
        <w:t>Applying the Framework: A Three-Pillar Assessment</w:t>
      </w:r>
      <w:bookmarkEnd w:id="146"/>
    </w:p>
    <w:p>
      <w:pPr>
        <w:pStyle w:val="First Paragraph"/>
      </w:pPr>
      <w:r>
        <w:rPr>
          <w:rStyle w:val="Section Number"/>
          <w:rtl w:val="0"/>
          <w:lang w:val="en-US"/>
        </w:rPr>
        <w:t>The three-pillar framework provides a structured approach for organizational self-assessment:</w:t>
      </w:r>
      <w:bookmarkEnd w:id="147"/>
    </w:p>
    <w:p>
      <w:pPr>
        <w:pStyle w:val="heading 4"/>
      </w:pPr>
      <w:bookmarkStart w:name="pillar1assessmentanalyticsmaturity" w:id="148"/>
      <w:r>
        <w:rPr>
          <w:rStyle w:val="Section Number"/>
          <w:rtl w:val="0"/>
          <w:lang w:val="en-US"/>
        </w:rPr>
        <w:t>5.5.1.1</w:t>
        <w:tab/>
        <w:t>Pillar 1 Assessment: Analytics Maturity</w:t>
      </w:r>
    </w:p>
    <w:p>
      <w:pPr>
        <w:pStyle w:val="First Paragraph"/>
      </w:pPr>
      <w:r>
        <w:rPr>
          <w:rStyle w:val="Section Number"/>
          <w:rtl w:val="0"/>
          <w:lang w:val="en-US"/>
        </w:rPr>
        <w:t>Where does the organization currently stand on the HIMSS AMAM scale? What capabilities are needed to advance?</w:t>
      </w:r>
      <w:bookmarkEnd w:id="148"/>
    </w:p>
    <w:p>
      <w:pPr>
        <w:pStyle w:val="heading 4"/>
      </w:pPr>
      <w:bookmarkStart w:name="pillar2assessmentworkforceagility" w:id="149"/>
      <w:r>
        <w:rPr>
          <w:rStyle w:val="Section Number"/>
          <w:rtl w:val="0"/>
          <w:lang w:val="en-US"/>
        </w:rPr>
        <w:t>5.5.1.2</w:t>
        <w:tab/>
        <w:t>Pillar 2 Assessment: Workforce Agility</w:t>
      </w:r>
    </w:p>
    <w:p>
      <w:pPr>
        <w:pStyle w:val="First Paragraph"/>
      </w:pPr>
      <w:r>
        <w:rPr>
          <w:rStyle w:val="Section Number"/>
          <w:rtl w:val="0"/>
          <w:lang w:val="en-US"/>
        </w:rPr>
        <w:t>What tacit knowledge resides with individual staff members? How vulnerable is the organization to knowledge loss through turnover?</w:t>
      </w:r>
      <w:bookmarkEnd w:id="149"/>
    </w:p>
    <w:p>
      <w:pPr>
        <w:pStyle w:val="heading 4"/>
      </w:pPr>
      <w:bookmarkStart w:name="pillar3assessmenttechnicalenablement" w:id="150"/>
      <w:r>
        <w:rPr>
          <w:rStyle w:val="Section Number"/>
          <w:rtl w:val="0"/>
          <w:lang w:val="en-US"/>
        </w:rPr>
        <w:t>5.5.1.3</w:t>
        <w:tab/>
        <w:t>Pillar 3 Assessment: Technical Enablement</w:t>
      </w:r>
    </w:p>
    <w:p>
      <w:pPr>
        <w:pStyle w:val="First Paragraph"/>
      </w:pPr>
      <w:r>
        <w:rPr>
          <w:rStyle w:val="Section Number"/>
          <w:rtl w:val="0"/>
          <w:lang w:val="en-US"/>
        </w:rPr>
        <w:t>What technical skills are currently required for data access? Which clinical questions go unanswered due to access barriers?</w:t>
      </w:r>
      <w:bookmarkEnd w:id="150"/>
    </w:p>
    <w:p>
      <w:pPr>
        <w:pStyle w:val="Heading 3"/>
      </w:pPr>
      <w:bookmarkStart w:name="_Toc74" w:id="151"/>
      <w:bookmarkStart w:name="threepillarassessmentrubric" w:id="152"/>
      <w:r>
        <w:rPr>
          <w:rStyle w:val="Section Number"/>
          <w:rtl w:val="0"/>
          <w:lang w:val="en-US"/>
        </w:rPr>
        <w:t>5.5.2</w:t>
        <w:tab/>
        <w:t>Three-Pillar Assessment Rubric</w:t>
      </w:r>
      <w:bookmarkEnd w:id="151"/>
    </w:p>
    <w:p>
      <w:pPr>
        <w:pStyle w:val="First Paragraph"/>
      </w:pPr>
      <w:r>
        <w:rPr>
          <w:rStyle w:val="Section Number"/>
          <w:rtl w:val="0"/>
          <w:lang w:val="en-US"/>
        </w:rPr>
        <w:t xml:space="preserve">The three-pillar framework enables organizational self-assessment to determine readiness for and potential benefit from NL2SQL and conversational AI interventions. Table 4 provides an evidence-based rubric where each indicator anchors to reviewed literature. Organizations scoring predominantly </w:t>
      </w:r>
      <w:r>
        <w:rPr>
          <w:rStyle w:val="Section Number"/>
          <w:rtl w:val="0"/>
          <w:lang w:val="en-US"/>
        </w:rPr>
        <w:t>“</w:t>
      </w:r>
      <w:r>
        <w:rPr>
          <w:rStyle w:val="Section Number"/>
          <w:rtl w:val="0"/>
          <w:lang w:val="en-US"/>
        </w:rPr>
        <w:t>Low Strength</w:t>
      </w:r>
      <w:r>
        <w:rPr>
          <w:rStyle w:val="Section Number"/>
          <w:rtl w:val="0"/>
          <w:lang w:val="en-US"/>
        </w:rPr>
        <w:t xml:space="preserve">” </w:t>
      </w:r>
      <w:r>
        <w:rPr>
          <w:rStyle w:val="Section Number"/>
          <w:rtl w:val="0"/>
          <w:lang w:val="en-US"/>
        </w:rPr>
        <w:t>across pillars face compounding challenges that NL2SQL platforms are specifically designed to address: democratizing data access (Technical Barriers), preserving institutional knowledge (Workforce Dynamics), and accelerating maturity advancement (Analytics Maturity).</w:t>
      </w:r>
      <w:r>
        <w:rPr>
          <w:rStyle w:val="Section Number"/>
        </w:rPr>
        <w:br w:type="textWrapping"/>
        <w:br w:type="textWrapping"/>
        <w:br w:type="textWrapping"/>
        <w:br w:type="textWrapping"/>
      </w:r>
    </w:p>
    <w:p>
      <w:pPr>
        <w:pStyle w:val="Body Text"/>
        <w:rPr>
          <w:i w:val="1"/>
          <w:iCs w:val="1"/>
        </w:rPr>
      </w:pPr>
      <w:r>
        <w:rPr>
          <w:i w:val="1"/>
          <w:iCs w:val="1"/>
          <w:rtl w:val="0"/>
          <w:lang w:val="en-US"/>
        </w:rPr>
        <w:t>Table 4: Three-Pillar Organizational Assessment Rubric</w:t>
      </w:r>
    </w:p>
    <w:p>
      <w:pPr>
        <w:pStyle w:val="Body Text"/>
        <w:rPr>
          <w:i w:val="1"/>
          <w:iCs w:val="1"/>
        </w:rPr>
      </w:pPr>
      <w:r>
        <w:rPr>
          <w:i w:val="1"/>
          <w:iCs w:val="1"/>
          <w:rtl w:val="0"/>
          <w:lang w:val="en-US"/>
        </w:rPr>
        <w:t>Pillar 1: Analytics Maturity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23"/>
        <w:gridCol w:w="2071"/>
        <w:gridCol w:w="2185"/>
        <w:gridCol w:w="2273"/>
        <w:gridCol w:w="1208"/>
      </w:tblGrid>
      <w:tr>
        <w:tblPrEx>
          <w:shd w:val="clear" w:color="auto" w:fill="156082"/>
        </w:tblPrEx>
        <w:trPr>
          <w:trHeight w:val="280" w:hRule="atLeast"/>
          <w:tblHeader/>
        </w:trPr>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Indicator</w:t>
            </w:r>
          </w:p>
        </w:tc>
        <w:tc>
          <w:tcPr>
            <w:tcW w:type="dxa" w:w="20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Low Strength (1)</w:t>
            </w:r>
          </w:p>
        </w:tc>
        <w:tc>
          <w:tcPr>
            <w:tcW w:type="dxa" w:w="21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 Strength (2)</w:t>
            </w:r>
          </w:p>
        </w:tc>
        <w:tc>
          <w:tcPr>
            <w:tcW w:type="dxa" w:w="22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 Strength (3)</w:t>
            </w:r>
          </w:p>
        </w:tc>
        <w:tc>
          <w:tcPr>
            <w:tcW w:type="dxa" w:w="1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Evidence</w:t>
            </w:r>
          </w:p>
        </w:tc>
      </w:tr>
      <w:tr>
        <w:tblPrEx>
          <w:shd w:val="clear" w:color="auto" w:fill="cad1d7"/>
        </w:tblPrEx>
        <w:trPr>
          <w:trHeight w:val="1400" w:hRule="atLeast"/>
        </w:trPr>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HIMSS AMAM Stage</w:t>
            </w:r>
          </w:p>
        </w:tc>
        <w:tc>
          <w:tcPr>
            <w:tcW w:type="dxa" w:w="20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Stages 0-2: Fragmented data, limited reporting</w:t>
            </w:r>
          </w:p>
        </w:tc>
        <w:tc>
          <w:tcPr>
            <w:tcW w:type="dxa" w:w="21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Stages 3-4: Integrated warehouse, standardized definitions</w:t>
            </w:r>
          </w:p>
        </w:tc>
        <w:tc>
          <w:tcPr>
            <w:tcW w:type="dxa" w:w="22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Stages 5-7: Predictive analytics, AI integration</w:t>
            </w:r>
          </w:p>
        </w:tc>
        <w:tc>
          <w:tcPr>
            <w:tcW w:type="dxa" w:w="1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"refhimss2024" </w:instrText>
            </w:r>
            <w:r>
              <w:rPr>
                <w:rStyle w:val="Hyperlink.1"/>
                <w:u w:val="none"/>
                <w:shd w:val="nil" w:color="auto" w:fill="auto"/>
                <w:lang w:val="en-US"/>
              </w:rPr>
              <w:fldChar w:fldCharType="separate" w:fldLock="0"/>
            </w:r>
            <w:r>
              <w:rPr>
                <w:rStyle w:val="Hyperlink.1"/>
                <w:u w:val="none"/>
                <w:shd w:val="nil" w:color="auto" w:fill="auto"/>
                <w:rtl w:val="0"/>
                <w:lang w:val="en-US"/>
              </w:rPr>
              <w:t>2</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"refhealth2020" </w:instrText>
            </w:r>
            <w:r>
              <w:rPr>
                <w:rStyle w:val="Hyperlink.1"/>
                <w:u w:val="none"/>
                <w:shd w:val="nil" w:color="auto" w:fill="auto"/>
                <w:lang w:val="en-US"/>
              </w:rPr>
              <w:fldChar w:fldCharType="separate" w:fldLock="0"/>
            </w:r>
            <w:r>
              <w:rPr>
                <w:rStyle w:val="Hyperlink.1"/>
                <w:u w:val="none"/>
                <w:shd w:val="nil" w:color="auto" w:fill="auto"/>
                <w:rtl w:val="0"/>
                <w:lang w:val="en-US"/>
              </w:rPr>
              <w:t>23</w:t>
            </w:r>
            <w:r>
              <w:rPr/>
              <w:fldChar w:fldCharType="end" w:fldLock="0"/>
            </w:r>
            <w:r>
              <w:rPr>
                <w:shd w:val="nil" w:color="auto" w:fill="auto"/>
                <w:rtl w:val="0"/>
                <w:lang w:val="en-US"/>
              </w:rPr>
              <w:t>)</w:t>
            </w:r>
          </w:p>
        </w:tc>
      </w:tr>
      <w:tr>
        <w:tblPrEx>
          <w:shd w:val="clear" w:color="auto" w:fill="cad1d7"/>
        </w:tblPrEx>
        <w:trPr>
          <w:trHeight w:val="840" w:hRule="atLeast"/>
        </w:trPr>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Self-service analytics</w:t>
            </w:r>
          </w:p>
        </w:tc>
        <w:tc>
          <w:tcPr>
            <w:tcW w:type="dxa" w:w="20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None; all analytics require IT intervention</w:t>
            </w:r>
          </w:p>
        </w:tc>
        <w:tc>
          <w:tcPr>
            <w:tcW w:type="dxa" w:w="21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BI tools available but underutilized</w:t>
            </w:r>
          </w:p>
        </w:tc>
        <w:tc>
          <w:tcPr>
            <w:tcW w:type="dxa" w:w="22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Widespread; clinical staff access data directly</w:t>
            </w:r>
          </w:p>
        </w:tc>
        <w:tc>
          <w:tcPr>
            <w:tcW w:type="dxa" w:w="1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"refberkshire2024" </w:instrText>
            </w:r>
            <w:r>
              <w:rPr>
                <w:rStyle w:val="Hyperlink.1"/>
                <w:u w:val="none"/>
                <w:shd w:val="nil" w:color="auto" w:fill="auto"/>
                <w:lang w:val="en-US"/>
              </w:rPr>
              <w:fldChar w:fldCharType="separate" w:fldLock="0"/>
            </w:r>
            <w:r>
              <w:rPr>
                <w:rStyle w:val="Hyperlink.1"/>
                <w:u w:val="none"/>
                <w:shd w:val="nil" w:color="auto" w:fill="auto"/>
                <w:rtl w:val="0"/>
                <w:lang w:val="en-US"/>
              </w:rPr>
              <w:t>24</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"refwang2018" </w:instrText>
            </w:r>
            <w:r>
              <w:rPr>
                <w:rStyle w:val="Hyperlink.1"/>
                <w:u w:val="none"/>
                <w:shd w:val="nil" w:color="auto" w:fill="auto"/>
                <w:lang w:val="en-US"/>
              </w:rPr>
              <w:fldChar w:fldCharType="separate" w:fldLock="0"/>
            </w:r>
            <w:r>
              <w:rPr>
                <w:rStyle w:val="Hyperlink.1"/>
                <w:u w:val="none"/>
                <w:shd w:val="nil" w:color="auto" w:fill="auto"/>
                <w:rtl w:val="0"/>
                <w:lang w:val="en-US"/>
              </w:rPr>
              <w:t>39</w:t>
            </w:r>
            <w:r>
              <w:rPr/>
              <w:fldChar w:fldCharType="end" w:fldLock="0"/>
            </w:r>
            <w:r>
              <w:rPr>
                <w:shd w:val="nil" w:color="auto" w:fill="auto"/>
                <w:rtl w:val="0"/>
                <w:lang w:val="en-US"/>
              </w:rPr>
              <w:t>)</w:t>
            </w:r>
          </w:p>
        </w:tc>
      </w:tr>
      <w:tr>
        <w:tblPrEx>
          <w:shd w:val="clear" w:color="auto" w:fill="cad1d7"/>
        </w:tblPrEx>
        <w:trPr>
          <w:trHeight w:val="840" w:hRule="atLeast"/>
        </w:trPr>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AI/NL interface</w:t>
            </w:r>
          </w:p>
        </w:tc>
        <w:tc>
          <w:tcPr>
            <w:tcW w:type="dxa" w:w="20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NL2SQL or conversational analytics</w:t>
            </w:r>
          </w:p>
        </w:tc>
        <w:tc>
          <w:tcPr>
            <w:tcW w:type="dxa" w:w="21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Pilot programs or evaluation underway</w:t>
            </w:r>
          </w:p>
        </w:tc>
        <w:tc>
          <w:tcPr>
            <w:tcW w:type="dxa" w:w="22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Natural language query capability deployed</w:t>
            </w:r>
          </w:p>
        </w:tc>
        <w:tc>
          <w:tcPr>
            <w:tcW w:type="dxa" w:w="1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"refziletti2024" </w:instrText>
            </w:r>
            <w:r>
              <w:rPr>
                <w:rStyle w:val="Hyperlink.1"/>
                <w:u w:val="none"/>
                <w:shd w:val="nil" w:color="auto" w:fill="auto"/>
                <w:lang w:val="en-US"/>
              </w:rPr>
              <w:fldChar w:fldCharType="separate" w:fldLock="0"/>
            </w:r>
            <w:r>
              <w:rPr>
                <w:rStyle w:val="Hyperlink.1"/>
                <w:u w:val="none"/>
                <w:shd w:val="nil" w:color="auto" w:fill="auto"/>
                <w:rtl w:val="0"/>
                <w:lang w:val="en-US"/>
              </w:rPr>
              <w:t>20</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"refwang2020" </w:instrText>
            </w:r>
            <w:r>
              <w:rPr>
                <w:rStyle w:val="Hyperlink.1"/>
                <w:u w:val="none"/>
                <w:shd w:val="nil" w:color="auto" w:fill="auto"/>
                <w:lang w:val="en-US"/>
              </w:rPr>
              <w:fldChar w:fldCharType="separate" w:fldLock="0"/>
            </w:r>
            <w:r>
              <w:rPr>
                <w:rStyle w:val="Hyperlink.1"/>
                <w:u w:val="none"/>
                <w:shd w:val="nil" w:color="auto" w:fill="auto"/>
                <w:rtl w:val="0"/>
                <w:lang w:val="en-US"/>
              </w:rPr>
              <w:t>80</w:t>
            </w:r>
            <w:r>
              <w:rPr/>
              <w:fldChar w:fldCharType="end" w:fldLock="0"/>
            </w:r>
            <w:r>
              <w:rPr>
                <w:shd w:val="nil" w:color="auto" w:fill="auto"/>
                <w:rtl w:val="0"/>
                <w:lang w:val="en-US"/>
              </w:rPr>
              <w:t>)</w:t>
            </w:r>
          </w:p>
        </w:tc>
      </w:tr>
    </w:tbl>
    <w:p>
      <w:pPr>
        <w:pStyle w:val="Body Text"/>
        <w:widowControl w:val="0"/>
      </w:pPr>
    </w:p>
    <w:p>
      <w:pPr>
        <w:pStyle w:val="Body Text"/>
        <w:rPr>
          <w:i w:val="1"/>
          <w:iCs w:val="1"/>
        </w:rPr>
      </w:pPr>
      <w:r>
        <w:rPr>
          <w:i w:val="1"/>
          <w:iCs w:val="1"/>
          <w:rtl w:val="0"/>
          <w:lang w:val="en-US"/>
        </w:rPr>
        <w:t>Pillar 2: Workforce Agility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67"/>
        <w:gridCol w:w="2137"/>
        <w:gridCol w:w="2215"/>
        <w:gridCol w:w="2240"/>
        <w:gridCol w:w="1201"/>
      </w:tblGrid>
      <w:tr>
        <w:tblPrEx>
          <w:shd w:val="clear" w:color="auto" w:fill="156082"/>
        </w:tblPrEx>
        <w:trPr>
          <w:trHeight w:val="280" w:hRule="atLeast"/>
          <w:tblHeader/>
        </w:trPr>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Indicator</w:t>
            </w:r>
          </w:p>
        </w:tc>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Low Strength (1)</w:t>
            </w:r>
          </w:p>
        </w:tc>
        <w:tc>
          <w:tcPr>
            <w:tcW w:type="dxa" w:w="22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 Strength (2)</w:t>
            </w:r>
          </w:p>
        </w:tc>
        <w:tc>
          <w:tcPr>
            <w:tcW w:type="dxa" w:w="22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 Strength (3)</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Evidence</w:t>
            </w:r>
          </w:p>
        </w:tc>
      </w:tr>
      <w:tr>
        <w:tblPrEx>
          <w:shd w:val="clear" w:color="auto" w:fill="cad1d7"/>
        </w:tblPrEx>
        <w:trPr>
          <w:trHeight w:val="840" w:hRule="atLeast"/>
        </w:trPr>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First-year Staff Turnover</w:t>
            </w:r>
          </w:p>
        </w:tc>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&gt;30% (High Instability)</w:t>
            </w:r>
          </w:p>
        </w:tc>
        <w:tc>
          <w:tcPr>
            <w:tcW w:type="dxa" w:w="22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15-30%</w:t>
            </w:r>
          </w:p>
        </w:tc>
        <w:tc>
          <w:tcPr>
            <w:tcW w:type="dxa" w:w="22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&lt;15% (High Stability)</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"refnsi2025" </w:instrText>
            </w:r>
            <w:r>
              <w:rPr>
                <w:rStyle w:val="Hyperlink.1"/>
                <w:u w:val="none"/>
                <w:shd w:val="nil" w:color="auto" w:fill="auto"/>
                <w:lang w:val="en-US"/>
              </w:rPr>
              <w:fldChar w:fldCharType="separate" w:fldLock="0"/>
            </w:r>
            <w:r>
              <w:rPr>
                <w:rStyle w:val="Hyperlink.1"/>
                <w:u w:val="none"/>
                <w:shd w:val="nil" w:color="auto" w:fill="auto"/>
                <w:rtl w:val="0"/>
                <w:lang w:val="en-US"/>
              </w:rPr>
              <w:t>73</w:t>
            </w:r>
            <w:r>
              <w:rPr/>
              <w:fldChar w:fldCharType="end" w:fldLock="0"/>
            </w:r>
            <w:r>
              <w:rPr>
                <w:shd w:val="nil" w:color="auto" w:fill="auto"/>
                <w:rtl w:val="0"/>
                <w:lang w:val="en-US"/>
              </w:rPr>
              <w:t>)</w:t>
            </w:r>
          </w:p>
        </w:tc>
      </w:tr>
      <w:tr>
        <w:tblPrEx>
          <w:shd w:val="clear" w:color="auto" w:fill="cad1d7"/>
        </w:tblPrEx>
        <w:trPr>
          <w:trHeight w:val="840" w:hRule="atLeast"/>
        </w:trPr>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Leadership Stability (CIO)</w:t>
            </w:r>
          </w:p>
        </w:tc>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Tenure &lt; 3 years</w:t>
            </w:r>
          </w:p>
        </w:tc>
        <w:tc>
          <w:tcPr>
            <w:tcW w:type="dxa" w:w="22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Tenure 3-5 years</w:t>
            </w:r>
          </w:p>
        </w:tc>
        <w:tc>
          <w:tcPr>
            <w:tcW w:type="dxa" w:w="22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Tenure &gt; 5 years</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"refwittkieffer2024" </w:instrText>
            </w:r>
            <w:r>
              <w:rPr>
                <w:rStyle w:val="Hyperlink.1"/>
                <w:u w:val="none"/>
                <w:shd w:val="nil" w:color="auto" w:fill="auto"/>
                <w:lang w:val="en-US"/>
              </w:rPr>
              <w:fldChar w:fldCharType="separate" w:fldLock="0"/>
            </w:r>
            <w:r>
              <w:rPr>
                <w:rStyle w:val="Hyperlink.1"/>
                <w:u w:val="none"/>
                <w:shd w:val="nil" w:color="auto" w:fill="auto"/>
                <w:rtl w:val="0"/>
                <w:lang w:val="en-US"/>
              </w:rPr>
              <w:t>4</w:t>
            </w:r>
            <w:r>
              <w:rPr/>
              <w:fldChar w:fldCharType="end" w:fldLock="0"/>
            </w:r>
            <w:r>
              <w:rPr>
                <w:shd w:val="nil" w:color="auto" w:fill="auto"/>
                <w:rtl w:val="0"/>
                <w:lang w:val="en-US"/>
              </w:rPr>
              <w:t>)</w:t>
            </w:r>
          </w:p>
        </w:tc>
      </w:tr>
      <w:tr>
        <w:tblPrEx>
          <w:shd w:val="clear" w:color="auto" w:fill="cad1d7"/>
        </w:tblPrEx>
        <w:trPr>
          <w:trHeight w:val="1120" w:hRule="atLeast"/>
        </w:trPr>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Knowledge concentration</w:t>
            </w:r>
          </w:p>
        </w:tc>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Critical expertise held by </w:t>
            </w:r>
            <w:r>
              <w:rPr>
                <w:shd w:val="nil" w:color="auto" w:fill="auto"/>
                <w:rtl w:val="0"/>
                <w:lang w:val="en-US"/>
              </w:rPr>
              <w:t>≤</w:t>
            </w:r>
            <w:r>
              <w:rPr>
                <w:shd w:val="nil" w:color="auto" w:fill="auto"/>
                <w:rtl w:val="0"/>
                <w:lang w:val="en-US"/>
              </w:rPr>
              <w:t>3 individuals</w:t>
            </w:r>
          </w:p>
        </w:tc>
        <w:tc>
          <w:tcPr>
            <w:tcW w:type="dxa" w:w="22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documentation; some cross-training</w:t>
            </w:r>
          </w:p>
        </w:tc>
        <w:tc>
          <w:tcPr>
            <w:tcW w:type="dxa" w:w="22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Distributed expertise; documented processes</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"refbenbya2004" </w:instrText>
            </w:r>
            <w:r>
              <w:rPr>
                <w:rStyle w:val="Hyperlink.1"/>
                <w:u w:val="none"/>
                <w:shd w:val="nil" w:color="auto" w:fill="auto"/>
                <w:lang w:val="en-US"/>
              </w:rPr>
              <w:fldChar w:fldCharType="separate" w:fldLock="0"/>
            </w:r>
            <w:r>
              <w:rPr>
                <w:rStyle w:val="Hyperlink.1"/>
                <w:u w:val="none"/>
                <w:shd w:val="nil" w:color="auto" w:fill="auto"/>
                <w:rtl w:val="0"/>
                <w:lang w:val="en-US"/>
              </w:rPr>
              <w:t>37</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"refrichesson2007" </w:instrText>
            </w:r>
            <w:r>
              <w:rPr>
                <w:rStyle w:val="Hyperlink.1"/>
                <w:u w:val="none"/>
                <w:shd w:val="nil" w:color="auto" w:fill="auto"/>
                <w:lang w:val="en-US"/>
              </w:rPr>
              <w:fldChar w:fldCharType="separate" w:fldLock="0"/>
            </w:r>
            <w:r>
              <w:rPr>
                <w:rStyle w:val="Hyperlink.1"/>
                <w:u w:val="none"/>
                <w:shd w:val="nil" w:color="auto" w:fill="auto"/>
                <w:rtl w:val="0"/>
                <w:lang w:val="en-US"/>
              </w:rPr>
              <w:t>117</w:t>
            </w:r>
            <w:r>
              <w:rPr/>
              <w:fldChar w:fldCharType="end" w:fldLock="0"/>
            </w:r>
            <w:r>
              <w:rPr>
                <w:shd w:val="nil" w:color="auto" w:fill="auto"/>
                <w:rtl w:val="0"/>
                <w:lang w:val="en-US"/>
              </w:rPr>
              <w:t>)</w:t>
            </w:r>
          </w:p>
        </w:tc>
      </w:tr>
      <w:tr>
        <w:tblPrEx>
          <w:shd w:val="clear" w:color="auto" w:fill="cad1d7"/>
        </w:tblPrEx>
        <w:trPr>
          <w:trHeight w:val="840" w:hRule="atLeast"/>
        </w:trPr>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Time-to-productivity</w:t>
            </w:r>
          </w:p>
        </w:tc>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&gt;18 months (specialized roles)</w:t>
            </w:r>
          </w:p>
        </w:tc>
        <w:tc>
          <w:tcPr>
            <w:tcW w:type="dxa" w:w="22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6-18 months</w:t>
            </w:r>
          </w:p>
        </w:tc>
        <w:tc>
          <w:tcPr>
            <w:tcW w:type="dxa" w:w="22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&lt;6 months with structured onboarding</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"refledikwe2013" </w:instrText>
            </w:r>
            <w:r>
              <w:rPr>
                <w:rStyle w:val="Hyperlink.1"/>
                <w:u w:val="none"/>
                <w:shd w:val="nil" w:color="auto" w:fill="auto"/>
                <w:lang w:val="en-US"/>
              </w:rPr>
              <w:fldChar w:fldCharType="separate" w:fldLock="0"/>
            </w:r>
            <w:r>
              <w:rPr>
                <w:rStyle w:val="Hyperlink.1"/>
                <w:u w:val="none"/>
                <w:shd w:val="nil" w:color="auto" w:fill="auto"/>
                <w:rtl w:val="0"/>
                <w:lang w:val="en-US"/>
              </w:rPr>
              <w:t>74</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"refmantas2010" </w:instrText>
            </w:r>
            <w:r>
              <w:rPr>
                <w:rStyle w:val="Hyperlink.1"/>
                <w:u w:val="none"/>
                <w:shd w:val="nil" w:color="auto" w:fill="auto"/>
                <w:lang w:val="en-US"/>
              </w:rPr>
              <w:fldChar w:fldCharType="separate" w:fldLock="0"/>
            </w:r>
            <w:r>
              <w:rPr>
                <w:rStyle w:val="Hyperlink.1"/>
                <w:u w:val="none"/>
                <w:shd w:val="nil" w:color="auto" w:fill="auto"/>
                <w:rtl w:val="0"/>
                <w:lang w:val="en-US"/>
              </w:rPr>
              <w:t>75</w:t>
            </w:r>
            <w:r>
              <w:rPr/>
              <w:fldChar w:fldCharType="end" w:fldLock="0"/>
            </w:r>
            <w:r>
              <w:rPr>
                <w:shd w:val="nil" w:color="auto" w:fill="auto"/>
                <w:rtl w:val="0"/>
                <w:lang w:val="en-US"/>
              </w:rPr>
              <w:t>)</w:t>
            </w:r>
          </w:p>
        </w:tc>
      </w:tr>
      <w:tr>
        <w:tblPrEx>
          <w:shd w:val="clear" w:color="auto" w:fill="cad1d7"/>
        </w:tblPrEx>
        <w:trPr>
          <w:trHeight w:val="1120" w:hRule="atLeast"/>
        </w:trPr>
        <w:tc>
          <w:tcPr>
            <w:tcW w:type="dxa" w:w="156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Tacit knowledge capture</w:t>
            </w:r>
          </w:p>
        </w:tc>
        <w:tc>
          <w:tcPr>
            <w:tcW w:type="dxa" w:w="2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Person-dependent; undocumented tribal knowledge</w:t>
            </w:r>
          </w:p>
        </w:tc>
        <w:tc>
          <w:tcPr>
            <w:tcW w:type="dxa" w:w="22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documentation exists</w:t>
            </w:r>
          </w:p>
        </w:tc>
        <w:tc>
          <w:tcPr>
            <w:tcW w:type="dxa" w:w="22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Expertise embedded in systems/AI</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"refbenbya2004" </w:instrText>
            </w:r>
            <w:r>
              <w:rPr>
                <w:rStyle w:val="Hyperlink.1"/>
                <w:u w:val="none"/>
                <w:shd w:val="nil" w:color="auto" w:fill="auto"/>
                <w:lang w:val="en-US"/>
              </w:rPr>
              <w:fldChar w:fldCharType="separate" w:fldLock="0"/>
            </w:r>
            <w:r>
              <w:rPr>
                <w:rStyle w:val="Hyperlink.1"/>
                <w:u w:val="none"/>
                <w:shd w:val="nil" w:color="auto" w:fill="auto"/>
                <w:rtl w:val="0"/>
                <w:lang w:val="en-US"/>
              </w:rPr>
              <w:t>37</w:t>
            </w:r>
            <w:r>
              <w:rPr/>
              <w:fldChar w:fldCharType="end" w:fldLock="0"/>
            </w:r>
            <w:r>
              <w:rPr>
                <w:shd w:val="nil" w:color="auto" w:fill="auto"/>
                <w:rtl w:val="0"/>
                <w:lang w:val="en-US"/>
              </w:rPr>
              <w:t>)</w:t>
            </w:r>
          </w:p>
        </w:tc>
      </w:tr>
    </w:tbl>
    <w:p>
      <w:pPr>
        <w:pStyle w:val="Body Text"/>
        <w:widowControl w:val="0"/>
      </w:pPr>
    </w:p>
    <w:p>
      <w:pPr>
        <w:pStyle w:val="Body Text"/>
        <w:rPr>
          <w:i w:val="1"/>
          <w:iCs w:val="1"/>
        </w:rPr>
      </w:pPr>
      <w:r>
        <w:rPr>
          <w:i w:val="1"/>
          <w:iCs w:val="1"/>
          <w:rtl w:val="0"/>
          <w:lang w:val="en-US"/>
        </w:rPr>
        <w:t>Pillar 3: Technical Enablement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95"/>
        <w:gridCol w:w="2120"/>
        <w:gridCol w:w="2208"/>
        <w:gridCol w:w="2327"/>
        <w:gridCol w:w="1110"/>
      </w:tblGrid>
      <w:tr>
        <w:tblPrEx>
          <w:shd w:val="clear" w:color="auto" w:fill="156082"/>
        </w:tblPrEx>
        <w:trPr>
          <w:trHeight w:val="560" w:hRule="atLeast"/>
          <w:tblHeader/>
        </w:trPr>
        <w:tc>
          <w:tcPr>
            <w:tcW w:type="dxa" w:w="15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Indicator</w:t>
            </w:r>
          </w:p>
        </w:tc>
        <w:tc>
          <w:tcPr>
            <w:tcW w:type="dxa" w:w="21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Low Strength (1)</w:t>
            </w:r>
          </w:p>
        </w:tc>
        <w:tc>
          <w:tcPr>
            <w:tcW w:type="dxa" w:w="2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Med. Strength (2)</w:t>
            </w:r>
          </w:p>
        </w:tc>
        <w:tc>
          <w:tcPr>
            <w:tcW w:type="dxa" w:w="23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 Strength (3)</w:t>
            </w:r>
          </w:p>
        </w:tc>
        <w:tc>
          <w:tcPr>
            <w:tcW w:type="dxa" w:w="11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Evidence</w:t>
            </w:r>
          </w:p>
        </w:tc>
      </w:tr>
      <w:tr>
        <w:tblPrEx>
          <w:shd w:val="clear" w:color="auto" w:fill="cad1d7"/>
        </w:tblPrEx>
        <w:trPr>
          <w:trHeight w:val="840" w:hRule="atLeast"/>
        </w:trPr>
        <w:tc>
          <w:tcPr>
            <w:tcW w:type="dxa" w:w="15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access</w:t>
            </w:r>
          </w:p>
        </w:tc>
        <w:tc>
          <w:tcPr>
            <w:tcW w:type="dxa" w:w="21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SQL/technical expertise required for all queries</w:t>
            </w:r>
          </w:p>
        </w:tc>
        <w:tc>
          <w:tcPr>
            <w:tcW w:type="dxa" w:w="2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IT queue for complex queries; basic self-service</w:t>
            </w:r>
          </w:p>
        </w:tc>
        <w:tc>
          <w:tcPr>
            <w:tcW w:type="dxa" w:w="23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Natural language or visual query interfaces</w:t>
            </w:r>
          </w:p>
        </w:tc>
        <w:tc>
          <w:tcPr>
            <w:tcW w:type="dxa" w:w="11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"refwang2018" </w:instrText>
            </w:r>
            <w:r>
              <w:rPr>
                <w:rStyle w:val="Hyperlink.1"/>
                <w:u w:val="none"/>
                <w:shd w:val="nil" w:color="auto" w:fill="auto"/>
                <w:lang w:val="en-US"/>
              </w:rPr>
              <w:fldChar w:fldCharType="separate" w:fldLock="0"/>
            </w:r>
            <w:r>
              <w:rPr>
                <w:rStyle w:val="Hyperlink.1"/>
                <w:u w:val="none"/>
                <w:shd w:val="nil" w:color="auto" w:fill="auto"/>
                <w:rtl w:val="0"/>
                <w:lang w:val="en-US"/>
              </w:rPr>
              <w:t>39</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"refpesqueira2020" </w:instrText>
            </w:r>
            <w:r>
              <w:rPr>
                <w:rStyle w:val="Hyperlink.1"/>
                <w:u w:val="none"/>
                <w:shd w:val="nil" w:color="auto" w:fill="auto"/>
                <w:lang w:val="en-US"/>
              </w:rPr>
              <w:fldChar w:fldCharType="separate" w:fldLock="0"/>
            </w:r>
            <w:r>
              <w:rPr>
                <w:rStyle w:val="Hyperlink.1"/>
                <w:u w:val="none"/>
                <w:shd w:val="nil" w:color="auto" w:fill="auto"/>
                <w:rtl w:val="0"/>
                <w:lang w:val="en-US"/>
              </w:rPr>
              <w:t>53</w:t>
            </w:r>
            <w:r>
              <w:rPr/>
              <w:fldChar w:fldCharType="end" w:fldLock="0"/>
            </w:r>
            <w:r>
              <w:rPr>
                <w:shd w:val="nil" w:color="auto" w:fill="auto"/>
                <w:rtl w:val="0"/>
                <w:lang w:val="en-US"/>
              </w:rPr>
              <w:t>)</w:t>
            </w:r>
          </w:p>
        </w:tc>
      </w:tr>
      <w:tr>
        <w:tblPrEx>
          <w:shd w:val="clear" w:color="auto" w:fill="cad1d7"/>
        </w:tblPrEx>
        <w:trPr>
          <w:trHeight w:val="1120" w:hRule="atLeast"/>
        </w:trPr>
        <w:tc>
          <w:tcPr>
            <w:tcW w:type="dxa" w:w="15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Inter-operability</w:t>
            </w:r>
          </w:p>
        </w:tc>
        <w:tc>
          <w:tcPr>
            <w:tcW w:type="dxa" w:w="21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Fragmented systems; manual reconciliation required</w:t>
            </w:r>
          </w:p>
        </w:tc>
        <w:tc>
          <w:tcPr>
            <w:tcW w:type="dxa" w:w="2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Partial integration; some automated feeds</w:t>
            </w:r>
          </w:p>
        </w:tc>
        <w:tc>
          <w:tcPr>
            <w:tcW w:type="dxa" w:w="23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Unified data platform; real-time integration</w:t>
            </w:r>
          </w:p>
        </w:tc>
        <w:tc>
          <w:tcPr>
            <w:tcW w:type="dxa" w:w="11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"refgal2019" </w:instrText>
            </w:r>
            <w:r>
              <w:rPr>
                <w:rStyle w:val="Hyperlink.1"/>
                <w:u w:val="none"/>
                <w:shd w:val="nil" w:color="auto" w:fill="auto"/>
                <w:lang w:val="en-US"/>
              </w:rPr>
              <w:fldChar w:fldCharType="separate" w:fldLock="0"/>
            </w:r>
            <w:r>
              <w:rPr>
                <w:rStyle w:val="Hyperlink.1"/>
                <w:u w:val="none"/>
                <w:shd w:val="nil" w:color="auto" w:fill="auto"/>
                <w:rtl w:val="0"/>
                <w:lang w:val="en-US"/>
              </w:rPr>
              <w:t>8</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"refbogaert2021" </w:instrText>
            </w:r>
            <w:r>
              <w:rPr>
                <w:rStyle w:val="Hyperlink.1"/>
                <w:u w:val="none"/>
                <w:shd w:val="nil" w:color="auto" w:fill="auto"/>
                <w:lang w:val="en-US"/>
              </w:rPr>
              <w:fldChar w:fldCharType="separate" w:fldLock="0"/>
            </w:r>
            <w:r>
              <w:rPr>
                <w:rStyle w:val="Hyperlink.1"/>
                <w:u w:val="none"/>
                <w:shd w:val="nil" w:color="auto" w:fill="auto"/>
                <w:rtl w:val="0"/>
                <w:lang w:val="en-US"/>
              </w:rPr>
              <w:t>119</w:t>
            </w:r>
            <w:r>
              <w:rPr/>
              <w:fldChar w:fldCharType="end" w:fldLock="0"/>
            </w:r>
            <w:r>
              <w:rPr>
                <w:shd w:val="nil" w:color="auto" w:fill="auto"/>
                <w:rtl w:val="0"/>
                <w:lang w:val="en-US"/>
              </w:rPr>
              <w:t>)</w:t>
            </w:r>
          </w:p>
        </w:tc>
      </w:tr>
      <w:tr>
        <w:tblPrEx>
          <w:shd w:val="clear" w:color="auto" w:fill="cad1d7"/>
        </w:tblPrEx>
        <w:trPr>
          <w:trHeight w:val="840" w:hRule="atLeast"/>
        </w:trPr>
        <w:tc>
          <w:tcPr>
            <w:tcW w:type="dxa" w:w="15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Skills gap impact</w:t>
            </w:r>
          </w:p>
        </w:tc>
        <w:tc>
          <w:tcPr>
            <w:tcW w:type="dxa" w:w="21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Critical shortage preventing data utilization</w:t>
            </w:r>
          </w:p>
        </w:tc>
        <w:tc>
          <w:tcPr>
            <w:tcW w:type="dxa" w:w="22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Acknowledged deficit with mitigation plans</w:t>
            </w:r>
          </w:p>
        </w:tc>
        <w:tc>
          <w:tcPr>
            <w:tcW w:type="dxa" w:w="23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Sufficient analysts across departments</w:t>
            </w:r>
          </w:p>
        </w:tc>
        <w:tc>
          <w:tcPr>
            <w:tcW w:type="dxa" w:w="11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"refbardsley2016" </w:instrText>
            </w:r>
            <w:r>
              <w:rPr>
                <w:rStyle w:val="Hyperlink.1"/>
                <w:u w:val="none"/>
                <w:shd w:val="nil" w:color="auto" w:fill="auto"/>
                <w:lang w:val="en-US"/>
              </w:rPr>
              <w:fldChar w:fldCharType="separate" w:fldLock="0"/>
            </w:r>
            <w:r>
              <w:rPr>
                <w:rStyle w:val="Hyperlink.1"/>
                <w:u w:val="none"/>
                <w:shd w:val="nil" w:color="auto" w:fill="auto"/>
                <w:rtl w:val="0"/>
                <w:lang w:val="en-US"/>
              </w:rPr>
              <w:t>52</w:t>
            </w:r>
            <w:r>
              <w:rPr/>
              <w:fldChar w:fldCharType="end" w:fldLock="0"/>
            </w:r>
            <w:r>
              <w:rPr>
                <w:shd w:val="nil" w:color="auto" w:fill="auto"/>
                <w:rtl w:val="0"/>
                <w:lang w:val="en-US"/>
              </w:rPr>
              <w:t>,</w:t>
            </w:r>
            <w:r>
              <w:rPr>
                <w:rStyle w:val="Hyperlink.1"/>
                <w:u w:val="none"/>
                <w:shd w:val="nil" w:color="auto" w:fill="auto"/>
                <w:lang w:val="en-US"/>
              </w:rPr>
              <w:fldChar w:fldCharType="begin" w:fldLock="0"/>
            </w:r>
            <w:r>
              <w:rPr>
                <w:rStyle w:val="Hyperlink.1"/>
                <w:u w:val="none"/>
                <w:shd w:val="nil" w:color="auto" w:fill="auto"/>
                <w:lang w:val="en-US"/>
              </w:rPr>
              <w:instrText xml:space="preserve"> HYPERLINK \l "refpesqueira2020" </w:instrText>
            </w:r>
            <w:r>
              <w:rPr>
                <w:rStyle w:val="Hyperlink.1"/>
                <w:u w:val="none"/>
                <w:shd w:val="nil" w:color="auto" w:fill="auto"/>
                <w:lang w:val="en-US"/>
              </w:rPr>
              <w:fldChar w:fldCharType="separate" w:fldLock="0"/>
            </w:r>
            <w:r>
              <w:rPr>
                <w:rStyle w:val="Hyperlink.1"/>
                <w:u w:val="none"/>
                <w:shd w:val="nil" w:color="auto" w:fill="auto"/>
                <w:rtl w:val="0"/>
                <w:lang w:val="en-US"/>
              </w:rPr>
              <w:t>53</w:t>
            </w:r>
            <w:r>
              <w:rPr/>
              <w:fldChar w:fldCharType="end" w:fldLock="0"/>
            </w:r>
            <w:r>
              <w:rPr>
                <w:shd w:val="nil" w:color="auto" w:fill="auto"/>
                <w:rtl w:val="0"/>
                <w:lang w:val="en-US"/>
              </w:rPr>
              <w:t>)</w:t>
            </w:r>
          </w:p>
        </w:tc>
      </w:tr>
    </w:tbl>
    <w:p>
      <w:pPr>
        <w:pStyle w:val="Body Text"/>
        <w:widowControl w:val="0"/>
      </w:pPr>
    </w:p>
    <w:p>
      <w:pPr>
        <w:pStyle w:val="Body Text"/>
        <w:rPr>
          <w:i w:val="1"/>
          <w:iCs w:val="1"/>
        </w:rPr>
      </w:pPr>
      <w:r>
        <w:rPr>
          <w:i w:val="1"/>
          <w:iCs w:val="1"/>
          <w:rtl w:val="0"/>
          <w:lang w:val="en-US"/>
        </w:rPr>
        <w:t>Multi-Pillar Convergence Assessment: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47"/>
        <w:gridCol w:w="3355"/>
        <w:gridCol w:w="4058"/>
      </w:tblGrid>
      <w:tr>
        <w:tblPrEx>
          <w:shd w:val="clear" w:color="auto" w:fill="156082"/>
        </w:tblPrEx>
        <w:trPr>
          <w:trHeight w:val="560" w:hRule="atLeast"/>
          <w:tblHeader/>
        </w:trPr>
        <w:tc>
          <w:tcPr>
            <w:tcW w:type="dxa" w:w="194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Organizational Profile</w:t>
            </w:r>
          </w:p>
        </w:tc>
        <w:tc>
          <w:tcPr>
            <w:tcW w:type="dxa" w:w="335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Framework Assessment</w:t>
            </w:r>
          </w:p>
        </w:tc>
        <w:tc>
          <w:tcPr>
            <w:tcW w:type="dxa" w:w="40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Implications for Analysis</w:t>
            </w:r>
          </w:p>
        </w:tc>
      </w:tr>
      <w:tr>
        <w:tblPrEx>
          <w:shd w:val="clear" w:color="auto" w:fill="cad1d7"/>
        </w:tblPrEx>
        <w:trPr>
          <w:trHeight w:val="840" w:hRule="atLeast"/>
        </w:trPr>
        <w:tc>
          <w:tcPr>
            <w:tcW w:type="dxa" w:w="194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All pillars Low Strength</w:t>
            </w:r>
          </w:p>
        </w:tc>
        <w:tc>
          <w:tcPr>
            <w:tcW w:type="dxa" w:w="335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Self-reinforcing degradation cycle</w:t>
            </w:r>
          </w:p>
        </w:tc>
        <w:tc>
          <w:tcPr>
            <w:tcW w:type="dxa" w:w="40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All three dimensions interact; comprehensive organizational assessment warranted</w:t>
            </w:r>
          </w:p>
        </w:tc>
      </w:tr>
      <w:tr>
        <w:tblPrEx>
          <w:shd w:val="clear" w:color="auto" w:fill="cad1d7"/>
        </w:tblPrEx>
        <w:trPr>
          <w:trHeight w:val="560" w:hRule="atLeast"/>
        </w:trPr>
        <w:tc>
          <w:tcPr>
            <w:tcW w:type="dxa" w:w="194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 pillars Low Strength</w:t>
            </w:r>
          </w:p>
        </w:tc>
        <w:tc>
          <w:tcPr>
            <w:tcW w:type="dxa" w:w="335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Compounding effects present</w:t>
            </w:r>
          </w:p>
        </w:tc>
        <w:tc>
          <w:tcPr>
            <w:tcW w:type="dxa" w:w="40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Framework reveals interconnections requiring multi-dimensional analysis</w:t>
            </w:r>
          </w:p>
        </w:tc>
      </w:tr>
      <w:tr>
        <w:tblPrEx>
          <w:shd w:val="clear" w:color="auto" w:fill="cad1d7"/>
        </w:tblPrEx>
        <w:trPr>
          <w:trHeight w:val="560" w:hRule="atLeast"/>
        </w:trPr>
        <w:tc>
          <w:tcPr>
            <w:tcW w:type="dxa" w:w="194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 pillars Low Strength</w:t>
            </w:r>
          </w:p>
        </w:tc>
        <w:tc>
          <w:tcPr>
            <w:tcW w:type="dxa" w:w="335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Continuous improvement stance</w:t>
            </w:r>
          </w:p>
        </w:tc>
        <w:tc>
          <w:tcPr>
            <w:tcW w:type="dxa" w:w="40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Monitor for emerging challenges; single-pillar focus may suffice</w:t>
            </w:r>
          </w:p>
        </w:tc>
      </w:tr>
    </w:tbl>
    <w:p>
      <w:pPr>
        <w:pStyle w:val="Body Text"/>
        <w:widowControl w:val="0"/>
      </w:pPr>
    </w:p>
    <w:p>
      <w:pPr>
        <w:pStyle w:val="Body Text"/>
      </w:pPr>
      <w:r>
        <w:rPr>
          <w:rStyle w:val="Section Number"/>
          <w:rtl w:val="0"/>
          <w:lang w:val="en-US"/>
        </w:rPr>
        <w:t xml:space="preserve">The framework reveals why convergence matters: organizations facing </w:t>
      </w:r>
      <w:r>
        <w:rPr>
          <w:rStyle w:val="Section Number"/>
          <w:rtl w:val="0"/>
          <w:lang w:val="en-US"/>
        </w:rPr>
        <w:t>“</w:t>
      </w:r>
      <w:r>
        <w:rPr>
          <w:rStyle w:val="Section Number"/>
          <w:rtl w:val="0"/>
          <w:lang w:val="en-US"/>
        </w:rPr>
        <w:t>Low Strength</w:t>
      </w:r>
      <w:r>
        <w:rPr>
          <w:rStyle w:val="Section Number"/>
          <w:rtl w:val="0"/>
          <w:lang w:val="en-US"/>
        </w:rPr>
        <w:t xml:space="preserve">” </w:t>
      </w:r>
      <w:r>
        <w:rPr>
          <w:rStyle w:val="Section Number"/>
          <w:rtl w:val="0"/>
          <w:lang w:val="en-US"/>
        </w:rPr>
        <w:t>conditions across multiple pillars experience compounding effects where challenges in one domain exacerbate challenges in others. For example, technical barriers that prevent knowledge capture interact with workforce turnover to accelerate institutional memory loss, which in turn degrades analytics maturity. This multi-pillar perspective explains why single-domain interventions often produce limited results.</w:t>
      </w:r>
      <w:bookmarkEnd w:id="152"/>
    </w:p>
    <w:p>
      <w:pPr>
        <w:pStyle w:val="Heading 3"/>
      </w:pPr>
      <w:bookmarkStart w:name="_Toc75" w:id="153"/>
      <w:bookmarkStart w:name="Xa64c191c0e55261670530314a7a28251c05101c" w:id="154"/>
      <w:r>
        <w:rPr>
          <w:rStyle w:val="Section Number"/>
          <w:rtl w:val="0"/>
          <w:lang w:val="en-US"/>
        </w:rPr>
        <w:t>5.5.3</w:t>
        <w:tab/>
        <w:t>Illustrative Application: Implementation Patterns</w:t>
      </w:r>
      <w:bookmarkEnd w:id="153"/>
    </w:p>
    <w:p>
      <w:pPr>
        <w:pStyle w:val="First Paragraph"/>
      </w:pPr>
      <w:r>
        <w:rPr>
          <w:rStyle w:val="Section Number"/>
          <w:rtl w:val="0"/>
          <w:lang w:val="en-US"/>
        </w:rPr>
        <w:t>When organizations choose to apply the framework and evaluate barrier-reducing technologies for potential adoption, implementation evidence suggests several factors influence outcomes:</w:t>
      </w:r>
    </w:p>
    <w:p>
      <w:pPr>
        <w:pStyle w:val="Compact"/>
        <w:numPr>
          <w:ilvl w:val="0"/>
          <w:numId w:val="4"/>
        </w:numPr>
        <w:rPr>
          <w:lang w:val="en-US"/>
        </w:rPr>
      </w:pPr>
      <w:r>
        <w:rPr>
          <w:rFonts w:ascii="Aptos" w:cs="Aptos" w:hAnsi="Aptos" w:eastAsia="Aptos"/>
          <w:i w:val="1"/>
          <w:iCs w:val="1"/>
          <w:rtl w:val="0"/>
          <w:lang w:val="en-US"/>
        </w:rPr>
        <w:t>Governance Framework Development</w:t>
      </w:r>
      <w:r>
        <w:rPr>
          <w:rStyle w:val="Section Number"/>
          <w:rtl w:val="0"/>
          <w:lang w:val="en-US"/>
        </w:rPr>
        <w:t>: New policies and procedures for democratized analytics (</w:t>
      </w:r>
      <w:r>
        <w:rPr>
          <w:rStyle w:val="Hyperlink.0"/>
        </w:rPr>
        <w:fldChar w:fldCharType="begin" w:fldLock="0"/>
      </w:r>
      <w:r>
        <w:rPr>
          <w:rStyle w:val="Hyperlink.0"/>
        </w:rPr>
        <w:instrText xml:space="preserve"> HYPERLINK \l "refhimss2025ucdavis" </w:instrText>
      </w:r>
      <w:r>
        <w:rPr>
          <w:rStyle w:val="Hyperlink.0"/>
        </w:rPr>
        <w:fldChar w:fldCharType="separate" w:fldLock="0"/>
      </w:r>
      <w:r>
        <w:rPr>
          <w:rStyle w:val="Hyperlink.0"/>
          <w:rtl w:val="0"/>
          <w:lang w:val="en-US"/>
        </w:rPr>
        <w:t>127</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"refoliveira2023" </w:instrText>
      </w:r>
      <w:r>
        <w:rPr>
          <w:rStyle w:val="Hyperlink.0"/>
        </w:rPr>
        <w:fldChar w:fldCharType="separate" w:fldLock="0"/>
      </w:r>
      <w:r>
        <w:rPr>
          <w:rStyle w:val="Hyperlink.0"/>
          <w:rtl w:val="0"/>
          <w:lang w:val="en-US"/>
        </w:rPr>
        <w:t>129</w:t>
      </w:r>
      <w:r>
        <w:rPr/>
        <w:fldChar w:fldCharType="end" w:fldLock="0"/>
      </w:r>
      <w:r>
        <w:rPr>
          <w:rStyle w:val="Section Number"/>
          <w:rtl w:val="0"/>
          <w:lang w:val="en-US"/>
        </w:rPr>
        <w:t>)</w:t>
      </w:r>
    </w:p>
    <w:p>
      <w:pPr>
        <w:pStyle w:val="Compact"/>
        <w:numPr>
          <w:ilvl w:val="0"/>
          <w:numId w:val="4"/>
        </w:numPr>
        <w:rPr>
          <w:lang w:val="en-US"/>
        </w:rPr>
      </w:pPr>
      <w:r>
        <w:rPr>
          <w:rFonts w:ascii="Aptos" w:cs="Aptos" w:hAnsi="Aptos" w:eastAsia="Aptos"/>
          <w:i w:val="1"/>
          <w:iCs w:val="1"/>
          <w:rtl w:val="0"/>
          <w:lang w:val="en-US"/>
        </w:rPr>
        <w:t>Change Management</w:t>
      </w:r>
      <w:r>
        <w:rPr>
          <w:rStyle w:val="Section Number"/>
          <w:rtl w:val="0"/>
          <w:lang w:val="en-US"/>
        </w:rPr>
        <w:t>: Training and support programs to ensure user adoption (</w:t>
      </w:r>
      <w:r>
        <w:rPr>
          <w:rStyle w:val="Hyperlink.0"/>
        </w:rPr>
        <w:fldChar w:fldCharType="begin" w:fldLock="0"/>
      </w:r>
      <w:r>
        <w:rPr>
          <w:rStyle w:val="Hyperlink.0"/>
        </w:rPr>
        <w:instrText xml:space="preserve"> HYPERLINK \l "refshahbaz2019" </w:instrText>
      </w:r>
      <w:r>
        <w:rPr>
          <w:rStyle w:val="Hyperlink.0"/>
        </w:rPr>
        <w:fldChar w:fldCharType="separate" w:fldLock="0"/>
      </w:r>
      <w:r>
        <w:rPr>
          <w:rStyle w:val="Hyperlink.0"/>
          <w:rtl w:val="0"/>
          <w:lang w:val="en-US"/>
        </w:rPr>
        <w:t>16</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"refmusa2023" </w:instrText>
      </w:r>
      <w:r>
        <w:rPr>
          <w:rStyle w:val="Hyperlink.0"/>
        </w:rPr>
        <w:fldChar w:fldCharType="separate" w:fldLock="0"/>
      </w:r>
      <w:r>
        <w:rPr>
          <w:rStyle w:val="Hyperlink.0"/>
          <w:rtl w:val="0"/>
          <w:lang w:val="en-US"/>
        </w:rPr>
        <w:t>76</w:t>
      </w:r>
      <w:r>
        <w:rPr/>
        <w:fldChar w:fldCharType="end" w:fldLock="0"/>
      </w:r>
      <w:r>
        <w:rPr>
          <w:rStyle w:val="Section Number"/>
          <w:rtl w:val="0"/>
          <w:lang w:val="en-US"/>
        </w:rPr>
        <w:t>)</w:t>
      </w:r>
    </w:p>
    <w:p>
      <w:pPr>
        <w:pStyle w:val="Compact"/>
        <w:numPr>
          <w:ilvl w:val="0"/>
          <w:numId w:val="4"/>
        </w:numPr>
        <w:rPr>
          <w:lang w:val="en-US"/>
        </w:rPr>
      </w:pPr>
      <w:r>
        <w:rPr>
          <w:rFonts w:ascii="Aptos" w:cs="Aptos" w:hAnsi="Aptos" w:eastAsia="Aptos"/>
          <w:i w:val="1"/>
          <w:iCs w:val="1"/>
          <w:rtl w:val="0"/>
          <w:lang w:val="en-US"/>
        </w:rPr>
        <w:t>Phased Deployment</w:t>
      </w:r>
      <w:r>
        <w:rPr>
          <w:rStyle w:val="Section Number"/>
          <w:rtl w:val="0"/>
          <w:lang w:val="en-US"/>
        </w:rPr>
        <w:t>: Gradual rollout beginning with analytics-savvy early adopters (</w:t>
      </w:r>
      <w:r>
        <w:rPr>
          <w:rStyle w:val="Hyperlink.0"/>
        </w:rPr>
        <w:fldChar w:fldCharType="begin" w:fldLock="0"/>
      </w:r>
      <w:r>
        <w:rPr>
          <w:rStyle w:val="Hyperlink.0"/>
        </w:rPr>
        <w:instrText xml:space="preserve"> HYPERLINK \l "refberkshire2024" </w:instrText>
      </w:r>
      <w:r>
        <w:rPr>
          <w:rStyle w:val="Hyperlink.0"/>
        </w:rPr>
        <w:fldChar w:fldCharType="separate" w:fldLock="0"/>
      </w:r>
      <w:r>
        <w:rPr>
          <w:rStyle w:val="Hyperlink.0"/>
          <w:rtl w:val="0"/>
          <w:lang w:val="en-US"/>
        </w:rPr>
        <w:t>24</w:t>
      </w:r>
      <w:r>
        <w:rPr/>
        <w:fldChar w:fldCharType="end" w:fldLock="0"/>
      </w:r>
      <w:r>
        <w:rPr>
          <w:rStyle w:val="Section Number"/>
          <w:rtl w:val="0"/>
          <w:lang w:val="en-US"/>
        </w:rPr>
        <w:t>)</w:t>
      </w:r>
    </w:p>
    <w:p>
      <w:pPr>
        <w:pStyle w:val="Compact"/>
        <w:numPr>
          <w:ilvl w:val="0"/>
          <w:numId w:val="4"/>
        </w:numPr>
        <w:rPr>
          <w:lang w:val="en-US"/>
        </w:rPr>
      </w:pPr>
      <w:r>
        <w:rPr>
          <w:rFonts w:ascii="Aptos" w:cs="Aptos" w:hAnsi="Aptos" w:eastAsia="Aptos"/>
          <w:i w:val="1"/>
          <w:iCs w:val="1"/>
          <w:rtl w:val="0"/>
          <w:lang w:val="en-US"/>
        </w:rPr>
        <w:t>Human Oversight</w:t>
      </w:r>
      <w:r>
        <w:rPr>
          <w:rStyle w:val="Section Number"/>
          <w:rtl w:val="0"/>
          <w:lang w:val="en-US"/>
        </w:rPr>
        <w:t>: Current NL2SQL limitations require maintaining human review of AI-generated outputs (</w:t>
      </w:r>
      <w:r>
        <w:rPr>
          <w:rStyle w:val="Hyperlink.0"/>
        </w:rPr>
        <w:fldChar w:fldCharType="begin" w:fldLock="0"/>
      </w:r>
      <w:r>
        <w:rPr>
          <w:rStyle w:val="Hyperlink.0"/>
        </w:rPr>
        <w:instrText xml:space="preserve"> HYPERLINK \l "refziletti2024" </w:instrText>
      </w:r>
      <w:r>
        <w:rPr>
          <w:rStyle w:val="Hyperlink.0"/>
        </w:rPr>
        <w:fldChar w:fldCharType="separate" w:fldLock="0"/>
      </w:r>
      <w:r>
        <w:rPr>
          <w:rStyle w:val="Hyperlink.0"/>
          <w:rtl w:val="0"/>
          <w:lang w:val="en-US"/>
        </w:rPr>
        <w:t>20</w:t>
      </w:r>
      <w:r>
        <w:rPr/>
        <w:fldChar w:fldCharType="end" w:fldLock="0"/>
      </w:r>
      <w:r>
        <w:rPr>
          <w:rStyle w:val="Section Number"/>
          <w:rtl w:val="0"/>
          <w:lang w:val="en-US"/>
        </w:rPr>
        <w:t>)</w:t>
      </w:r>
      <w:bookmarkEnd w:id="154"/>
    </w:p>
    <w:p>
      <w:pPr>
        <w:pStyle w:val="Heading 3"/>
      </w:pPr>
      <w:bookmarkStart w:name="_Toc76" w:id="155"/>
      <w:bookmarkStart w:name="mitigatingshadowitwithgoldenqueries" w:id="156"/>
      <w:r>
        <w:rPr>
          <w:rStyle w:val="Section Number"/>
          <w:rtl w:val="0"/>
          <w:lang w:val="en-US"/>
        </w:rPr>
        <w:t>5.5.4</w:t>
        <w:tab/>
        <w:t xml:space="preserve">Mitigating </w:t>
      </w:r>
      <w:r>
        <w:rPr>
          <w:rStyle w:val="Section Number"/>
          <w:rtl w:val="1"/>
          <w:lang w:val="ar-SA" w:bidi="ar-SA"/>
        </w:rPr>
        <w:t>“</w:t>
      </w:r>
      <w:r>
        <w:rPr>
          <w:rStyle w:val="Section Number"/>
          <w:rtl w:val="0"/>
          <w:lang w:val="en-US"/>
        </w:rPr>
        <w:t>Shadow IT</w:t>
      </w:r>
      <w:r>
        <w:rPr>
          <w:rStyle w:val="Section Number"/>
          <w:rtl w:val="0"/>
        </w:rPr>
        <w:t xml:space="preserve">” </w:t>
      </w:r>
      <w:r>
        <w:rPr>
          <w:rStyle w:val="Section Number"/>
          <w:rtl w:val="0"/>
          <w:lang w:val="en-US"/>
        </w:rPr>
        <w:t xml:space="preserve">with </w:t>
      </w:r>
      <w:r>
        <w:rPr>
          <w:rStyle w:val="Section Number"/>
          <w:rtl w:val="1"/>
          <w:lang w:val="ar-SA" w:bidi="ar-SA"/>
        </w:rPr>
        <w:t>“</w:t>
      </w:r>
      <w:r>
        <w:rPr>
          <w:rStyle w:val="Section Number"/>
          <w:rtl w:val="0"/>
          <w:lang w:val="de-DE"/>
        </w:rPr>
        <w:t>Golden Queries</w:t>
      </w:r>
      <w:r>
        <w:rPr>
          <w:rStyle w:val="Section Number"/>
          <w:rtl w:val="0"/>
        </w:rPr>
        <w:t>”</w:t>
      </w:r>
      <w:bookmarkEnd w:id="155"/>
    </w:p>
    <w:p>
      <w:pPr>
        <w:pStyle w:val="First Paragraph"/>
      </w:pPr>
      <w:r>
        <w:rPr>
          <w:rStyle w:val="Section Number"/>
          <w:rtl w:val="0"/>
          <w:lang w:val="en-US"/>
        </w:rPr>
        <w:t xml:space="preserve">To prevent the </w:t>
      </w:r>
      <w:r>
        <w:rPr>
          <w:rStyle w:val="Section Number"/>
          <w:rtl w:val="0"/>
          <w:lang w:val="en-US"/>
        </w:rPr>
        <w:t>“</w:t>
      </w:r>
      <w:r>
        <w:rPr>
          <w:rStyle w:val="Section Number"/>
          <w:rtl w:val="0"/>
          <w:lang w:val="en-US"/>
        </w:rPr>
        <w:t>chaos of conflicting definitions</w:t>
      </w:r>
      <w:r>
        <w:rPr>
          <w:rStyle w:val="Section Number"/>
          <w:rtl w:val="0"/>
          <w:lang w:val="en-US"/>
        </w:rPr>
        <w:t xml:space="preserve">” </w:t>
      </w:r>
      <w:r>
        <w:rPr>
          <w:rStyle w:val="Section Number"/>
          <w:rtl w:val="0"/>
          <w:lang w:val="en-US"/>
        </w:rPr>
        <w:t xml:space="preserve">that can arise from democratized analytics, organizations can introduce a </w:t>
      </w:r>
      <w:r>
        <w:rPr>
          <w:rStyle w:val="Section Number"/>
          <w:rtl w:val="0"/>
          <w:lang w:val="en-US"/>
        </w:rPr>
        <w:t>“</w:t>
      </w:r>
      <w:r>
        <w:rPr>
          <w:rStyle w:val="Section Number"/>
          <w:rtl w:val="0"/>
          <w:lang w:val="en-US"/>
        </w:rPr>
        <w:t>Golden Query</w:t>
      </w:r>
      <w:r>
        <w:rPr>
          <w:rStyle w:val="Section Number"/>
          <w:rtl w:val="0"/>
          <w:lang w:val="en-US"/>
        </w:rPr>
        <w:t xml:space="preserve">” </w:t>
      </w:r>
      <w:r>
        <w:rPr>
          <w:rStyle w:val="Section Number"/>
          <w:rtl w:val="0"/>
          <w:lang w:val="en-US"/>
        </w:rPr>
        <w:t xml:space="preserve">governance status. In this model, a central committee can certify specific validated triples as the </w:t>
      </w:r>
      <w:r>
        <w:rPr>
          <w:rStyle w:val="Section Number"/>
          <w:rtl w:val="0"/>
          <w:lang w:val="en-US"/>
        </w:rPr>
        <w:t>“</w:t>
      </w:r>
      <w:r>
        <w:rPr>
          <w:rStyle w:val="Section Number"/>
          <w:rtl w:val="0"/>
          <w:lang w:val="en-US"/>
        </w:rPr>
        <w:t>source of truth</w:t>
      </w:r>
      <w:r>
        <w:rPr>
          <w:rStyle w:val="Section Number"/>
          <w:rtl w:val="0"/>
          <w:lang w:val="en-US"/>
        </w:rPr>
        <w:t xml:space="preserve">” </w:t>
      </w:r>
      <w:r>
        <w:rPr>
          <w:rStyle w:val="Section Number"/>
          <w:rtl w:val="0"/>
          <w:lang w:val="en-US"/>
        </w:rPr>
        <w:t>for the organization (</w:t>
      </w:r>
      <w:r>
        <w:rPr>
          <w:rStyle w:val="Hyperlink.0"/>
        </w:rPr>
        <w:fldChar w:fldCharType="begin" w:fldLock="0"/>
      </w:r>
      <w:r>
        <w:rPr>
          <w:rStyle w:val="Hyperlink.0"/>
        </w:rPr>
        <w:instrText xml:space="preserve"> HYPERLINK \l "refhimss2025ucdavis" </w:instrText>
      </w:r>
      <w:r>
        <w:rPr>
          <w:rStyle w:val="Hyperlink.0"/>
        </w:rPr>
        <w:fldChar w:fldCharType="separate" w:fldLock="0"/>
      </w:r>
      <w:r>
        <w:rPr>
          <w:rStyle w:val="Hyperlink.0"/>
          <w:rtl w:val="0"/>
        </w:rPr>
        <w:t>127</w:t>
      </w:r>
      <w:r>
        <w:rPr/>
        <w:fldChar w:fldCharType="end" w:fldLock="0"/>
      </w:r>
      <w:r>
        <w:rPr>
          <w:rStyle w:val="Section Number"/>
          <w:rtl w:val="0"/>
          <w:lang w:val="en-US"/>
        </w:rPr>
        <w:t xml:space="preserve">). This ensures that while many users can create and validate queries, only a select few are designated as the official, trusted queries for key metrics, thus mitigating the risks of </w:t>
      </w:r>
      <w:r>
        <w:rPr>
          <w:rStyle w:val="Section Number"/>
          <w:rtl w:val="0"/>
          <w:lang w:val="en-US"/>
        </w:rPr>
        <w:t>“</w:t>
      </w:r>
      <w:r>
        <w:rPr>
          <w:rStyle w:val="Section Number"/>
          <w:rtl w:val="0"/>
          <w:lang w:val="en-US"/>
        </w:rPr>
        <w:t>Shadow IT</w:t>
      </w:r>
      <w:r>
        <w:rPr>
          <w:rStyle w:val="Section Number"/>
          <w:rtl w:val="0"/>
          <w:lang w:val="en-US"/>
        </w:rPr>
        <w:t xml:space="preserve">” </w:t>
      </w:r>
      <w:r>
        <w:rPr>
          <w:rStyle w:val="Section Number"/>
          <w:rtl w:val="0"/>
          <w:lang w:val="en-US"/>
        </w:rPr>
        <w:t>(</w:t>
      </w:r>
      <w:r>
        <w:rPr>
          <w:rStyle w:val="Hyperlink.0"/>
        </w:rPr>
        <w:fldChar w:fldCharType="begin" w:fldLock="0"/>
      </w:r>
      <w:r>
        <w:rPr>
          <w:rStyle w:val="Hyperlink.0"/>
        </w:rPr>
        <w:instrText xml:space="preserve"> HYPERLINK \l "refzimmermann2017" </w:instrText>
      </w:r>
      <w:r>
        <w:rPr>
          <w:rStyle w:val="Hyperlink.0"/>
        </w:rPr>
        <w:fldChar w:fldCharType="separate" w:fldLock="0"/>
      </w:r>
      <w:r>
        <w:rPr>
          <w:rStyle w:val="Hyperlink.0"/>
          <w:rtl w:val="0"/>
        </w:rPr>
        <w:t>135</w:t>
      </w:r>
      <w:r>
        <w:rPr/>
        <w:fldChar w:fldCharType="end" w:fldLock="0"/>
      </w:r>
      <w:r>
        <w:rPr>
          <w:rStyle w:val="Section Number"/>
          <w:rtl w:val="0"/>
          <w:lang w:val="en-US"/>
        </w:rPr>
        <w:t>).</w:t>
      </w:r>
      <w:bookmarkEnd w:id="156"/>
    </w:p>
    <w:p>
      <w:pPr>
        <w:pStyle w:val="Heading"/>
      </w:pPr>
      <w:bookmarkStart w:name="_Toc77" w:id="157"/>
      <w:bookmarkStart w:name="conclusion" w:id="158"/>
      <w:r>
        <w:rPr>
          <w:rStyle w:val="Section Number"/>
          <w:rtl w:val="0"/>
          <w:lang w:val="it-IT"/>
        </w:rPr>
        <w:t>6</w:t>
        <w:tab/>
        <w:t>Conclusion</w:t>
      </w:r>
      <w:bookmarkEnd w:id="157"/>
    </w:p>
    <w:p>
      <w:pPr>
        <w:pStyle w:val="First Paragraph"/>
      </w:pPr>
      <w:r>
        <w:rPr>
          <w:rStyle w:val="Section Number"/>
          <w:rtl w:val="0"/>
          <w:lang w:val="en-US"/>
        </w:rPr>
        <w:t>This narrative review synthesized evidence across three interconnected domains: natural language to SQL generation, healthcare analytics maturity, and workforce-driven institutional memory loss. The primary contribution is a three-pillar analytical framework that reveals how these challenges interconnect and compound each other.</w:t>
      </w:r>
      <w:bookmarkEnd w:id="158"/>
    </w:p>
    <w:p>
      <w:pPr>
        <w:pStyle w:val="Heading 2"/>
      </w:pPr>
      <w:bookmarkStart w:name="_Toc78" w:id="159"/>
      <w:bookmarkStart w:name="thethreepillarframework" w:id="160"/>
      <w:r>
        <w:rPr>
          <w:rStyle w:val="Section Number"/>
          <w:rtl w:val="0"/>
          <w:lang w:val="en-US"/>
        </w:rPr>
        <w:t>6.1</w:t>
        <w:tab/>
        <w:t>The Three-Pillar Framework</w:t>
      </w:r>
      <w:bookmarkEnd w:id="159"/>
    </w:p>
    <w:p>
      <w:pPr>
        <w:pStyle w:val="First Paragraph"/>
      </w:pPr>
      <w:r>
        <w:rPr>
          <w:rStyle w:val="Section Number"/>
          <w:rtl w:val="0"/>
          <w:lang w:val="en-US"/>
        </w:rPr>
        <w:t xml:space="preserve">The framework identifies a self-reinforcing cycle: low </w:t>
      </w:r>
      <w:r>
        <w:rPr>
          <w:rFonts w:ascii="Aptos" w:cs="Aptos" w:hAnsi="Aptos" w:eastAsia="Aptos"/>
          <w:i w:val="1"/>
          <w:iCs w:val="1"/>
          <w:rtl w:val="0"/>
          <w:lang w:val="en-US"/>
        </w:rPr>
        <w:t>Analytics Maturity</w:t>
      </w:r>
      <w:r>
        <w:rPr>
          <w:rStyle w:val="Section Number"/>
          <w:rtl w:val="0"/>
          <w:lang w:val="en-US"/>
        </w:rPr>
        <w:t xml:space="preserve"> leaves clinical decisions unsupported; this frustration correlates with high </w:t>
      </w:r>
      <w:r>
        <w:rPr>
          <w:rFonts w:ascii="Aptos" w:cs="Aptos" w:hAnsi="Aptos" w:eastAsia="Aptos"/>
          <w:i w:val="1"/>
          <w:iCs w:val="1"/>
          <w:rtl w:val="0"/>
          <w:lang w:val="en-US"/>
        </w:rPr>
        <w:t>Workforce Turnover</w:t>
      </w:r>
      <w:r>
        <w:rPr>
          <w:rStyle w:val="Section Number"/>
          <w:rtl w:val="0"/>
          <w:lang w:val="en-US"/>
        </w:rPr>
        <w:t xml:space="preserve">, which causes institutional memory loss; and </w:t>
      </w:r>
      <w:r>
        <w:rPr>
          <w:rFonts w:ascii="Aptos" w:cs="Aptos" w:hAnsi="Aptos" w:eastAsia="Aptos"/>
          <w:i w:val="1"/>
          <w:iCs w:val="1"/>
          <w:rtl w:val="0"/>
          <w:lang w:val="en-US"/>
        </w:rPr>
        <w:t>Technical Barriers</w:t>
      </w:r>
      <w:r>
        <w:rPr>
          <w:rStyle w:val="Section Number"/>
          <w:rtl w:val="0"/>
          <w:lang w:val="en-US"/>
        </w:rPr>
        <w:t xml:space="preserve"> prevent the capture of this knowledge, blocking recovery. This integrated perspective explains why addressing single pillars in isolation</w:t>
      </w:r>
      <w:r>
        <w:rPr>
          <w:rStyle w:val="Section Number"/>
          <w:rtl w:val="0"/>
          <w:lang w:val="en-US"/>
        </w:rPr>
        <w:t>—</w:t>
      </w:r>
      <w:r>
        <w:rPr>
          <w:rStyle w:val="Section Number"/>
          <w:rtl w:val="0"/>
          <w:lang w:val="en-US"/>
        </w:rPr>
        <w:t>such as buying a new tool without addressing workforce stability</w:t>
      </w:r>
      <w:r>
        <w:rPr>
          <w:rStyle w:val="Section Number"/>
          <w:rtl w:val="0"/>
          <w:lang w:val="en-US"/>
        </w:rPr>
        <w:t>—</w:t>
      </w:r>
      <w:r>
        <w:rPr>
          <w:rStyle w:val="Section Number"/>
          <w:rtl w:val="0"/>
          <w:lang w:val="en-US"/>
        </w:rPr>
        <w:t>often fails to produce lasting improvement.</w:t>
      </w:r>
      <w:bookmarkEnd w:id="160"/>
    </w:p>
    <w:p>
      <w:pPr>
        <w:pStyle w:val="Heading 2"/>
      </w:pPr>
      <w:bookmarkStart w:name="_Toc79" w:id="161"/>
      <w:bookmarkStart w:name="keyfindings" w:id="162"/>
      <w:r>
        <w:rPr>
          <w:rStyle w:val="Section Number"/>
          <w:rtl w:val="0"/>
          <w:lang w:val="en-US"/>
        </w:rPr>
        <w:t>6.2</w:t>
        <w:tab/>
        <w:t>Key Findings</w:t>
      </w:r>
      <w:bookmarkEnd w:id="161"/>
    </w:p>
    <w:p>
      <w:pPr>
        <w:pStyle w:val="First Paragraph"/>
      </w:pPr>
      <w:r>
        <w:rPr>
          <w:rStyle w:val="Section Number"/>
          <w:rtl w:val="0"/>
          <w:lang w:val="en-US"/>
        </w:rPr>
        <w:t>This review establishes critical evidence benchmarks for each pillar:</w:t>
      </w:r>
    </w:p>
    <w:p>
      <w:pPr>
        <w:pStyle w:val="Compact"/>
        <w:numPr>
          <w:ilvl w:val="0"/>
          <w:numId w:val="18"/>
        </w:numPr>
        <w:rPr>
          <w:lang w:val="en-US"/>
        </w:rPr>
      </w:pPr>
      <w:r>
        <w:rPr>
          <w:rFonts w:ascii="Aptos" w:cs="Aptos" w:hAnsi="Aptos" w:eastAsia="Aptos"/>
          <w:i w:val="1"/>
          <w:iCs w:val="1"/>
          <w:rtl w:val="0"/>
          <w:lang w:val="en-US"/>
        </w:rPr>
        <w:t>Analytics Maturity</w:t>
      </w:r>
      <w:r>
        <w:rPr>
          <w:rStyle w:val="Section Number"/>
          <w:rtl w:val="0"/>
          <w:lang w:val="en-US"/>
        </w:rPr>
        <w:t>: Healthcare maturity remains low, with most organizations struggling at basic reporting levels. However, recent evidence confirms that higher maturity correlates with better patient safety and experience outcomes, shifting the focus from simple EMR adoption to advanced analytics capabilities (</w:t>
      </w:r>
      <w:r>
        <w:rPr>
          <w:rStyle w:val="Hyperlink.0"/>
        </w:rPr>
        <w:fldChar w:fldCharType="begin" w:fldLock="0"/>
      </w:r>
      <w:r>
        <w:rPr>
          <w:rStyle w:val="Hyperlink.0"/>
        </w:rPr>
        <w:instrText xml:space="preserve"> HYPERLINK \l "refhimss2024" </w:instrText>
      </w:r>
      <w:r>
        <w:rPr>
          <w:rStyle w:val="Hyperlink.0"/>
        </w:rPr>
        <w:fldChar w:fldCharType="separate" w:fldLock="0"/>
      </w:r>
      <w:r>
        <w:rPr>
          <w:rStyle w:val="Hyperlink.0"/>
          <w:rtl w:val="0"/>
          <w:lang w:val="en-US"/>
        </w:rPr>
        <w:t>2</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"refsnowdon2024b" </w:instrText>
      </w:r>
      <w:r>
        <w:rPr>
          <w:rStyle w:val="Hyperlink.0"/>
        </w:rPr>
        <w:fldChar w:fldCharType="separate" w:fldLock="0"/>
      </w:r>
      <w:r>
        <w:rPr>
          <w:rStyle w:val="Hyperlink.0"/>
          <w:rtl w:val="0"/>
          <w:lang w:val="en-US"/>
        </w:rPr>
        <w:t>22</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Workforce Impact</w:t>
      </w:r>
      <w:r>
        <w:rPr>
          <w:rStyle w:val="Section Number"/>
          <w:rtl w:val="0"/>
          <w:lang w:val="en-US"/>
        </w:rPr>
        <w:t>: The sector faces a persistent crisis of instability, with turnover rates historically among the highest in IT (</w:t>
      </w:r>
      <w:r>
        <w:rPr>
          <w:rStyle w:val="Hyperlink.0"/>
        </w:rPr>
        <w:fldChar w:fldCharType="begin" w:fldLock="0"/>
      </w:r>
      <w:r>
        <w:rPr>
          <w:rStyle w:val="Hyperlink.0"/>
        </w:rPr>
        <w:instrText xml:space="preserve"> HYPERLINK \l "refamerican2023" </w:instrText>
      </w:r>
      <w:r>
        <w:rPr>
          <w:rStyle w:val="Hyperlink.0"/>
        </w:rPr>
        <w:fldChar w:fldCharType="separate" w:fldLock="0"/>
      </w:r>
      <w:r>
        <w:rPr>
          <w:rStyle w:val="Hyperlink.0"/>
          <w:rtl w:val="0"/>
          <w:lang w:val="en-US"/>
        </w:rPr>
        <w:t>1</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"refang2004" </w:instrText>
      </w:r>
      <w:r>
        <w:rPr>
          <w:rStyle w:val="Hyperlink.0"/>
        </w:rPr>
        <w:fldChar w:fldCharType="separate" w:fldLock="0"/>
      </w:r>
      <w:r>
        <w:rPr>
          <w:rStyle w:val="Hyperlink.0"/>
          <w:rtl w:val="0"/>
          <w:lang w:val="en-US"/>
        </w:rPr>
        <w:t>7</w:t>
      </w:r>
      <w:r>
        <w:rPr/>
        <w:fldChar w:fldCharType="end" w:fldLock="0"/>
      </w:r>
      <w:r>
        <w:rPr>
          <w:rStyle w:val="Section Number"/>
          <w:rtl w:val="0"/>
          <w:lang w:val="en-US"/>
        </w:rPr>
        <w:t>). The cost of this churn is not just financial but intellectual: knowledge loss can cost up to three times annual salary budgets, degrading organizational capability over time (</w:t>
      </w:r>
      <w:r>
        <w:rPr>
          <w:rStyle w:val="Hyperlink.0"/>
        </w:rPr>
        <w:fldChar w:fldCharType="begin" w:fldLock="0"/>
      </w:r>
      <w:r>
        <w:rPr>
          <w:rStyle w:val="Hyperlink.0"/>
        </w:rPr>
        <w:instrText xml:space="preserve"> HYPERLINK \l "refmassingham2018" </w:instrText>
      </w:r>
      <w:r>
        <w:rPr>
          <w:rStyle w:val="Hyperlink.0"/>
        </w:rPr>
        <w:fldChar w:fldCharType="separate" w:fldLock="0"/>
      </w:r>
      <w:r>
        <w:rPr>
          <w:rStyle w:val="Hyperlink.0"/>
          <w:rtl w:val="0"/>
          <w:lang w:val="en-US"/>
        </w:rPr>
        <w:t>34</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Technical Enablement</w:t>
      </w:r>
      <w:r>
        <w:rPr>
          <w:rStyle w:val="Section Number"/>
          <w:rtl w:val="0"/>
          <w:lang w:val="en-US"/>
        </w:rPr>
        <w:t>: Natural language interfaces have matured to become viable democratizing tools. Benchmarks show significant accuracy improvements (</w:t>
      </w:r>
      <w:r>
        <w:rPr>
          <w:rStyle w:val="Hyperlink.0"/>
        </w:rPr>
        <w:fldChar w:fldCharType="begin" w:fldLock="0"/>
      </w:r>
      <w:r>
        <w:rPr>
          <w:rStyle w:val="Hyperlink.0"/>
        </w:rPr>
        <w:instrText xml:space="preserve"> HYPERLINK \l "refwang2020" </w:instrText>
      </w:r>
      <w:r>
        <w:rPr>
          <w:rStyle w:val="Hyperlink.0"/>
        </w:rPr>
        <w:fldChar w:fldCharType="separate" w:fldLock="0"/>
      </w:r>
      <w:r>
        <w:rPr>
          <w:rStyle w:val="Hyperlink.0"/>
          <w:rtl w:val="0"/>
          <w:lang w:val="en-US"/>
        </w:rPr>
        <w:t>80</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"reflee2023" </w:instrText>
      </w:r>
      <w:r>
        <w:rPr>
          <w:rStyle w:val="Hyperlink.0"/>
        </w:rPr>
        <w:fldChar w:fldCharType="separate" w:fldLock="0"/>
      </w:r>
      <w:r>
        <w:rPr>
          <w:rStyle w:val="Hyperlink.0"/>
          <w:rtl w:val="0"/>
          <w:lang w:val="en-US"/>
        </w:rPr>
        <w:t>87</w:t>
      </w:r>
      <w:r>
        <w:rPr/>
        <w:fldChar w:fldCharType="end" w:fldLock="0"/>
      </w:r>
      <w:r>
        <w:rPr>
          <w:rStyle w:val="Section Number"/>
          <w:rtl w:val="0"/>
          <w:lang w:val="en-US"/>
        </w:rPr>
        <w:t>), while implementation studies document quantifiable productivity gains and cost reductions, including a 21.3% operational efficiency gain and 50% reduction in development time (</w:t>
      </w:r>
      <w:r>
        <w:rPr>
          <w:rStyle w:val="Hyperlink.0"/>
        </w:rPr>
        <w:fldChar w:fldCharType="begin" w:fldLock="0"/>
      </w:r>
      <w:r>
        <w:rPr>
          <w:rStyle w:val="Hyperlink.0"/>
        </w:rPr>
        <w:instrText xml:space="preserve"> HYPERLINK \l "refnashid2023a" </w:instrText>
      </w:r>
      <w:r>
        <w:rPr>
          <w:rStyle w:val="Hyperlink.0"/>
        </w:rPr>
        <w:fldChar w:fldCharType="separate" w:fldLock="0"/>
      </w:r>
      <w:r>
        <w:rPr>
          <w:rStyle w:val="Hyperlink.0"/>
          <w:rtl w:val="0"/>
          <w:lang w:val="en-US"/>
        </w:rPr>
        <w:t>124</w:t>
      </w:r>
      <w:r>
        <w:rPr/>
        <w:fldChar w:fldCharType="end" w:fldLock="0"/>
      </w:r>
      <w:r>
        <w:rPr>
          <w:rStyle w:val="Section Number"/>
          <w:rtl w:val="0"/>
          <w:lang w:val="en-US"/>
        </w:rPr>
        <w:t>,</w:t>
      </w:r>
      <w:r>
        <w:rPr>
          <w:rStyle w:val="Hyperlink.0"/>
        </w:rPr>
        <w:fldChar w:fldCharType="begin" w:fldLock="0"/>
      </w:r>
      <w:r>
        <w:rPr>
          <w:rStyle w:val="Hyperlink.0"/>
        </w:rPr>
        <w:instrText xml:space="preserve"> HYPERLINK \l "refforrester2024a" </w:instrText>
      </w:r>
      <w:r>
        <w:rPr>
          <w:rStyle w:val="Hyperlink.0"/>
        </w:rPr>
        <w:fldChar w:fldCharType="separate" w:fldLock="0"/>
      </w:r>
      <w:r>
        <w:rPr>
          <w:rStyle w:val="Hyperlink.0"/>
          <w:rtl w:val="0"/>
          <w:lang w:val="en-US"/>
        </w:rPr>
        <w:t>125</w:t>
      </w:r>
      <w:r>
        <w:rPr/>
        <w:fldChar w:fldCharType="end" w:fldLock="0"/>
      </w:r>
      <w:r>
        <w:rPr>
          <w:rStyle w:val="Section Number"/>
          <w:rtl w:val="0"/>
          <w:lang w:val="en-US"/>
        </w:rPr>
        <w:t>).</w:t>
      </w:r>
    </w:p>
    <w:p>
      <w:pPr>
        <w:pStyle w:val="Compact"/>
        <w:numPr>
          <w:ilvl w:val="0"/>
          <w:numId w:val="2"/>
        </w:numPr>
        <w:rPr>
          <w:lang w:val="en-US"/>
        </w:rPr>
      </w:pPr>
      <w:r>
        <w:rPr>
          <w:rFonts w:ascii="Aptos" w:cs="Aptos" w:hAnsi="Aptos" w:eastAsia="Aptos"/>
          <w:i w:val="1"/>
          <w:iCs w:val="1"/>
          <w:rtl w:val="0"/>
          <w:lang w:val="en-US"/>
        </w:rPr>
        <w:t>Governance Necessity</w:t>
      </w:r>
      <w:r>
        <w:rPr>
          <w:rStyle w:val="Section Number"/>
          <w:rtl w:val="0"/>
          <w:lang w:val="en-US"/>
        </w:rPr>
        <w:t xml:space="preserve">: Democratization requires stricter governance. Successful implementations demonstrate that establishing </w:t>
      </w:r>
      <w:r>
        <w:rPr>
          <w:rStyle w:val="Section Number"/>
          <w:rtl w:val="0"/>
          <w:lang w:val="en-US"/>
        </w:rPr>
        <w:t>“</w:t>
      </w:r>
      <w:r>
        <w:rPr>
          <w:rStyle w:val="Section Number"/>
          <w:rtl w:val="0"/>
          <w:lang w:val="en-US"/>
        </w:rPr>
        <w:t>Golden Queries</w:t>
      </w:r>
      <w:r>
        <w:rPr>
          <w:rStyle w:val="Section Number"/>
          <w:rtl w:val="0"/>
          <w:lang w:val="en-US"/>
        </w:rPr>
        <w:t xml:space="preserve">” </w:t>
      </w:r>
      <w:r>
        <w:rPr>
          <w:rStyle w:val="Section Number"/>
          <w:rtl w:val="0"/>
          <w:lang w:val="en-US"/>
        </w:rPr>
        <w:t>and standardized definitions is a prerequisite for advanced maturity, enabling organizations to move from ad-hoc reporting to trusted AI deployment (</w:t>
      </w:r>
      <w:r>
        <w:rPr>
          <w:rStyle w:val="Hyperlink.0"/>
        </w:rPr>
        <w:fldChar w:fldCharType="begin" w:fldLock="0"/>
      </w:r>
      <w:r>
        <w:rPr>
          <w:rStyle w:val="Hyperlink.0"/>
        </w:rPr>
        <w:instrText xml:space="preserve"> HYPERLINK \l "refhimss2025ucdavis" </w:instrText>
      </w:r>
      <w:r>
        <w:rPr>
          <w:rStyle w:val="Hyperlink.0"/>
        </w:rPr>
        <w:fldChar w:fldCharType="separate" w:fldLock="0"/>
      </w:r>
      <w:r>
        <w:rPr>
          <w:rStyle w:val="Hyperlink.0"/>
          <w:rtl w:val="0"/>
          <w:lang w:val="en-US"/>
        </w:rPr>
        <w:t>127</w:t>
      </w:r>
      <w:r>
        <w:rPr/>
        <w:fldChar w:fldCharType="end" w:fldLock="0"/>
      </w:r>
      <w:r>
        <w:rPr>
          <w:rStyle w:val="Section Number"/>
          <w:rtl w:val="0"/>
          <w:lang w:val="en-US"/>
        </w:rPr>
        <w:t>).</w:t>
      </w:r>
      <w:bookmarkEnd w:id="162"/>
    </w:p>
    <w:p>
      <w:pPr>
        <w:pStyle w:val="Heading 2"/>
      </w:pPr>
      <w:bookmarkStart w:name="_Toc80" w:id="163"/>
      <w:bookmarkStart w:name="strategicimplications" w:id="164"/>
      <w:r>
        <w:rPr>
          <w:rStyle w:val="Section Number"/>
          <w:rtl w:val="0"/>
          <w:lang w:val="en-US"/>
        </w:rPr>
        <w:t>6.3</w:t>
        <w:tab/>
        <w:t>Strategic Implications</w:t>
      </w:r>
      <w:bookmarkEnd w:id="163"/>
    </w:p>
    <w:p>
      <w:pPr>
        <w:pStyle w:val="First Paragraph"/>
      </w:pPr>
      <w:r>
        <w:rPr>
          <w:rStyle w:val="Section Number"/>
          <w:rtl w:val="0"/>
          <w:lang w:val="en-US"/>
        </w:rPr>
        <w:t xml:space="preserve">Applying the principle of </w:t>
      </w:r>
      <w:r>
        <w:rPr>
          <w:rFonts w:ascii="Aptos" w:cs="Aptos" w:hAnsi="Aptos" w:eastAsia="Aptos"/>
          <w:i w:val="1"/>
          <w:iCs w:val="1"/>
          <w:rtl w:val="0"/>
          <w:lang w:val="en-US"/>
        </w:rPr>
        <w:t>primum non nocere</w:t>
      </w:r>
      <w:r>
        <w:rPr>
          <w:rStyle w:val="Section Number"/>
          <w:rtl w:val="0"/>
          <w:lang w:val="en-US"/>
        </w:rPr>
        <w:t xml:space="preserve"> requires healthcare leaders to weigh the known harms of the status quo</w:t>
      </w:r>
      <w:r>
        <w:rPr>
          <w:rStyle w:val="Section Number"/>
          <w:rtl w:val="0"/>
          <w:lang w:val="en-US"/>
        </w:rPr>
        <w:t>—</w:t>
      </w:r>
      <w:r>
        <w:rPr>
          <w:rStyle w:val="Section Number"/>
          <w:rtl w:val="0"/>
          <w:lang w:val="en-US"/>
        </w:rPr>
        <w:t>institutional memory loss, analyst burnout, and uninformed clinical decisions</w:t>
      </w:r>
      <w:r>
        <w:rPr>
          <w:rStyle w:val="Section Number"/>
          <w:rtl w:val="0"/>
          <w:lang w:val="en-US"/>
        </w:rPr>
        <w:t>—</w:t>
      </w:r>
      <w:r>
        <w:rPr>
          <w:rStyle w:val="Section Number"/>
          <w:rtl w:val="0"/>
          <w:lang w:val="en-US"/>
        </w:rPr>
        <w:t xml:space="preserve">against the risks of new technology. The evidence suggests that </w:t>
      </w:r>
      <w:r>
        <w:rPr>
          <w:rStyle w:val="Section Number"/>
          <w:rtl w:val="0"/>
          <w:lang w:val="en-US"/>
        </w:rPr>
        <w:t>“</w:t>
      </w:r>
      <w:r>
        <w:rPr>
          <w:rStyle w:val="Section Number"/>
          <w:rtl w:val="0"/>
          <w:lang w:val="en-US"/>
        </w:rPr>
        <w:t>doing nothing</w:t>
      </w:r>
      <w:r>
        <w:rPr>
          <w:rStyle w:val="Section Number"/>
          <w:rtl w:val="0"/>
          <w:lang w:val="en-US"/>
        </w:rPr>
        <w:t xml:space="preserve">” </w:t>
      </w:r>
      <w:r>
        <w:rPr>
          <w:rStyle w:val="Section Number"/>
          <w:rtl w:val="0"/>
          <w:lang w:val="en-US"/>
        </w:rPr>
        <w:t>is not a neutral stance but an active acceptance of degradation. Organizations should use the three-pillar framework to assess their exposure to these compounding risks, prioritizing interventions that not only improve technical access but also capture and preserve the institutional knowledge that defines their unique clinical environment.</w:t>
      </w:r>
      <w:bookmarkEnd w:id="164"/>
    </w:p>
    <w:p>
      <w:pPr>
        <w:pStyle w:val="Heading"/>
      </w:pPr>
      <w:bookmarkStart w:name="_Toc81" w:id="165"/>
      <w:bookmarkStart w:name="acknowledgments" w:id="166"/>
      <w:r>
        <w:rPr>
          <w:rStyle w:val="Section Number"/>
          <w:rtl w:val="0"/>
          <w:lang w:val="en-US"/>
        </w:rPr>
        <w:t>7</w:t>
        <w:tab/>
        <w:t>Acknowledgments</w:t>
      </w:r>
      <w:bookmarkEnd w:id="165"/>
    </w:p>
    <w:p>
      <w:pPr>
        <w:pStyle w:val="First Paragraph"/>
      </w:pPr>
      <w:r>
        <w:rPr>
          <w:rStyle w:val="Section Number"/>
          <w:rtl w:val="0"/>
          <w:lang w:val="en-US"/>
        </w:rPr>
        <w:t>The author (S.T.H.) takes full responsibility for the final content, conducted the research, and verified all claims and citations. Gemini CLI (Gemini 3, Google) assisted with manuscript editing and refinement. Figures were generated using the Mermaid graph language.</w:t>
      </w:r>
      <w:bookmarkEnd w:id="166"/>
    </w:p>
    <w:p>
      <w:pPr>
        <w:pStyle w:val="Heading"/>
      </w:pPr>
      <w:bookmarkStart w:name="_Toc82" w:id="167"/>
      <w:bookmarkStart w:name="authorcontributions" w:id="168"/>
      <w:r>
        <w:rPr>
          <w:rStyle w:val="Section Number"/>
          <w:rtl w:val="0"/>
          <w:lang w:val="en-US"/>
        </w:rPr>
        <w:t>8</w:t>
        <w:tab/>
        <w:t>Author Contributions</w:t>
      </w:r>
      <w:bookmarkEnd w:id="167"/>
    </w:p>
    <w:p>
      <w:pPr>
        <w:pStyle w:val="First Paragraph"/>
      </w:pPr>
      <w:r>
        <w:rPr>
          <w:rStyle w:val="Section Number"/>
          <w:rtl w:val="0"/>
          <w:lang w:val="en-US"/>
        </w:rPr>
        <w:t>S.T.H. conceived the research, conducted the literature review, and wrote the manuscript.</w:t>
      </w:r>
      <w:bookmarkEnd w:id="168"/>
    </w:p>
    <w:p>
      <w:pPr>
        <w:pStyle w:val="Heading"/>
      </w:pPr>
      <w:bookmarkStart w:name="_Toc83" w:id="169"/>
      <w:bookmarkStart w:name="conflictsofinterest" w:id="170"/>
      <w:r>
        <w:rPr>
          <w:rStyle w:val="Section Number"/>
          <w:rtl w:val="0"/>
          <w:lang w:val="en-US"/>
        </w:rPr>
        <w:t>9</w:t>
        <w:tab/>
        <w:t>Conflicts of Interest</w:t>
      </w:r>
      <w:bookmarkEnd w:id="169"/>
    </w:p>
    <w:p>
      <w:pPr>
        <w:pStyle w:val="First Paragraph"/>
      </w:pPr>
      <w:r>
        <w:rPr>
          <w:rStyle w:val="Section Number"/>
          <w:rtl w:val="0"/>
          <w:lang w:val="en-US"/>
        </w:rPr>
        <w:t>The author declares the following competing interests: Samuel T Harrold is a contract product advisor at Yuimedi, Inc., which develops healthcare analytics software including conversational AI platforms relevant to this review</w:t>
      </w:r>
      <w:r>
        <w:rPr>
          <w:rStyle w:val="Section Number"/>
          <w:rtl w:val="0"/>
          <w:lang w:val="en-US"/>
        </w:rPr>
        <w:t>’</w:t>
      </w:r>
      <w:r>
        <w:rPr>
          <w:rStyle w:val="Section Number"/>
          <w:rtl w:val="0"/>
          <w:lang w:val="en-US"/>
        </w:rPr>
        <w:t>s subject matter. The author is also employed as a Data Scientist at Indiana University Health. This paper presents an analytical framework derived from published literature and does not evaluate or recommend specific commercial products, including those of the author</w:t>
      </w:r>
      <w:r>
        <w:rPr>
          <w:rStyle w:val="Section Number"/>
          <w:rtl w:val="0"/>
          <w:lang w:val="en-US"/>
        </w:rPr>
        <w:t>’</w:t>
      </w:r>
      <w:r>
        <w:rPr>
          <w:rStyle w:val="Section Number"/>
          <w:rtl w:val="0"/>
          <w:lang w:val="en-US"/>
        </w:rPr>
        <w:t>s affiliated organizations. The views expressed are the author</w:t>
      </w:r>
      <w:r>
        <w:rPr>
          <w:rStyle w:val="Section Number"/>
          <w:rtl w:val="0"/>
          <w:lang w:val="en-US"/>
        </w:rPr>
        <w:t>’</w:t>
      </w:r>
      <w:r>
        <w:rPr>
          <w:rStyle w:val="Section Number"/>
          <w:rtl w:val="0"/>
          <w:lang w:val="en-US"/>
        </w:rPr>
        <w:t>s own and do not represent the official positions of Indiana University Health or Yuimedi, Inc.</w:t>
      </w:r>
      <w:bookmarkEnd w:id="170"/>
    </w:p>
    <w:p>
      <w:pPr>
        <w:pStyle w:val="Heading"/>
      </w:pPr>
      <w:bookmarkStart w:name="_Toc84" w:id="171"/>
      <w:bookmarkStart w:name="dataavailability" w:id="172"/>
      <w:r>
        <w:rPr>
          <w:rStyle w:val="Section Number"/>
          <w:rtl w:val="0"/>
          <w:lang w:val="en-US"/>
        </w:rPr>
        <w:t>10</w:t>
        <w:tab/>
        <w:t>Data Availability</w:t>
      </w:r>
      <w:bookmarkEnd w:id="171"/>
    </w:p>
    <w:p>
      <w:pPr>
        <w:pStyle w:val="First Paragraph"/>
      </w:pPr>
      <w:r>
        <w:rPr>
          <w:rStyle w:val="Section Number"/>
          <w:rtl w:val="0"/>
          <w:lang w:val="en-US"/>
        </w:rPr>
        <w:t>This is a narrative review synthesizing existing literature. No primary datasets were generated or analyzed. All data cited are from publicly available peer-reviewed publications and industry reports, referenced in the bibliography. The literature search methodology and source selection criteria are documented in the Methodology section.</w:t>
      </w:r>
      <w:bookmarkEnd w:id="172"/>
    </w:p>
    <w:p>
      <w:pPr>
        <w:pStyle w:val="Heading"/>
      </w:pPr>
      <w:bookmarkStart w:name="_Toc85" w:id="173"/>
      <w:bookmarkStart w:name="codeavailability" w:id="174"/>
      <w:r>
        <w:rPr>
          <w:rStyle w:val="Section Number"/>
          <w:rtl w:val="0"/>
          <w:lang w:val="en-US"/>
        </w:rPr>
        <w:t>11</w:t>
        <w:tab/>
        <w:t>Code Availability</w:t>
      </w:r>
      <w:bookmarkEnd w:id="173"/>
    </w:p>
    <w:p>
      <w:pPr>
        <w:pStyle w:val="First Paragraph"/>
      </w:pPr>
      <w:r>
        <w:rPr>
          <w:rStyle w:val="Section Number"/>
          <w:rtl w:val="0"/>
          <w:lang w:val="en-US"/>
        </w:rPr>
        <w:t xml:space="preserve">The custom software used for literature search, thematic analysis, and citation validation is available in the project repository at https://github.com/stharrold/yuimedi-paper-20250901. This includes the </w:t>
      </w:r>
      <w:r>
        <w:rPr>
          <w:rStyle w:val="Verbatim Char"/>
          <w:rtl w:val="0"/>
          <w:lang w:val="en-US"/>
        </w:rPr>
        <w:t>lit_review</w:t>
      </w:r>
      <w:r>
        <w:rPr>
          <w:rStyle w:val="Section Number"/>
          <w:rtl w:val="0"/>
          <w:lang w:val="en-US"/>
        </w:rPr>
        <w:t xml:space="preserve"> Python package for narrative review synthesis and the </w:t>
      </w:r>
      <w:r>
        <w:rPr>
          <w:rStyle w:val="Verbatim Char"/>
          <w:rtl w:val="0"/>
          <w:lang w:val="en-US"/>
        </w:rPr>
        <w:t>scripts</w:t>
      </w:r>
      <w:r>
        <w:rPr>
          <w:rStyle w:val="Section Number"/>
          <w:rtl w:val="0"/>
          <w:lang w:val="en-US"/>
        </w:rPr>
        <w:t xml:space="preserve"> library for reference validation.</w:t>
      </w:r>
      <w:bookmarkEnd w:id="174"/>
    </w:p>
    <w:p>
      <w:pPr>
        <w:pStyle w:val="Heading"/>
      </w:pPr>
      <w:bookmarkStart w:name="_Toc86" w:id="175"/>
      <w:bookmarkStart w:name="funding" w:id="176"/>
      <w:r>
        <w:rPr>
          <w:rStyle w:val="Section Number"/>
          <w:rtl w:val="0"/>
          <w:lang w:val="en-US"/>
        </w:rPr>
        <w:t>12</w:t>
        <w:tab/>
        <w:t>Funding</w:t>
      </w:r>
      <w:bookmarkEnd w:id="175"/>
    </w:p>
    <w:p>
      <w:pPr>
        <w:pStyle w:val="First Paragraph"/>
      </w:pPr>
      <w:r>
        <w:rPr>
          <w:rStyle w:val="Section Number"/>
          <w:rtl w:val="0"/>
          <w:lang w:val="en-US"/>
        </w:rPr>
        <w:t>Yuimedi provided funding for the author</w:t>
      </w:r>
      <w:r>
        <w:rPr>
          <w:rStyle w:val="Section Number"/>
          <w:rtl w:val="0"/>
          <w:lang w:val="en-US"/>
        </w:rPr>
        <w:t>’</w:t>
      </w:r>
      <w:r>
        <w:rPr>
          <w:rStyle w:val="Section Number"/>
          <w:rtl w:val="0"/>
          <w:lang w:val="en-US"/>
        </w:rPr>
        <w:t>s time writing and researching this manuscript.</w:t>
      </w:r>
      <w:bookmarkEnd w:id="176"/>
    </w:p>
    <w:p>
      <w:pPr>
        <w:pStyle w:val="Heading"/>
      </w:pPr>
      <w:bookmarkStart w:name="_Toc87" w:id="177"/>
      <w:bookmarkStart w:name="abbreviations" w:id="178"/>
      <w:r>
        <w:rPr>
          <w:rStyle w:val="Section Number"/>
          <w:rtl w:val="0"/>
          <w:lang w:val="it-IT"/>
        </w:rPr>
        <w:t>13</w:t>
        <w:tab/>
        <w:t>Abbreviations</w:t>
      </w:r>
      <w:bookmarkEnd w:id="177"/>
    </w:p>
    <w:p>
      <w:pPr>
        <w:pStyle w:val="First Paragraph"/>
      </w:pPr>
      <w:r>
        <w:rPr>
          <w:rStyle w:val="Section Number"/>
          <w:rtl w:val="0"/>
          <w:lang w:val="en-US"/>
        </w:rPr>
        <w:t>AACODS: Authority, Accuracy, Coverage, Objectivity, Date, Significance ACO: Accountable Care Organization AI: Artificial Intelligence AMAM: Analytics Maturity Assessment Model Clinical Terminology: Standardized vocabularies including ICD-10, CPT, SNOMED, and RxNorm used in healthcare data Conversational AI: Artificial intelligence systems that enable natural language interaction for complex tasks CPT: Current Procedural Terminology DAMAF: Data Analytics Maturity Assessment Framework DIKW: Data-Information-Knowledge-Wisdom EHR: Electronic Health Record EMRAM: Electronic Medical Record Adoption Model HDQM2: Healthcare Data Quality Maturity Model HIMSS: Healthcare Information Management Systems Society ICD: International Classification of Diseases Institutional Memory: Collective organizational knowledge, expertise, and practices that enable effectiveness IT: Information Technology LLM: Large Language Model NL2SQL: Natural Language to SQL Population Health: Analytics focused on health outcomes of groups of individuals rather than individual patients RAG: Retrieval-Augmented Generation SQL: Structured Query Language</w:t>
      </w:r>
      <w:bookmarkEnd w:id="178"/>
    </w:p>
    <w:p>
      <w:pPr>
        <w:pStyle w:val="Heading"/>
      </w:pPr>
      <w:bookmarkStart w:name="_Toc88" w:id="179"/>
      <w:bookmarkStart w:name="multimediaappendix" w:id="180"/>
      <w:r>
        <w:rPr>
          <w:rStyle w:val="Section Number"/>
          <w:rtl w:val="0"/>
          <w:lang w:val="da-DK"/>
        </w:rPr>
        <w:t>14</w:t>
        <w:tab/>
        <w:t>Multimedia Appendix</w:t>
      </w:r>
      <w:bookmarkEnd w:id="179"/>
    </w:p>
    <w:p>
      <w:pPr>
        <w:pStyle w:val="First Paragraph"/>
      </w:pPr>
      <w:r>
        <w:rPr>
          <w:rStyle w:val="Section Number"/>
          <w:rtl w:val="0"/>
          <w:lang w:val="en-US"/>
        </w:rPr>
        <w:t xml:space="preserve">Multimedia Appendix 1: HIMSS Analytics Maturity Assessment Model (AMAM) Stages (see </w:t>
      </w:r>
      <w:r>
        <w:rPr>
          <w:rStyle w:val="Verbatim Char"/>
          <w:rtl w:val="0"/>
          <w:lang w:val="en-US"/>
        </w:rPr>
        <w:t>multimedia_appendix_1.pdf</w:t>
      </w:r>
      <w:r>
        <w:rPr>
          <w:rStyle w:val="Section Number"/>
          <w:rtl w:val="0"/>
          <w:lang w:val="en-US"/>
        </w:rPr>
        <w:t>).</w:t>
      </w:r>
    </w:p>
    <w:p>
      <w:pPr>
        <w:pStyle w:val="Body Text"/>
      </w:pPr>
      <w:r>
        <w:rPr>
          <w:rStyle w:val="Section Number"/>
          <w:rtl w:val="0"/>
          <w:lang w:val="en-US"/>
        </w:rPr>
        <w:t xml:space="preserve">Multimedia Appendix 2: Healthcare NL2SQL Query Examples (see </w:t>
      </w:r>
      <w:r>
        <w:rPr>
          <w:rStyle w:val="Verbatim Char"/>
          <w:rtl w:val="0"/>
          <w:lang w:val="en-US"/>
        </w:rPr>
        <w:t>multimedia_appendix_2.pdf</w:t>
      </w:r>
      <w:r>
        <w:rPr>
          <w:rStyle w:val="Section Number"/>
          <w:rtl w:val="0"/>
          <w:lang w:val="en-US"/>
        </w:rPr>
        <w:t>).</w:t>
      </w:r>
      <w:bookmarkEnd w:id="180"/>
    </w:p>
    <w:p>
      <w:pPr>
        <w:pStyle w:val="Heading"/>
      </w:pPr>
      <w:bookmarkStart w:name="_Toc89" w:id="181"/>
      <w:bookmarkStart w:name="references" w:id="182"/>
      <w:r>
        <w:rPr>
          <w:rStyle w:val="Section Number"/>
          <w:rtl w:val="0"/>
          <w:lang w:val="fr-FR"/>
        </w:rPr>
        <w:t>15</w:t>
        <w:tab/>
        <w:t>References</w:t>
      </w:r>
      <w:bookmarkEnd w:id="182"/>
      <w:bookmarkEnd w:id="181"/>
    </w:p>
    <w:p>
      <w:pPr>
        <w:pStyle w:val="Bibliography"/>
      </w:pPr>
      <w:bookmarkStart w:name="refamerican2023" w:id="183"/>
      <w:r>
        <w:rPr>
          <w:rStyle w:val="Section Number"/>
          <w:rtl w:val="0"/>
          <w:lang w:val="en-US"/>
        </w:rPr>
        <w:t>1</w:t>
      </w:r>
      <w:bookmarkEnd w:id="183"/>
      <w:bookmarkStart w:name="refs" w:id="184"/>
      <w:r>
        <w:rPr>
          <w:rStyle w:val="Section Number"/>
          <w:rtl w:val="0"/>
          <w:lang w:val="en-US"/>
        </w:rPr>
        <w:t xml:space="preserve">. </w:t>
        <w:tab/>
        <w:t xml:space="preserve">NORC at the University of Chicago AHIMA &amp;. Health information workforce survey report [Internet]. American Health Information Management Association &amp; NORC at the University of Chicago; 2023. Available from: </w:t>
      </w:r>
      <w:r>
        <w:rPr>
          <w:rStyle w:val="Hyperlink.0"/>
        </w:rPr>
        <w:fldChar w:fldCharType="begin" w:fldLock="0"/>
      </w:r>
      <w:r>
        <w:rPr>
          <w:rStyle w:val="Hyperlink.0"/>
        </w:rPr>
        <w:instrText xml:space="preserve"> HYPERLINK "https://www.ahima.org/news-publications/press-room-press-releases/2023-press-releases/health-information-workforce-shortages-persist-as-ai-shows-promise-ahima-survey-reveals/"</w:instrText>
      </w:r>
      <w:r>
        <w:rPr>
          <w:rStyle w:val="Hyperlink.0"/>
        </w:rPr>
        <w:fldChar w:fldCharType="separate" w:fldLock="0"/>
      </w:r>
      <w:r>
        <w:rPr>
          <w:rStyle w:val="Hyperlink.0"/>
          <w:rtl w:val="0"/>
        </w:rPr>
        <w:t>https://www.ahima.org/news-publications/press-room-press-releases/2023-press-releases/health-information-workforce-shortages-persist-as-ai-shows-promise-ahima-survey-reveals/</w:t>
      </w:r>
      <w:bookmarkEnd w:id="184"/>
      <w:r>
        <w:rPr/>
        <w:fldChar w:fldCharType="end" w:fldLock="0"/>
      </w:r>
    </w:p>
    <w:p>
      <w:pPr>
        <w:pStyle w:val="Bibliography"/>
      </w:pPr>
      <w:bookmarkStart w:name="refhimss2024" w:id="185"/>
      <w:r>
        <w:rPr>
          <w:rStyle w:val="Section Number"/>
          <w:rtl w:val="0"/>
          <w:lang w:val="en-US"/>
        </w:rPr>
        <w:t xml:space="preserve">2. </w:t>
        <w:tab/>
        <w:t xml:space="preserve">Analytics H. Analytics maturity assessment model (AMAM) global report. Healthcare Information and Management Systems Society [Internet]. HIMSS Analytics; 2024. Available from: </w:t>
      </w:r>
      <w:r>
        <w:rPr>
          <w:rStyle w:val="Hyperlink.0"/>
        </w:rPr>
        <w:fldChar w:fldCharType="begin" w:fldLock="0"/>
      </w:r>
      <w:r>
        <w:rPr>
          <w:rStyle w:val="Hyperlink.0"/>
        </w:rPr>
        <w:instrText xml:space="preserve"> HYPERLINK "https://www.himss.org/maturity-models/amam/"</w:instrText>
      </w:r>
      <w:r>
        <w:rPr>
          <w:rStyle w:val="Hyperlink.0"/>
        </w:rPr>
        <w:fldChar w:fldCharType="separate" w:fldLock="0"/>
      </w:r>
      <w:r>
        <w:rPr>
          <w:rStyle w:val="Hyperlink.0"/>
          <w:rtl w:val="0"/>
        </w:rPr>
        <w:t>https://www.himss.org/maturity-models/amam/</w:t>
      </w:r>
      <w:bookmarkEnd w:id="185"/>
      <w:r>
        <w:rPr/>
        <w:fldChar w:fldCharType="end" w:fldLock="0"/>
      </w:r>
    </w:p>
    <w:p>
      <w:pPr>
        <w:pStyle w:val="Bibliography"/>
      </w:pPr>
      <w:bookmarkStart w:name="refhimss2024news" w:id="186"/>
      <w:r>
        <w:rPr>
          <w:rStyle w:val="Section Number"/>
          <w:rtl w:val="0"/>
          <w:lang w:val="en-US"/>
        </w:rPr>
        <w:t xml:space="preserve">3. </w:t>
        <w:tab/>
        <w:t xml:space="preserve">Healthcare IT News. HIMSS launches modernised Analytics Maturity Assessment Model [Internet]. 2024. Available from: </w:t>
      </w:r>
      <w:r>
        <w:rPr>
          <w:rStyle w:val="Hyperlink.0"/>
        </w:rPr>
        <w:fldChar w:fldCharType="begin" w:fldLock="0"/>
      </w:r>
      <w:r>
        <w:rPr>
          <w:rStyle w:val="Hyperlink.0"/>
        </w:rPr>
        <w:instrText xml:space="preserve"> HYPERLINK "https://www.healthcareitnews.com/news/asia/himss24-apac-adoption-model-analytics-maturity-gets-facelift"</w:instrText>
      </w:r>
      <w:r>
        <w:rPr>
          <w:rStyle w:val="Hyperlink.0"/>
        </w:rPr>
        <w:fldChar w:fldCharType="separate" w:fldLock="0"/>
      </w:r>
      <w:r>
        <w:rPr>
          <w:rStyle w:val="Hyperlink.0"/>
          <w:rtl w:val="0"/>
        </w:rPr>
        <w:t>https://www.healthcareitnews.com/news/asia/himss24-apac-adoption-model-analytics-maturity-gets-facelift</w:t>
      </w:r>
      <w:bookmarkEnd w:id="186"/>
      <w:r>
        <w:rPr/>
        <w:fldChar w:fldCharType="end" w:fldLock="0"/>
      </w:r>
    </w:p>
    <w:p>
      <w:pPr>
        <w:pStyle w:val="Bibliography"/>
      </w:pPr>
      <w:bookmarkStart w:name="refwittkieffer2024" w:id="187"/>
      <w:r>
        <w:rPr>
          <w:rStyle w:val="Section Number"/>
          <w:rtl w:val="0"/>
          <w:lang w:val="en-US"/>
        </w:rPr>
        <w:t xml:space="preserve">4. </w:t>
        <w:tab/>
        <w:t xml:space="preserve">WittKieffer. CIO Insights: The State of Healthcare IT Leadership [Internet]. WittKieffer; 2024. Available from: </w:t>
      </w:r>
      <w:r>
        <w:rPr>
          <w:rStyle w:val="Hyperlink.0"/>
        </w:rPr>
        <w:fldChar w:fldCharType="begin" w:fldLock="0"/>
      </w:r>
      <w:r>
        <w:rPr>
          <w:rStyle w:val="Hyperlink.0"/>
        </w:rPr>
        <w:instrText xml:space="preserve"> HYPERLINK "https://api.wittkieffer.com/wp-content/uploads/2012/10/cio-insights-the-state-of-healthcare-it-leadership-wittkieffer-october-2024.pdf"</w:instrText>
      </w:r>
      <w:r>
        <w:rPr>
          <w:rStyle w:val="Hyperlink.0"/>
        </w:rPr>
        <w:fldChar w:fldCharType="separate" w:fldLock="0"/>
      </w:r>
      <w:r>
        <w:rPr>
          <w:rStyle w:val="Hyperlink.0"/>
          <w:rtl w:val="0"/>
        </w:rPr>
        <w:t>https://api.wittkieffer.com/wp-content/uploads/2012/10/cio-insights-the-state-of-healthcare-it-leadership-wittkieffer-october-2024.pdf</w:t>
      </w:r>
      <w:bookmarkEnd w:id="187"/>
      <w:r>
        <w:rPr/>
        <w:fldChar w:fldCharType="end" w:fldLock="0"/>
      </w:r>
    </w:p>
    <w:p>
      <w:pPr>
        <w:pStyle w:val="Bibliography"/>
      </w:pPr>
      <w:bookmarkStart w:name="refhimssworkforce2024" w:id="188"/>
      <w:r>
        <w:rPr>
          <w:rStyle w:val="Section Number"/>
          <w:rtl w:val="0"/>
          <w:lang w:val="en-US"/>
        </w:rPr>
        <w:t xml:space="preserve">5. </w:t>
        <w:tab/>
        <w:t xml:space="preserve">HIMSS. The Future of Workforce [Internet]. Healthcare Information; Management Systems Society; 2024. Available from: </w:t>
      </w:r>
      <w:r>
        <w:rPr>
          <w:rStyle w:val="Hyperlink.0"/>
        </w:rPr>
        <w:fldChar w:fldCharType="begin" w:fldLock="0"/>
      </w:r>
      <w:r>
        <w:rPr>
          <w:rStyle w:val="Hyperlink.0"/>
        </w:rPr>
        <w:instrText xml:space="preserve"> HYPERLINK "https://www.himss.org/resources/the-future-of-workforce/"</w:instrText>
      </w:r>
      <w:r>
        <w:rPr>
          <w:rStyle w:val="Hyperlink.0"/>
        </w:rPr>
        <w:fldChar w:fldCharType="separate" w:fldLock="0"/>
      </w:r>
      <w:r>
        <w:rPr>
          <w:rStyle w:val="Hyperlink.0"/>
          <w:rtl w:val="0"/>
        </w:rPr>
        <w:t>https://www.himss.org/resources/the-future-of-workforce/</w:t>
      </w:r>
      <w:bookmarkEnd w:id="188"/>
      <w:r>
        <w:rPr/>
        <w:fldChar w:fldCharType="end" w:fldLock="0"/>
      </w:r>
    </w:p>
    <w:p>
      <w:pPr>
        <w:pStyle w:val="Bibliography"/>
      </w:pPr>
      <w:bookmarkStart w:name="refrajamani2025" w:id="189"/>
      <w:r>
        <w:rPr>
          <w:rStyle w:val="Section Number"/>
          <w:rtl w:val="0"/>
          <w:lang w:val="en-US"/>
        </w:rPr>
        <w:t xml:space="preserve">6. </w:t>
        <w:tab/>
        <w:t xml:space="preserve">Rajamani L S. Public health informatics specialists in state and local public health workforce: Insights from public health workforce interests and needs survey. Journal of Public Health Management and Practice [Internet]. 2025; Available from: </w:t>
      </w:r>
      <w:r>
        <w:rPr>
          <w:rStyle w:val="Hyperlink.0"/>
        </w:rPr>
        <w:fldChar w:fldCharType="begin" w:fldLock="0"/>
      </w:r>
      <w:r>
        <w:rPr>
          <w:rStyle w:val="Hyperlink.0"/>
        </w:rPr>
        <w:instrText xml:space="preserve"> HYPERLINK "https://academic.oup.com/jpubhealth"</w:instrText>
      </w:r>
      <w:r>
        <w:rPr>
          <w:rStyle w:val="Hyperlink.0"/>
        </w:rPr>
        <w:fldChar w:fldCharType="separate" w:fldLock="0"/>
      </w:r>
      <w:r>
        <w:rPr>
          <w:rStyle w:val="Hyperlink.0"/>
          <w:rtl w:val="0"/>
        </w:rPr>
        <w:t>https://academic.oup.com/jpubhealth</w:t>
      </w:r>
      <w:bookmarkEnd w:id="189"/>
      <w:r>
        <w:rPr/>
        <w:fldChar w:fldCharType="end" w:fldLock="0"/>
      </w:r>
    </w:p>
    <w:p>
      <w:pPr>
        <w:pStyle w:val="Bibliography"/>
      </w:pPr>
      <w:bookmarkStart w:name="refang2004" w:id="190"/>
      <w:r>
        <w:rPr>
          <w:rStyle w:val="Section Number"/>
          <w:rtl w:val="0"/>
          <w:lang w:val="en-US"/>
        </w:rPr>
        <w:t xml:space="preserve">7. </w:t>
        <w:tab/>
        <w:t xml:space="preserve">Ang &amp;S S. Turnover of information technology professionals: The effects of internal labor market strategies. ACM SIGMIS Database: The DATABASE for Advances in Information Systems [Internet]. 2004; Available from: </w:t>
      </w:r>
      <w:r>
        <w:rPr>
          <w:rStyle w:val="Hyperlink.0"/>
        </w:rPr>
        <w:fldChar w:fldCharType="begin" w:fldLock="0"/>
      </w:r>
      <w:r>
        <w:rPr>
          <w:rStyle w:val="Hyperlink.0"/>
        </w:rPr>
        <w:instrText xml:space="preserve"> HYPERLINK "https://dl.acm.org/doi/10.1145/1017114.1017118"</w:instrText>
      </w:r>
      <w:r>
        <w:rPr>
          <w:rStyle w:val="Hyperlink.0"/>
        </w:rPr>
        <w:fldChar w:fldCharType="separate" w:fldLock="0"/>
      </w:r>
      <w:r>
        <w:rPr>
          <w:rStyle w:val="Hyperlink.0"/>
          <w:rtl w:val="0"/>
        </w:rPr>
        <w:t>https://dl.acm.org/doi/10.1145/1017114.1017118</w:t>
      </w:r>
      <w:bookmarkEnd w:id="190"/>
      <w:r>
        <w:rPr/>
        <w:fldChar w:fldCharType="end" w:fldLock="0"/>
      </w:r>
    </w:p>
    <w:p>
      <w:pPr>
        <w:pStyle w:val="Bibliography"/>
      </w:pPr>
      <w:bookmarkStart w:name="refgal2019" w:id="191"/>
      <w:r>
        <w:rPr>
          <w:rStyle w:val="Section Number"/>
          <w:rtl w:val="0"/>
          <w:lang w:val="en-US"/>
        </w:rPr>
        <w:t xml:space="preserve">8. </w:t>
        <w:tab/>
        <w:t>Gal MS, Rubinfeld DL. Data Standardization. NYU Law Review [Internet]. 2019;94(4):737</w:t>
      </w:r>
      <w:r>
        <w:rPr>
          <w:rStyle w:val="Section Number"/>
          <w:rtl w:val="0"/>
          <w:lang w:val="en-US"/>
        </w:rPr>
        <w:t>–</w:t>
      </w:r>
      <w:r>
        <w:rPr>
          <w:rStyle w:val="Section Number"/>
          <w:rtl w:val="0"/>
          <w:lang w:val="en-US"/>
        </w:rPr>
        <w:t xml:space="preserve">70. Available from: </w:t>
      </w:r>
      <w:r>
        <w:rPr>
          <w:rStyle w:val="Hyperlink.0"/>
        </w:rPr>
        <w:fldChar w:fldCharType="begin" w:fldLock="0"/>
      </w:r>
      <w:r>
        <w:rPr>
          <w:rStyle w:val="Hyperlink.0"/>
        </w:rPr>
        <w:instrText xml:space="preserve"> HYPERLINK "https://www.nyulawreview.org/issues/volume-94-number-4/data-standardization/"</w:instrText>
      </w:r>
      <w:r>
        <w:rPr>
          <w:rStyle w:val="Hyperlink.0"/>
        </w:rPr>
        <w:fldChar w:fldCharType="separate" w:fldLock="0"/>
      </w:r>
      <w:r>
        <w:rPr>
          <w:rStyle w:val="Hyperlink.0"/>
          <w:rtl w:val="0"/>
        </w:rPr>
        <w:t>https://www.nyulawreview.org/issues/volume-94-number-4/data-standardization/</w:t>
      </w:r>
      <w:bookmarkEnd w:id="191"/>
      <w:r>
        <w:rPr/>
        <w:fldChar w:fldCharType="end" w:fldLock="0"/>
      </w:r>
    </w:p>
    <w:p>
      <w:pPr>
        <w:pStyle w:val="Bibliography"/>
      </w:pPr>
      <w:bookmarkStart w:name="refzhang2024" w:id="192"/>
      <w:r>
        <w:rPr>
          <w:rStyle w:val="Section Number"/>
          <w:rtl w:val="0"/>
          <w:lang w:val="en-US"/>
        </w:rPr>
        <w:t xml:space="preserve">9. </w:t>
        <w:tab/>
        <w:t xml:space="preserve">Zhang Y, Callaghan-Koru JA, Koru G. The challenges and opportunities of continuous data quality improvement for healthcare administration data. JAMIA Open. 2024;7(2):ooae042. </w:t>
      </w:r>
      <w:bookmarkEnd w:id="192"/>
    </w:p>
    <w:p>
      <w:pPr>
        <w:pStyle w:val="Bibliography"/>
      </w:pPr>
      <w:bookmarkStart w:name="refanthropic2025" w:id="193"/>
      <w:r>
        <w:rPr>
          <w:rStyle w:val="Section Number"/>
          <w:rtl w:val="0"/>
          <w:lang w:val="en-US"/>
        </w:rPr>
        <w:t xml:space="preserve">10. </w:t>
        <w:tab/>
        <w:t xml:space="preserve">Anthropic. Code modernization playbook: A practical guide to modernizing legacy systems with AI [Internet]. 2025. Available from: </w:t>
      </w:r>
      <w:r>
        <w:rPr>
          <w:rStyle w:val="Hyperlink.0"/>
        </w:rPr>
        <w:fldChar w:fldCharType="begin" w:fldLock="0"/>
      </w:r>
      <w:r>
        <w:rPr>
          <w:rStyle w:val="Hyperlink.0"/>
        </w:rPr>
        <w:instrText xml:space="preserve"> HYPERLINK "https://resources.anthropic.com/code-modernization-playbook"</w:instrText>
      </w:r>
      <w:r>
        <w:rPr>
          <w:rStyle w:val="Hyperlink.0"/>
        </w:rPr>
        <w:fldChar w:fldCharType="separate" w:fldLock="0"/>
      </w:r>
      <w:r>
        <w:rPr>
          <w:rStyle w:val="Hyperlink.0"/>
          <w:rtl w:val="0"/>
        </w:rPr>
        <w:t>https://resources.anthropic.com/code-modernization-playbook</w:t>
      </w:r>
      <w:bookmarkEnd w:id="193"/>
      <w:r>
        <w:rPr/>
        <w:fldChar w:fldCharType="end" w:fldLock="0"/>
      </w:r>
    </w:p>
    <w:p>
      <w:pPr>
        <w:pStyle w:val="Bibliography"/>
      </w:pPr>
      <w:bookmarkStart w:name="refhendrix1978" w:id="194"/>
      <w:r>
        <w:rPr>
          <w:rStyle w:val="Section Number"/>
          <w:rtl w:val="0"/>
          <w:lang w:val="en-US"/>
        </w:rPr>
        <w:t xml:space="preserve">11. </w:t>
        <w:tab/>
        <w:t xml:space="preserve">Hendrix S G. G. Developing a natural language interface to complex data. ACM Transactions on Database Systems [Internet]. 1978; Available from: </w:t>
      </w:r>
      <w:r>
        <w:rPr>
          <w:rStyle w:val="Hyperlink.0"/>
        </w:rPr>
        <w:fldChar w:fldCharType="begin" w:fldLock="0"/>
      </w:r>
      <w:r>
        <w:rPr>
          <w:rStyle w:val="Hyperlink.0"/>
        </w:rPr>
        <w:instrText xml:space="preserve"> HYPERLINK "https://dl.acm.org/doi/abs/10.1145/320251.320253"</w:instrText>
      </w:r>
      <w:r>
        <w:rPr>
          <w:rStyle w:val="Hyperlink.0"/>
        </w:rPr>
        <w:fldChar w:fldCharType="separate" w:fldLock="0"/>
      </w:r>
      <w:r>
        <w:rPr>
          <w:rStyle w:val="Hyperlink.0"/>
          <w:rtl w:val="0"/>
        </w:rPr>
        <w:t>https://dl.acm.org/doi/abs/10.1145/320251.320253</w:t>
      </w:r>
      <w:bookmarkEnd w:id="194"/>
      <w:r>
        <w:rPr/>
        <w:fldChar w:fldCharType="end" w:fldLock="0"/>
      </w:r>
    </w:p>
    <w:p>
      <w:pPr>
        <w:pStyle w:val="Bibliography"/>
      </w:pPr>
      <w:bookmarkStart w:name="refogunwole2023" w:id="195"/>
      <w:r>
        <w:rPr>
          <w:rStyle w:val="Section Number"/>
          <w:rtl w:val="0"/>
          <w:lang w:val="en-US"/>
        </w:rPr>
        <w:t xml:space="preserve">12. </w:t>
        <w:tab/>
        <w:t xml:space="preserve">Ogunwole &amp;O O. Modernizing legacy systems: A scalable approach to next-generation data architectures and seamless integration. International Journal of Multidisciplinary Research [Internet]. 2023; Available from: </w:t>
      </w:r>
      <w:r>
        <w:rPr>
          <w:rStyle w:val="Hyperlink.0"/>
        </w:rPr>
        <w:fldChar w:fldCharType="begin" w:fldLock="0"/>
      </w:r>
      <w:r>
        <w:rPr>
          <w:rStyle w:val="Hyperlink.0"/>
        </w:rPr>
        <w:instrText xml:space="preserve"> HYPERLINK "https://www.allmultidisciplinaryjournal.com/uploads/archives/20250306182550_MGE-2025-2-018.1.pdf"</w:instrText>
      </w:r>
      <w:r>
        <w:rPr>
          <w:rStyle w:val="Hyperlink.0"/>
        </w:rPr>
        <w:fldChar w:fldCharType="separate" w:fldLock="0"/>
      </w:r>
      <w:r>
        <w:rPr>
          <w:rStyle w:val="Hyperlink.0"/>
          <w:rtl w:val="0"/>
        </w:rPr>
        <w:t>https://www.allmultidisciplinaryjournal.com/uploads/archives/20250306182550_MGE-2025-2-018.1.pdf</w:t>
      </w:r>
      <w:bookmarkEnd w:id="195"/>
      <w:r>
        <w:rPr/>
        <w:fldChar w:fldCharType="end" w:fldLock="0"/>
      </w:r>
    </w:p>
    <w:p>
      <w:pPr>
        <w:pStyle w:val="Bibliography"/>
      </w:pPr>
      <w:bookmarkStart w:name="refarora2025" w:id="196"/>
      <w:r>
        <w:rPr>
          <w:rStyle w:val="Section Number"/>
          <w:rtl w:val="0"/>
          <w:lang w:val="en-US"/>
        </w:rPr>
        <w:t xml:space="preserve">13. </w:t>
        <w:tab/>
        <w:t xml:space="preserve">Arora A. Challenges of Integrating Artificial Intelligence in Legacy Systems and Potential Solutions for Seamless Integration. SSRN [Internet]. 2025; Available from: </w:t>
      </w:r>
      <w:r>
        <w:rPr>
          <w:rStyle w:val="Hyperlink.0"/>
        </w:rPr>
        <w:fldChar w:fldCharType="begin" w:fldLock="0"/>
      </w:r>
      <w:r>
        <w:rPr>
          <w:rStyle w:val="Hyperlink.0"/>
        </w:rPr>
        <w:instrText xml:space="preserve"> HYPERLINK "https://papers.ssrn.com/sol3/papers.cfm?abstract_id=5268176"</w:instrText>
      </w:r>
      <w:r>
        <w:rPr>
          <w:rStyle w:val="Hyperlink.0"/>
        </w:rPr>
        <w:fldChar w:fldCharType="separate" w:fldLock="0"/>
      </w:r>
      <w:r>
        <w:rPr>
          <w:rStyle w:val="Hyperlink.0"/>
          <w:rtl w:val="0"/>
        </w:rPr>
        <w:t>https://papers.ssrn.com/sol3/papers.cfm?abstract_id=5268176</w:t>
      </w:r>
      <w:bookmarkEnd w:id="196"/>
      <w:r>
        <w:rPr/>
        <w:fldChar w:fldCharType="end" w:fldLock="0"/>
      </w:r>
    </w:p>
    <w:p>
      <w:pPr>
        <w:pStyle w:val="Bibliography"/>
      </w:pPr>
      <w:bookmarkStart w:name="reflatrella2024" w:id="197"/>
      <w:r>
        <w:rPr>
          <w:rStyle w:val="Section Number"/>
          <w:rtl w:val="0"/>
          <w:lang w:val="en-US"/>
        </w:rPr>
        <w:t xml:space="preserve">14. </w:t>
        <w:tab/>
        <w:t xml:space="preserve">Latrella &amp;B M. Improving patient outcomes while reducing readmissions with data analytics. Management in Healthcare [Internet]. 2024; Available from: </w:t>
      </w:r>
      <w:r>
        <w:rPr>
          <w:rStyle w:val="Hyperlink.0"/>
        </w:rPr>
        <w:fldChar w:fldCharType="begin" w:fldLock="0"/>
      </w:r>
      <w:r>
        <w:rPr>
          <w:rStyle w:val="Hyperlink.0"/>
        </w:rPr>
        <w:instrText xml:space="preserve"> HYPERLINK "https://www.ingentaconnect.com/content/hsp/mih/2024/00000008/00000004/art00006"</w:instrText>
      </w:r>
      <w:r>
        <w:rPr>
          <w:rStyle w:val="Hyperlink.0"/>
        </w:rPr>
        <w:fldChar w:fldCharType="separate" w:fldLock="0"/>
      </w:r>
      <w:r>
        <w:rPr>
          <w:rStyle w:val="Hyperlink.0"/>
          <w:rtl w:val="0"/>
        </w:rPr>
        <w:t>https://www.ingentaconnect.com/content/hsp/mih/2024/00000008/00000004/art00006</w:t>
      </w:r>
      <w:bookmarkEnd w:id="197"/>
      <w:r>
        <w:rPr/>
        <w:fldChar w:fldCharType="end" w:fldLock="0"/>
      </w:r>
    </w:p>
    <w:p>
      <w:pPr>
        <w:pStyle w:val="Bibliography"/>
      </w:pPr>
      <w:bookmarkStart w:name="refnashid2023" w:id="198"/>
      <w:r>
        <w:rPr>
          <w:rStyle w:val="Section Number"/>
          <w:rtl w:val="0"/>
          <w:lang w:val="en-US"/>
        </w:rPr>
        <w:t xml:space="preserve">15. </w:t>
        <w:tab/>
        <w:t>Nashid P S., Hossain MI. Advanced Business Analytics in Healthcare: Enhancing Clinical Decision Support and Operational Efficiency. Business and Social Sciences [Internet]. 2023;1(1):1</w:t>
      </w:r>
      <w:r>
        <w:rPr>
          <w:rStyle w:val="Section Number"/>
          <w:rtl w:val="0"/>
          <w:lang w:val="en-US"/>
        </w:rPr>
        <w:t>–</w:t>
      </w:r>
      <w:r>
        <w:rPr>
          <w:rStyle w:val="Section Number"/>
          <w:rtl w:val="0"/>
          <w:lang w:val="en-US"/>
        </w:rPr>
        <w:t xml:space="preserve">8. Available from: </w:t>
      </w:r>
      <w:r>
        <w:rPr>
          <w:rStyle w:val="Hyperlink.0"/>
        </w:rPr>
        <w:fldChar w:fldCharType="begin" w:fldLock="0"/>
      </w:r>
      <w:r>
        <w:rPr>
          <w:rStyle w:val="Hyperlink.0"/>
        </w:rPr>
        <w:instrText xml:space="preserve"> HYPERLINK "https://doi.org/10.25163/business.1110345"</w:instrText>
      </w:r>
      <w:r>
        <w:rPr>
          <w:rStyle w:val="Hyperlink.0"/>
        </w:rPr>
        <w:fldChar w:fldCharType="separate" w:fldLock="0"/>
      </w:r>
      <w:r>
        <w:rPr>
          <w:rStyle w:val="Hyperlink.0"/>
          <w:rtl w:val="0"/>
        </w:rPr>
        <w:t>https://doi.org/10.25163/business.1110345</w:t>
      </w:r>
      <w:bookmarkEnd w:id="198"/>
      <w:r>
        <w:rPr/>
        <w:fldChar w:fldCharType="end" w:fldLock="0"/>
      </w:r>
    </w:p>
    <w:p>
      <w:pPr>
        <w:pStyle w:val="Bibliography"/>
      </w:pPr>
      <w:bookmarkStart w:name="refshahbaz2019" w:id="199"/>
      <w:r>
        <w:rPr>
          <w:rStyle w:val="Section Number"/>
          <w:rtl w:val="0"/>
          <w:lang w:val="en-US"/>
        </w:rPr>
        <w:t xml:space="preserve">16. </w:t>
        <w:tab/>
        <w:t xml:space="preserve">Shahbaz G M. Investigating the adoption of big data analytics in healthcare: The moderating role of resistance to change. Journal of Big Data [Internet]. 2019; Available from: </w:t>
      </w:r>
      <w:r>
        <w:rPr>
          <w:rStyle w:val="Hyperlink.0"/>
        </w:rPr>
        <w:fldChar w:fldCharType="begin" w:fldLock="0"/>
      </w:r>
      <w:r>
        <w:rPr>
          <w:rStyle w:val="Hyperlink.0"/>
        </w:rPr>
        <w:instrText xml:space="preserve"> HYPERLINK "https://journalofbigdata.springeropen.com/articles/10.1186/s40537-019-0170-y"</w:instrText>
      </w:r>
      <w:r>
        <w:rPr>
          <w:rStyle w:val="Hyperlink.0"/>
        </w:rPr>
        <w:fldChar w:fldCharType="separate" w:fldLock="0"/>
      </w:r>
      <w:r>
        <w:rPr>
          <w:rStyle w:val="Hyperlink.0"/>
          <w:rtl w:val="0"/>
        </w:rPr>
        <w:t>https://journalofbigdata.springeropen.com/articles/10.1186/s40537-019-0170-y</w:t>
      </w:r>
      <w:bookmarkEnd w:id="199"/>
      <w:r>
        <w:rPr/>
        <w:fldChar w:fldCharType="end" w:fldLock="0"/>
      </w:r>
    </w:p>
    <w:p>
      <w:pPr>
        <w:pStyle w:val="Bibliography"/>
      </w:pPr>
      <w:bookmarkStart w:name="refkamble2019" w:id="200"/>
      <w:r>
        <w:rPr>
          <w:rStyle w:val="Section Number"/>
          <w:rtl w:val="0"/>
          <w:lang w:val="en-US"/>
        </w:rPr>
        <w:t xml:space="preserve">17. </w:t>
        <w:tab/>
        <w:t xml:space="preserve">Kamble G S. S. A systematic perspective on the applications of big data analytics in healthcare management. International Journal of Healthcare Management [Internet]. 2019; Available from: </w:t>
      </w:r>
      <w:r>
        <w:rPr>
          <w:rStyle w:val="Hyperlink.0"/>
        </w:rPr>
        <w:fldChar w:fldCharType="begin" w:fldLock="0"/>
      </w:r>
      <w:r>
        <w:rPr>
          <w:rStyle w:val="Hyperlink.0"/>
        </w:rPr>
        <w:instrText xml:space="preserve"> HYPERLINK "https://www.tandfonline.com/doi/full/10.1080/20479700.2018.1531606"</w:instrText>
      </w:r>
      <w:r>
        <w:rPr>
          <w:rStyle w:val="Hyperlink.0"/>
        </w:rPr>
        <w:fldChar w:fldCharType="separate" w:fldLock="0"/>
      </w:r>
      <w:r>
        <w:rPr>
          <w:rStyle w:val="Hyperlink.0"/>
          <w:rtl w:val="0"/>
        </w:rPr>
        <w:t>https://www.tandfonline.com/doi/full/10.1080/20479700.2018.1531606</w:t>
      </w:r>
      <w:bookmarkEnd w:id="200"/>
      <w:r>
        <w:rPr/>
        <w:fldChar w:fldCharType="end" w:fldLock="0"/>
      </w:r>
    </w:p>
    <w:p>
      <w:pPr>
        <w:pStyle w:val="Bibliography"/>
      </w:pPr>
      <w:bookmarkStart w:name="refbravorocca2023" w:id="201"/>
      <w:r>
        <w:rPr>
          <w:rStyle w:val="Section Number"/>
          <w:rtl w:val="0"/>
          <w:lang w:val="en-US"/>
        </w:rPr>
        <w:t xml:space="preserve">18. </w:t>
        <w:tab/>
        <w:t>Bravo Rocca GJ. Human-on-the-loop continual learning [Internet] [PhD thesis]. Universitat Polit</w:t>
      </w:r>
      <w:r>
        <w:rPr>
          <w:rStyle w:val="Section Number"/>
          <w:rtl w:val="0"/>
          <w:lang w:val="en-US"/>
        </w:rPr>
        <w:t>è</w:t>
      </w:r>
      <w:r>
        <w:rPr>
          <w:rStyle w:val="Section Number"/>
          <w:rtl w:val="0"/>
          <w:lang w:val="en-US"/>
        </w:rPr>
        <w:t xml:space="preserve">cnica de Catalunya; 2023. Available from: </w:t>
      </w:r>
      <w:r>
        <w:rPr>
          <w:rStyle w:val="Hyperlink.0"/>
        </w:rPr>
        <w:fldChar w:fldCharType="begin" w:fldLock="0"/>
      </w:r>
      <w:r>
        <w:rPr>
          <w:rStyle w:val="Hyperlink.0"/>
        </w:rPr>
        <w:instrText xml:space="preserve"> HYPERLINK "https://www.tdx.cat/bitstream/handle/10803/695722/TGJBR1de1.pdf?sequence=1"</w:instrText>
      </w:r>
      <w:r>
        <w:rPr>
          <w:rStyle w:val="Hyperlink.0"/>
        </w:rPr>
        <w:fldChar w:fldCharType="separate" w:fldLock="0"/>
      </w:r>
      <w:r>
        <w:rPr>
          <w:rStyle w:val="Hyperlink.0"/>
          <w:rtl w:val="0"/>
        </w:rPr>
        <w:t>https://www.tdx.cat/bitstream/handle/10803/695722/TGJBR1de1.pdf?sequence=1</w:t>
      </w:r>
      <w:bookmarkEnd w:id="201"/>
      <w:r>
        <w:rPr/>
        <w:fldChar w:fldCharType="end" w:fldLock="0"/>
      </w:r>
    </w:p>
    <w:p>
      <w:pPr>
        <w:pStyle w:val="Bibliography"/>
      </w:pPr>
      <w:bookmarkStart w:name="refmosqueirarey2023" w:id="202"/>
      <w:r>
        <w:rPr>
          <w:rStyle w:val="Section Number"/>
          <w:rtl w:val="0"/>
          <w:lang w:val="en-US"/>
        </w:rPr>
        <w:t xml:space="preserve">19. </w:t>
        <w:tab/>
        <w:t>Mosqueira-Rey E et al. Human-in-the-loop machine learning: A state of the art. Artificial Intelligence Review [Internet]. 2023;56:3005</w:t>
      </w:r>
      <w:r>
        <w:rPr>
          <w:rStyle w:val="Section Number"/>
          <w:rtl w:val="0"/>
          <w:lang w:val="en-US"/>
        </w:rPr>
        <w:t>–</w:t>
      </w:r>
      <w:r>
        <w:rPr>
          <w:rStyle w:val="Section Number"/>
          <w:rtl w:val="0"/>
          <w:lang w:val="en-US"/>
        </w:rPr>
        <w:t xml:space="preserve">54. Available from: </w:t>
      </w:r>
      <w:r>
        <w:rPr>
          <w:rStyle w:val="Hyperlink.0"/>
        </w:rPr>
        <w:fldChar w:fldCharType="begin" w:fldLock="0"/>
      </w:r>
      <w:r>
        <w:rPr>
          <w:rStyle w:val="Hyperlink.0"/>
        </w:rPr>
        <w:instrText xml:space="preserve"> HYPERLINK "https://link.springer.com/content/pdf/10.1007/s10462-022-10246-w.pdf"</w:instrText>
      </w:r>
      <w:r>
        <w:rPr>
          <w:rStyle w:val="Hyperlink.0"/>
        </w:rPr>
        <w:fldChar w:fldCharType="separate" w:fldLock="0"/>
      </w:r>
      <w:r>
        <w:rPr>
          <w:rStyle w:val="Hyperlink.0"/>
          <w:rtl w:val="0"/>
        </w:rPr>
        <w:t>https://link.springer.com/content/pdf/10.1007/s10462-022-10246-w.pdf</w:t>
      </w:r>
      <w:bookmarkEnd w:id="202"/>
      <w:r>
        <w:rPr/>
        <w:fldChar w:fldCharType="end" w:fldLock="0"/>
      </w:r>
    </w:p>
    <w:p>
      <w:pPr>
        <w:pStyle w:val="Bibliography"/>
      </w:pPr>
      <w:bookmarkStart w:name="refziletti2024" w:id="203"/>
      <w:r>
        <w:rPr>
          <w:rStyle w:val="Section Number"/>
          <w:rtl w:val="0"/>
          <w:lang w:val="en-US"/>
        </w:rPr>
        <w:t xml:space="preserve">20. </w:t>
        <w:tab/>
        <w:t xml:space="preserve">Ziletti &amp;D A. Retrieval augmented text-to-SQL generation for epidemiological question answering using electronic health records. NAACL 2024 Clinical NLP Workshop [Internet]. 2024; Available from: </w:t>
      </w:r>
      <w:r>
        <w:rPr>
          <w:rStyle w:val="Hyperlink.0"/>
        </w:rPr>
        <w:fldChar w:fldCharType="begin" w:fldLock="0"/>
      </w:r>
      <w:r>
        <w:rPr>
          <w:rStyle w:val="Hyperlink.0"/>
        </w:rPr>
        <w:instrText xml:space="preserve"> HYPERLINK "https://arxiv.org/abs/2403.09226"</w:instrText>
      </w:r>
      <w:r>
        <w:rPr>
          <w:rStyle w:val="Hyperlink.0"/>
        </w:rPr>
        <w:fldChar w:fldCharType="separate" w:fldLock="0"/>
      </w:r>
      <w:r>
        <w:rPr>
          <w:rStyle w:val="Hyperlink.0"/>
          <w:rtl w:val="0"/>
        </w:rPr>
        <w:t>https://arxiv.org/abs/2403.09226</w:t>
      </w:r>
      <w:bookmarkEnd w:id="203"/>
      <w:r>
        <w:rPr/>
        <w:fldChar w:fldCharType="end" w:fldLock="0"/>
      </w:r>
    </w:p>
    <w:p>
      <w:pPr>
        <w:pStyle w:val="Bibliography"/>
      </w:pPr>
      <w:bookmarkStart w:name="reftyndall2010" w:id="204"/>
      <w:r>
        <w:rPr>
          <w:rStyle w:val="Section Number"/>
          <w:rtl w:val="0"/>
          <w:lang w:val="en-US"/>
        </w:rPr>
        <w:t xml:space="preserve">21. </w:t>
        <w:tab/>
        <w:t xml:space="preserve">Tyndall J. AACODS Checklist. Flinders University [Internet]. 2010. Available from: </w:t>
      </w:r>
      <w:r>
        <w:rPr>
          <w:rStyle w:val="Hyperlink.0"/>
        </w:rPr>
        <w:fldChar w:fldCharType="begin" w:fldLock="0"/>
      </w:r>
      <w:r>
        <w:rPr>
          <w:rStyle w:val="Hyperlink.0"/>
        </w:rPr>
        <w:instrText xml:space="preserve"> HYPERLINK "https://dspace.flinders.edu.au/jspui/bitstream/2328/3326/4/AACODS_Checklist.pdf"</w:instrText>
      </w:r>
      <w:r>
        <w:rPr>
          <w:rStyle w:val="Hyperlink.0"/>
        </w:rPr>
        <w:fldChar w:fldCharType="separate" w:fldLock="0"/>
      </w:r>
      <w:r>
        <w:rPr>
          <w:rStyle w:val="Hyperlink.0"/>
          <w:rtl w:val="0"/>
        </w:rPr>
        <w:t>https://dspace.flinders.edu.au/jspui/bitstream/2328/3326/4/AACODS_Checklist.pdf</w:t>
      </w:r>
      <w:bookmarkEnd w:id="204"/>
      <w:r>
        <w:rPr/>
        <w:fldChar w:fldCharType="end" w:fldLock="0"/>
      </w:r>
    </w:p>
    <w:p>
      <w:pPr>
        <w:pStyle w:val="Bibliography"/>
      </w:pPr>
      <w:bookmarkStart w:name="refsnowdon2024b" w:id="205"/>
      <w:r>
        <w:rPr>
          <w:rStyle w:val="Section Number"/>
          <w:rtl w:val="0"/>
          <w:lang w:val="en-US"/>
        </w:rPr>
        <w:t xml:space="preserve">22. </w:t>
        <w:tab/>
        <w:t xml:space="preserve">Snowdon A. New analytics maturity adoption model pushes for digital transformation and data-driven decisions. HIMSS [Internet]. 2024; Available from: </w:t>
      </w:r>
      <w:r>
        <w:rPr>
          <w:rStyle w:val="Hyperlink.0"/>
        </w:rPr>
        <w:fldChar w:fldCharType="begin" w:fldLock="0"/>
      </w:r>
      <w:r>
        <w:rPr>
          <w:rStyle w:val="Hyperlink.0"/>
        </w:rPr>
        <w:instrText xml:space="preserve"> HYPERLINK "https://legacy.himss.org/news/new-analytics-maturity-adoption-model-pushes-digital-transformation-and-data-driven-decisions"</w:instrText>
      </w:r>
      <w:r>
        <w:rPr>
          <w:rStyle w:val="Hyperlink.0"/>
        </w:rPr>
        <w:fldChar w:fldCharType="separate" w:fldLock="0"/>
      </w:r>
      <w:r>
        <w:rPr>
          <w:rStyle w:val="Hyperlink.0"/>
          <w:rtl w:val="0"/>
        </w:rPr>
        <w:t>https://legacy.himss.org/news/new-analytics-maturity-adoption-model-pushes-digital-transformation-and-data-driven-decisions</w:t>
      </w:r>
      <w:bookmarkEnd w:id="205"/>
      <w:r>
        <w:rPr/>
        <w:fldChar w:fldCharType="end" w:fldLock="0"/>
      </w:r>
    </w:p>
    <w:p>
      <w:pPr>
        <w:pStyle w:val="Bibliography"/>
      </w:pPr>
      <w:bookmarkStart w:name="refhealth2020" w:id="206"/>
      <w:r>
        <w:rPr>
          <w:rStyle w:val="Section Number"/>
          <w:rtl w:val="0"/>
          <w:lang w:val="en-US"/>
        </w:rPr>
        <w:t xml:space="preserve">23. </w:t>
        <w:tab/>
        <w:t xml:space="preserve">Catalyst H. The healthcare analytics adoption model: A roadmap to analytic maturity [Internet]. 2020. Available from: </w:t>
      </w:r>
      <w:r>
        <w:rPr>
          <w:rStyle w:val="Hyperlink.0"/>
        </w:rPr>
        <w:fldChar w:fldCharType="begin" w:fldLock="0"/>
      </w:r>
      <w:r>
        <w:rPr>
          <w:rStyle w:val="Hyperlink.0"/>
        </w:rPr>
        <w:instrText xml:space="preserve"> HYPERLINK "https://www.healthcatalyst.com/learn/insights/healthcare-analytics-adoption-model-roadmap-analytic-maturity"</w:instrText>
      </w:r>
      <w:r>
        <w:rPr>
          <w:rStyle w:val="Hyperlink.0"/>
        </w:rPr>
        <w:fldChar w:fldCharType="separate" w:fldLock="0"/>
      </w:r>
      <w:r>
        <w:rPr>
          <w:rStyle w:val="Hyperlink.0"/>
          <w:rtl w:val="0"/>
        </w:rPr>
        <w:t>https://www.healthcatalyst.com/learn/insights/healthcare-analytics-adoption-model-roadmap-analytic-maturity</w:t>
      </w:r>
      <w:bookmarkEnd w:id="206"/>
      <w:r>
        <w:rPr/>
        <w:fldChar w:fldCharType="end" w:fldLock="0"/>
      </w:r>
    </w:p>
    <w:p>
      <w:pPr>
        <w:pStyle w:val="Bibliography"/>
      </w:pPr>
      <w:bookmarkStart w:name="refberkshire2024" w:id="207"/>
      <w:r>
        <w:rPr>
          <w:rStyle w:val="Section Number"/>
          <w:rtl w:val="0"/>
          <w:lang w:val="en-US"/>
        </w:rPr>
        <w:t xml:space="preserve">24. </w:t>
        <w:tab/>
        <w:t xml:space="preserve">Trust BHN. Empowering citizen developers: Low-code success in healthcare [Internet]. 2024. Available from: </w:t>
      </w:r>
      <w:r>
        <w:rPr>
          <w:rStyle w:val="Hyperlink.0"/>
        </w:rPr>
        <w:fldChar w:fldCharType="begin" w:fldLock="0"/>
      </w:r>
      <w:r>
        <w:rPr>
          <w:rStyle w:val="Hyperlink.0"/>
        </w:rPr>
        <w:instrText xml:space="preserve"> HYPERLINK "https://ia.berkshirehealthcare.nhs.uk/citizen-developer-programme"</w:instrText>
      </w:r>
      <w:r>
        <w:rPr>
          <w:rStyle w:val="Hyperlink.0"/>
        </w:rPr>
        <w:fldChar w:fldCharType="separate" w:fldLock="0"/>
      </w:r>
      <w:r>
        <w:rPr>
          <w:rStyle w:val="Hyperlink.0"/>
          <w:rtl w:val="0"/>
        </w:rPr>
        <w:t>https://ia.berkshirehealthcare.nhs.uk/citizen-developer-programme</w:t>
      </w:r>
      <w:bookmarkEnd w:id="207"/>
      <w:r>
        <w:rPr/>
        <w:fldChar w:fldCharType="end" w:fldLock="0"/>
      </w:r>
    </w:p>
    <w:p>
      <w:pPr>
        <w:pStyle w:val="Bibliography"/>
      </w:pPr>
      <w:bookmarkStart w:name="refforrester2024" w:id="208"/>
      <w:r>
        <w:rPr>
          <w:rStyle w:val="Section Number"/>
          <w:rtl w:val="0"/>
          <w:lang w:val="en-US"/>
        </w:rPr>
        <w:t xml:space="preserve">25. </w:t>
        <w:tab/>
        <w:t xml:space="preserve">Research F. The total economic impact of Microsoft Power Apps. Forrester Consulting [Internet]. 2024. Available from: </w:t>
      </w:r>
      <w:r>
        <w:rPr>
          <w:rStyle w:val="Hyperlink.0"/>
        </w:rPr>
        <w:fldChar w:fldCharType="begin" w:fldLock="0"/>
      </w:r>
      <w:r>
        <w:rPr>
          <w:rStyle w:val="Hyperlink.0"/>
        </w:rPr>
        <w:instrText xml:space="preserve"> HYPERLINK "https://tei.forrester.com/go/microsoft/powerappstei/?lang=en-us"</w:instrText>
      </w:r>
      <w:r>
        <w:rPr>
          <w:rStyle w:val="Hyperlink.0"/>
        </w:rPr>
        <w:fldChar w:fldCharType="separate" w:fldLock="0"/>
      </w:r>
      <w:r>
        <w:rPr>
          <w:rStyle w:val="Hyperlink.0"/>
          <w:rtl w:val="0"/>
        </w:rPr>
        <w:t>https://tei.forrester.com/go/microsoft/powerappstei/?lang=en-us</w:t>
      </w:r>
      <w:bookmarkEnd w:id="208"/>
      <w:r>
        <w:rPr/>
        <w:fldChar w:fldCharType="end" w:fldLock="0"/>
      </w:r>
    </w:p>
    <w:p>
      <w:pPr>
        <w:pStyle w:val="Bibliography"/>
      </w:pPr>
      <w:bookmarkStart w:name="reforacle2024" w:id="209"/>
      <w:r>
        <w:rPr>
          <w:rStyle w:val="Section Number"/>
          <w:rtl w:val="0"/>
          <w:lang w:val="en-US"/>
        </w:rPr>
        <w:t xml:space="preserve">26. </w:t>
        <w:tab/>
        <w:t xml:space="preserve">Oracle. The real cost of turnover in healthcare [Internet]. 2024. Available from: </w:t>
      </w:r>
      <w:r>
        <w:rPr>
          <w:rStyle w:val="Hyperlink.0"/>
        </w:rPr>
        <w:fldChar w:fldCharType="begin" w:fldLock="0"/>
      </w:r>
      <w:r>
        <w:rPr>
          <w:rStyle w:val="Hyperlink.0"/>
        </w:rPr>
        <w:instrText xml:space="preserve"> HYPERLINK "https://www.oracle.com/human-capital-management/cost-employee-turnover-healthcare/"</w:instrText>
      </w:r>
      <w:r>
        <w:rPr>
          <w:rStyle w:val="Hyperlink.0"/>
        </w:rPr>
        <w:fldChar w:fldCharType="separate" w:fldLock="0"/>
      </w:r>
      <w:r>
        <w:rPr>
          <w:rStyle w:val="Hyperlink.0"/>
          <w:rtl w:val="0"/>
        </w:rPr>
        <w:t>https://www.oracle.com/human-capital-management/cost-employee-turnover-healthcare/</w:t>
      </w:r>
      <w:bookmarkEnd w:id="209"/>
      <w:r>
        <w:rPr/>
        <w:fldChar w:fldCharType="end" w:fldLock="0"/>
      </w:r>
    </w:p>
    <w:p>
      <w:pPr>
        <w:pStyle w:val="Bibliography"/>
      </w:pPr>
      <w:bookmarkStart w:name="refprecedence2024" w:id="210"/>
      <w:r>
        <w:rPr>
          <w:rStyle w:val="Section Number"/>
          <w:rtl w:val="0"/>
          <w:lang w:val="en-US"/>
        </w:rPr>
        <w:t xml:space="preserve">27. </w:t>
        <w:tab/>
        <w:t xml:space="preserve">Research P. Healthcare analytics market size and forecast 2025 to 2034 [Internet]. 2024. Available from: </w:t>
      </w:r>
      <w:r>
        <w:rPr>
          <w:rStyle w:val="Hyperlink.0"/>
        </w:rPr>
        <w:fldChar w:fldCharType="begin" w:fldLock="0"/>
      </w:r>
      <w:r>
        <w:rPr>
          <w:rStyle w:val="Hyperlink.0"/>
        </w:rPr>
        <w:instrText xml:space="preserve"> HYPERLINK "https://www.precedenceresearch.com/healthcare-analytics-market"</w:instrText>
      </w:r>
      <w:r>
        <w:rPr>
          <w:rStyle w:val="Hyperlink.0"/>
        </w:rPr>
        <w:fldChar w:fldCharType="separate" w:fldLock="0"/>
      </w:r>
      <w:r>
        <w:rPr>
          <w:rStyle w:val="Hyperlink.0"/>
          <w:rtl w:val="0"/>
        </w:rPr>
        <w:t>https://www.precedenceresearch.com/healthcare-analytics-market</w:t>
      </w:r>
      <w:bookmarkEnd w:id="210"/>
      <w:r>
        <w:rPr/>
        <w:fldChar w:fldCharType="end" w:fldLock="0"/>
      </w:r>
    </w:p>
    <w:p>
      <w:pPr>
        <w:pStyle w:val="Bibliography"/>
      </w:pPr>
      <w:bookmarkStart w:name="refibm2022" w:id="211"/>
      <w:r>
        <w:rPr>
          <w:rStyle w:val="Section Number"/>
          <w:rtl w:val="0"/>
          <w:lang w:val="en-US"/>
        </w:rPr>
        <w:t xml:space="preserve">28. </w:t>
        <w:tab/>
        <w:t>IBM. Francisco Partners to Acquire IBM</w:t>
      </w:r>
      <w:r>
        <w:rPr>
          <w:rStyle w:val="Section Number"/>
          <w:rtl w:val="0"/>
          <w:lang w:val="en-US"/>
        </w:rPr>
        <w:t>’</w:t>
      </w:r>
      <w:r>
        <w:rPr>
          <w:rStyle w:val="Section Number"/>
          <w:rtl w:val="0"/>
          <w:lang w:val="en-US"/>
        </w:rPr>
        <w:t xml:space="preserve">s Healthcare Data and Analytics Assets. IBM Newsroom [Internet]. 2022; Available from: </w:t>
      </w:r>
      <w:r>
        <w:rPr>
          <w:rStyle w:val="Hyperlink.0"/>
        </w:rPr>
        <w:fldChar w:fldCharType="begin" w:fldLock="0"/>
      </w:r>
      <w:r>
        <w:rPr>
          <w:rStyle w:val="Hyperlink.0"/>
        </w:rPr>
        <w:instrText xml:space="preserve"> HYPERLINK "https://newsroom.ibm.com/2022-01-21-Francisco-Partners-to-Acquire-IBMs-Healthcare-Data-and-Analytics-Assets"</w:instrText>
      </w:r>
      <w:r>
        <w:rPr>
          <w:rStyle w:val="Hyperlink.0"/>
        </w:rPr>
        <w:fldChar w:fldCharType="separate" w:fldLock="0"/>
      </w:r>
      <w:r>
        <w:rPr>
          <w:rStyle w:val="Hyperlink.0"/>
          <w:rtl w:val="0"/>
        </w:rPr>
        <w:t>https://newsroom.ibm.com/2022-01-21-Francisco-Partners-to-Acquire-IBMs-Healthcare-Data-and-Analytics-Assets</w:t>
      </w:r>
      <w:bookmarkEnd w:id="211"/>
      <w:r>
        <w:rPr/>
        <w:fldChar w:fldCharType="end" w:fldLock="0"/>
      </w:r>
    </w:p>
    <w:p>
      <w:pPr>
        <w:pStyle w:val="Bibliography"/>
      </w:pPr>
      <w:bookmarkStart w:name="reflavito2021" w:id="212"/>
      <w:r>
        <w:rPr>
          <w:rStyle w:val="Section Number"/>
          <w:rtl w:val="0"/>
          <w:lang w:val="en-US"/>
        </w:rPr>
        <w:t xml:space="preserve">29. </w:t>
        <w:tab/>
        <w:t xml:space="preserve">LaVito A. Haven, the Amazon-Berkshire-JPMorgan venture to disrupt healthcare, is disbanding after 3 years. CNBC [Internet]. 2021; Available from: </w:t>
      </w:r>
      <w:r>
        <w:rPr>
          <w:rStyle w:val="Hyperlink.0"/>
        </w:rPr>
        <w:fldChar w:fldCharType="begin" w:fldLock="0"/>
      </w:r>
      <w:r>
        <w:rPr>
          <w:rStyle w:val="Hyperlink.0"/>
        </w:rPr>
        <w:instrText xml:space="preserve"> HYPERLINK "https://www.cnbc.com/2021/01/04/haven-the-amazon-berkshire-jpmorgan-venture-to-disrupt-healthcare-is-disbanding-after-3-years.html"</w:instrText>
      </w:r>
      <w:r>
        <w:rPr>
          <w:rStyle w:val="Hyperlink.0"/>
        </w:rPr>
        <w:fldChar w:fldCharType="separate" w:fldLock="0"/>
      </w:r>
      <w:r>
        <w:rPr>
          <w:rStyle w:val="Hyperlink.0"/>
          <w:rtl w:val="0"/>
        </w:rPr>
        <w:t>https://www.cnbc.com/2021/01/04/haven-the-amazon-berkshire-jpmorgan-venture-to-disrupt-healthcare-is-disbanding-after-3-years.html</w:t>
      </w:r>
      <w:bookmarkEnd w:id="212"/>
      <w:r>
        <w:rPr/>
        <w:fldChar w:fldCharType="end" w:fldLock="0"/>
      </w:r>
    </w:p>
    <w:p>
      <w:pPr>
        <w:pStyle w:val="Bibliography"/>
      </w:pPr>
      <w:bookmarkStart w:name="refallison2021" w:id="213"/>
      <w:r>
        <w:rPr>
          <w:rStyle w:val="Section Number"/>
          <w:rtl w:val="0"/>
          <w:lang w:val="en-US"/>
        </w:rPr>
        <w:t xml:space="preserve">30. </w:t>
        <w:tab/>
        <w:t xml:space="preserve">Allison DG, Peters H. Root Cause Analysis (RCA) for the Improvement of Healthcare Systems and Patient Safety [Internet]. CRC Press; 2021. Available from: </w:t>
      </w:r>
      <w:r>
        <w:rPr>
          <w:rStyle w:val="Hyperlink.0"/>
        </w:rPr>
        <w:fldChar w:fldCharType="begin" w:fldLock="0"/>
      </w:r>
      <w:r>
        <w:rPr>
          <w:rStyle w:val="Hyperlink.0"/>
        </w:rPr>
        <w:instrText xml:space="preserve"> HYPERLINK "https://doi.org/10.1201/9781003188162"</w:instrText>
      </w:r>
      <w:r>
        <w:rPr>
          <w:rStyle w:val="Hyperlink.0"/>
        </w:rPr>
        <w:fldChar w:fldCharType="separate" w:fldLock="0"/>
      </w:r>
      <w:r>
        <w:rPr>
          <w:rStyle w:val="Hyperlink.0"/>
          <w:rtl w:val="0"/>
        </w:rPr>
        <w:t>https://doi.org/10.1201/9781003188162</w:t>
      </w:r>
      <w:bookmarkEnd w:id="213"/>
      <w:r>
        <w:rPr/>
        <w:fldChar w:fldCharType="end" w:fldLock="0"/>
      </w:r>
    </w:p>
    <w:p>
      <w:pPr>
        <w:pStyle w:val="Bibliography"/>
      </w:pPr>
      <w:bookmarkStart w:name="refsoylemez2017" w:id="214"/>
      <w:r>
        <w:rPr>
          <w:rStyle w:val="Section Number"/>
          <w:rtl w:val="0"/>
          <w:lang w:val="en-US"/>
        </w:rPr>
        <w:t xml:space="preserve">31. </w:t>
        <w:tab/>
        <w:t>Soylemez M, Tarhan A. A Review and Comparison of Maturity/Capability Frameworks for Healthcare Process Assessment and Improvement. Software Quality Professional [Internet]. 2017;19:28</w:t>
      </w:r>
      <w:r>
        <w:rPr>
          <w:rStyle w:val="Section Number"/>
          <w:rtl w:val="0"/>
          <w:lang w:val="en-US"/>
        </w:rPr>
        <w:t>–</w:t>
      </w:r>
      <w:r>
        <w:rPr>
          <w:rStyle w:val="Section Number"/>
          <w:rtl w:val="0"/>
          <w:lang w:val="en-US"/>
        </w:rPr>
        <w:t xml:space="preserve">42. Available from: </w:t>
      </w:r>
      <w:r>
        <w:rPr>
          <w:rStyle w:val="Hyperlink.0"/>
        </w:rPr>
        <w:fldChar w:fldCharType="begin" w:fldLock="0"/>
      </w:r>
      <w:r>
        <w:rPr>
          <w:rStyle w:val="Hyperlink.0"/>
        </w:rPr>
        <w:instrText xml:space="preserve"> HYPERLINK "https://openurl.ebsco.com/EPDB:gcd:3:34056963/detailv2?sid=ebsco:plink:scholar&amp;id=ebsco:gcd:121526814"</w:instrText>
      </w:r>
      <w:r>
        <w:rPr>
          <w:rStyle w:val="Hyperlink.0"/>
        </w:rPr>
        <w:fldChar w:fldCharType="separate" w:fldLock="0"/>
      </w:r>
      <w:r>
        <w:rPr>
          <w:rStyle w:val="Hyperlink.0"/>
          <w:rtl w:val="0"/>
        </w:rPr>
        <w:t>https://openurl.ebsco.com/EPDB%3Agcd%3A3%3A34056963/detailv2?sid=ebsco%3Aplink%3Ascholar&amp;id=ebsco%3Agcd%3A121526814</w:t>
      </w:r>
      <w:bookmarkEnd w:id="214"/>
      <w:r>
        <w:rPr/>
        <w:fldChar w:fldCharType="end" w:fldLock="0"/>
      </w:r>
    </w:p>
    <w:p>
      <w:pPr>
        <w:pStyle w:val="Bibliography"/>
      </w:pPr>
      <w:bookmarkStart w:name="refrowley2007" w:id="215"/>
      <w:r>
        <w:rPr>
          <w:rStyle w:val="Section Number"/>
          <w:rtl w:val="0"/>
          <w:lang w:val="en-US"/>
        </w:rPr>
        <w:t xml:space="preserve">32. </w:t>
        <w:tab/>
        <w:t xml:space="preserve">Rowley J. </w:t>
      </w:r>
      <w:r>
        <w:rPr>
          <w:rStyle w:val="Hyperlink.0"/>
        </w:rPr>
        <w:fldChar w:fldCharType="begin" w:fldLock="0"/>
      </w:r>
      <w:r>
        <w:rPr>
          <w:rStyle w:val="Hyperlink.0"/>
        </w:rPr>
        <w:instrText xml:space="preserve"> HYPERLINK "https://doi.org/10.1177/0165551506070706"</w:instrText>
      </w:r>
      <w:r>
        <w:rPr>
          <w:rStyle w:val="Hyperlink.0"/>
        </w:rPr>
        <w:fldChar w:fldCharType="separate" w:fldLock="0"/>
      </w:r>
      <w:r>
        <w:rPr>
          <w:rStyle w:val="Hyperlink.0"/>
          <w:rtl w:val="0"/>
        </w:rPr>
        <w:t>The wisdom hierarchy: representations of the DIKW hierarchy</w:t>
      </w:r>
      <w:r>
        <w:rPr/>
        <w:fldChar w:fldCharType="end" w:fldLock="0"/>
      </w:r>
      <w:r>
        <w:rPr>
          <w:rStyle w:val="Section Number"/>
          <w:rtl w:val="0"/>
          <w:lang w:val="en-US"/>
        </w:rPr>
        <w:t>. Journal of Information Science. 2007;33(2):163</w:t>
      </w:r>
      <w:r>
        <w:rPr>
          <w:rStyle w:val="Section Number"/>
          <w:rtl w:val="0"/>
          <w:lang w:val="en-US"/>
        </w:rPr>
        <w:t>–</w:t>
      </w:r>
      <w:r>
        <w:rPr>
          <w:rStyle w:val="Section Number"/>
          <w:rtl w:val="0"/>
          <w:lang w:val="en-US"/>
        </w:rPr>
        <w:t xml:space="preserve">80. </w:t>
      </w:r>
      <w:bookmarkEnd w:id="215"/>
    </w:p>
    <w:p>
      <w:pPr>
        <w:pStyle w:val="Bibliography"/>
      </w:pPr>
      <w:bookmarkStart w:name="refrao2006" w:id="216"/>
      <w:r>
        <w:rPr>
          <w:rStyle w:val="Section Number"/>
          <w:rtl w:val="0"/>
          <w:lang w:val="en-US"/>
        </w:rPr>
        <w:t xml:space="preserve">33. </w:t>
        <w:tab/>
        <w:t>Rao RD, Argote L. Organizational learning and forgetting: The effects of turnover and structure. European Management Review [Internet]. 2006;3(2):77</w:t>
      </w:r>
      <w:r>
        <w:rPr>
          <w:rStyle w:val="Section Number"/>
          <w:rtl w:val="0"/>
          <w:lang w:val="en-US"/>
        </w:rPr>
        <w:t>–</w:t>
      </w:r>
      <w:r>
        <w:rPr>
          <w:rStyle w:val="Section Number"/>
          <w:rtl w:val="0"/>
          <w:lang w:val="en-US"/>
        </w:rPr>
        <w:t xml:space="preserve">85. Available from: </w:t>
      </w:r>
      <w:r>
        <w:rPr>
          <w:rStyle w:val="Hyperlink.0"/>
        </w:rPr>
        <w:fldChar w:fldCharType="begin" w:fldLock="0"/>
      </w:r>
      <w:r>
        <w:rPr>
          <w:rStyle w:val="Hyperlink.0"/>
        </w:rPr>
        <w:instrText xml:space="preserve"> HYPERLINK "https://onlinelibrary.wiley.com/doi/abs/10.1057/palgrave.emr.1500057"</w:instrText>
      </w:r>
      <w:r>
        <w:rPr>
          <w:rStyle w:val="Hyperlink.0"/>
        </w:rPr>
        <w:fldChar w:fldCharType="separate" w:fldLock="0"/>
      </w:r>
      <w:r>
        <w:rPr>
          <w:rStyle w:val="Hyperlink.0"/>
          <w:rtl w:val="0"/>
        </w:rPr>
        <w:t>https://onlinelibrary.wiley.com/doi/abs/10.1057/palgrave.emr.1500057</w:t>
      </w:r>
      <w:bookmarkEnd w:id="216"/>
      <w:r>
        <w:rPr/>
        <w:fldChar w:fldCharType="end" w:fldLock="0"/>
      </w:r>
    </w:p>
    <w:p>
      <w:pPr>
        <w:pStyle w:val="Bibliography"/>
      </w:pPr>
      <w:bookmarkStart w:name="refmassingham2018" w:id="217"/>
      <w:r>
        <w:rPr>
          <w:rStyle w:val="Section Number"/>
          <w:rtl w:val="0"/>
          <w:lang w:val="en-US"/>
        </w:rPr>
        <w:t xml:space="preserve">34. </w:t>
        <w:tab/>
        <w:t xml:space="preserve">Massingham PR. Measuring the impact of knowledge loss: A longitudinal study. Journal of Knowledge Management [Internet]. 2018; Available from: </w:t>
      </w:r>
      <w:r>
        <w:rPr>
          <w:rStyle w:val="Hyperlink.0"/>
        </w:rPr>
        <w:fldChar w:fldCharType="begin" w:fldLock="0"/>
      </w:r>
      <w:r>
        <w:rPr>
          <w:rStyle w:val="Hyperlink.0"/>
        </w:rPr>
        <w:instrText xml:space="preserve"> HYPERLINK "https://doi.org/10.1108/JKM-08-2016-0338"</w:instrText>
      </w:r>
      <w:r>
        <w:rPr>
          <w:rStyle w:val="Hyperlink.0"/>
        </w:rPr>
        <w:fldChar w:fldCharType="separate" w:fldLock="0"/>
      </w:r>
      <w:r>
        <w:rPr>
          <w:rStyle w:val="Hyperlink.0"/>
          <w:rtl w:val="0"/>
        </w:rPr>
        <w:t>https://doi.org/10.1108/JKM-08-2016-0338</w:t>
      </w:r>
      <w:bookmarkEnd w:id="217"/>
      <w:r>
        <w:rPr/>
        <w:fldChar w:fldCharType="end" w:fldLock="0"/>
      </w:r>
    </w:p>
    <w:p>
      <w:pPr>
        <w:pStyle w:val="Bibliography"/>
      </w:pPr>
      <w:bookmarkStart w:name="reffarnese2019" w:id="218"/>
      <w:r>
        <w:rPr>
          <w:rStyle w:val="Section Number"/>
          <w:rtl w:val="0"/>
          <w:lang w:val="en-US"/>
        </w:rPr>
        <w:t xml:space="preserve">35. </w:t>
        <w:tab/>
        <w:t>Farnese B M. L. Managing knowledge in organizations: A Nonaka</w:t>
      </w:r>
      <w:r>
        <w:rPr>
          <w:rStyle w:val="Section Number"/>
          <w:rtl w:val="0"/>
          <w:lang w:val="en-US"/>
        </w:rPr>
        <w:t>’</w:t>
      </w:r>
      <w:r>
        <w:rPr>
          <w:rStyle w:val="Section Number"/>
          <w:rtl w:val="0"/>
          <w:lang w:val="en-US"/>
        </w:rPr>
        <w:t xml:space="preserve">s SECI model operationalization. Frontiers in Psychology [Internet]. 2019; Available from: </w:t>
      </w:r>
      <w:r>
        <w:rPr>
          <w:rStyle w:val="Hyperlink.0"/>
        </w:rPr>
        <w:fldChar w:fldCharType="begin" w:fldLock="0"/>
      </w:r>
      <w:r>
        <w:rPr>
          <w:rStyle w:val="Hyperlink.0"/>
        </w:rPr>
        <w:instrText xml:space="preserve"> HYPERLINK "https://www.frontiersin.org/articles/10.3389/fpsyg.2019.02730"</w:instrText>
      </w:r>
      <w:r>
        <w:rPr>
          <w:rStyle w:val="Hyperlink.0"/>
        </w:rPr>
        <w:fldChar w:fldCharType="separate" w:fldLock="0"/>
      </w:r>
      <w:r>
        <w:rPr>
          <w:rStyle w:val="Hyperlink.0"/>
          <w:rtl w:val="0"/>
        </w:rPr>
        <w:t>https://www.frontiersin.org/articles/10.3389/fpsyg.2019.02730</w:t>
      </w:r>
      <w:bookmarkEnd w:id="218"/>
      <w:r>
        <w:rPr/>
        <w:fldChar w:fldCharType="end" w:fldLock="0"/>
      </w:r>
    </w:p>
    <w:p>
      <w:pPr>
        <w:pStyle w:val="Bibliography"/>
      </w:pPr>
      <w:bookmarkStart w:name="reffoos2006" w:id="219"/>
      <w:r>
        <w:rPr>
          <w:rStyle w:val="Section Number"/>
          <w:rtl w:val="0"/>
          <w:lang w:val="en-US"/>
        </w:rPr>
        <w:t xml:space="preserve">36. </w:t>
        <w:tab/>
        <w:t xml:space="preserve">Foos S T. Tacit knowledge transfer and the knowledge disconnect. Journal of Knowledge Management [Internet]. 2006; Available from: </w:t>
      </w:r>
      <w:r>
        <w:rPr>
          <w:rStyle w:val="Hyperlink.0"/>
        </w:rPr>
        <w:fldChar w:fldCharType="begin" w:fldLock="0"/>
      </w:r>
      <w:r>
        <w:rPr>
          <w:rStyle w:val="Hyperlink.0"/>
        </w:rPr>
        <w:instrText xml:space="preserve"> HYPERLINK "https://www.emerald.com/insight/content/doi/10.1108/13673270610650067/full/html"</w:instrText>
      </w:r>
      <w:r>
        <w:rPr>
          <w:rStyle w:val="Hyperlink.0"/>
        </w:rPr>
        <w:fldChar w:fldCharType="separate" w:fldLock="0"/>
      </w:r>
      <w:r>
        <w:rPr>
          <w:rStyle w:val="Hyperlink.0"/>
          <w:rtl w:val="0"/>
        </w:rPr>
        <w:t>https://www.emerald.com/insight/content/doi/10.1108/13673270610650067/full/html</w:t>
      </w:r>
      <w:bookmarkEnd w:id="219"/>
      <w:r>
        <w:rPr/>
        <w:fldChar w:fldCharType="end" w:fldLock="0"/>
      </w:r>
    </w:p>
    <w:p>
      <w:pPr>
        <w:pStyle w:val="Bibliography"/>
      </w:pPr>
      <w:bookmarkStart w:name="refbenbya2004" w:id="220"/>
      <w:r>
        <w:rPr>
          <w:rStyle w:val="Section Number"/>
          <w:rtl w:val="0"/>
          <w:lang w:val="en-US"/>
        </w:rPr>
        <w:t xml:space="preserve">37. </w:t>
        <w:tab/>
        <w:t xml:space="preserve">Benbya P H. Corporate portal: A tool for knowledge management synchronization. International Journal of Information Management [Internet]. 2004; Available from: </w:t>
      </w:r>
      <w:r>
        <w:rPr>
          <w:rStyle w:val="Hyperlink.0"/>
        </w:rPr>
        <w:fldChar w:fldCharType="begin" w:fldLock="0"/>
      </w:r>
      <w:r>
        <w:rPr>
          <w:rStyle w:val="Hyperlink.0"/>
        </w:rPr>
        <w:instrText xml:space="preserve"> HYPERLINK "https://doi.org/10.1016/j.ijinfomgt.2003.12.012"</w:instrText>
      </w:r>
      <w:r>
        <w:rPr>
          <w:rStyle w:val="Hyperlink.0"/>
        </w:rPr>
        <w:fldChar w:fldCharType="separate" w:fldLock="0"/>
      </w:r>
      <w:r>
        <w:rPr>
          <w:rStyle w:val="Hyperlink.0"/>
          <w:rtl w:val="0"/>
        </w:rPr>
        <w:t>https://doi.org/10.1016/j.ijinfomgt.2003.12.012</w:t>
      </w:r>
      <w:bookmarkEnd w:id="220"/>
      <w:r>
        <w:rPr/>
        <w:fldChar w:fldCharType="end" w:fldLock="0"/>
      </w:r>
    </w:p>
    <w:p>
      <w:pPr>
        <w:pStyle w:val="Bibliography"/>
      </w:pPr>
      <w:bookmarkStart w:name="refzhang2025" w:id="221"/>
      <w:r>
        <w:rPr>
          <w:rStyle w:val="Section Number"/>
          <w:rtl w:val="0"/>
          <w:lang w:val="en-US"/>
        </w:rPr>
        <w:t xml:space="preserve">38. </w:t>
        <w:tab/>
        <w:t xml:space="preserve">Zhang D W. AI challenges conventional knowledge management: Light the way for reframing SECI model and Ba theory. Journal of Knowledge Management [Internet]. 2025; Available from: </w:t>
      </w:r>
      <w:r>
        <w:rPr>
          <w:rStyle w:val="Hyperlink.0"/>
        </w:rPr>
        <w:fldChar w:fldCharType="begin" w:fldLock="0"/>
      </w:r>
      <w:r>
        <w:rPr>
          <w:rStyle w:val="Hyperlink.0"/>
        </w:rPr>
        <w:instrText xml:space="preserve"> HYPERLINK "https://www.emerald.com/insight/content/doi/10.1108/JKM-03-2024-0262/full/html"</w:instrText>
      </w:r>
      <w:r>
        <w:rPr>
          <w:rStyle w:val="Hyperlink.0"/>
        </w:rPr>
        <w:fldChar w:fldCharType="separate" w:fldLock="0"/>
      </w:r>
      <w:r>
        <w:rPr>
          <w:rStyle w:val="Hyperlink.0"/>
          <w:rtl w:val="0"/>
        </w:rPr>
        <w:t>https://www.emerald.com/insight/content/doi/10.1108/JKM-03-2024-0262/full/html</w:t>
      </w:r>
      <w:bookmarkEnd w:id="221"/>
      <w:r>
        <w:rPr/>
        <w:fldChar w:fldCharType="end" w:fldLock="0"/>
      </w:r>
    </w:p>
    <w:p>
      <w:pPr>
        <w:pStyle w:val="Bibliography"/>
      </w:pPr>
      <w:bookmarkStart w:name="refwang2018" w:id="222"/>
      <w:r>
        <w:rPr>
          <w:rStyle w:val="Section Number"/>
          <w:rtl w:val="0"/>
          <w:lang w:val="en-US"/>
        </w:rPr>
        <w:t xml:space="preserve">39. </w:t>
        <w:tab/>
        <w:t>Wang K Y., Byrd TA. Big data analytics: Understanding its capabilities and potential benefits for healthcare organizations. Technological Forecasting and Social Change [Internet]. 2018;126:3</w:t>
      </w:r>
      <w:r>
        <w:rPr>
          <w:rStyle w:val="Section Number"/>
          <w:rtl w:val="0"/>
          <w:lang w:val="en-US"/>
        </w:rPr>
        <w:t>–</w:t>
      </w:r>
      <w:r>
        <w:rPr>
          <w:rStyle w:val="Section Number"/>
          <w:rtl w:val="0"/>
          <w:lang w:val="en-US"/>
        </w:rPr>
        <w:t xml:space="preserve">13. Available from: </w:t>
      </w:r>
      <w:r>
        <w:rPr>
          <w:rStyle w:val="Hyperlink.0"/>
        </w:rPr>
        <w:fldChar w:fldCharType="begin" w:fldLock="0"/>
      </w:r>
      <w:r>
        <w:rPr>
          <w:rStyle w:val="Hyperlink.0"/>
        </w:rPr>
        <w:instrText xml:space="preserve"> HYPERLINK "https://www.sciencedirect.com/science/article/abs/pii/S0040162516000500"</w:instrText>
      </w:r>
      <w:r>
        <w:rPr>
          <w:rStyle w:val="Hyperlink.0"/>
        </w:rPr>
        <w:fldChar w:fldCharType="separate" w:fldLock="0"/>
      </w:r>
      <w:r>
        <w:rPr>
          <w:rStyle w:val="Hyperlink.0"/>
          <w:rtl w:val="0"/>
        </w:rPr>
        <w:t>https://www.sciencedirect.com/science/article/abs/pii/S0040162516000500</w:t>
      </w:r>
      <w:bookmarkEnd w:id="222"/>
      <w:r>
        <w:rPr/>
        <w:fldChar w:fldCharType="end" w:fldLock="0"/>
      </w:r>
    </w:p>
    <w:p>
      <w:pPr>
        <w:pStyle w:val="Bibliography"/>
      </w:pPr>
      <w:bookmarkStart w:name="refwang2017" w:id="223"/>
      <w:r>
        <w:rPr>
          <w:rStyle w:val="Section Number"/>
          <w:rtl w:val="0"/>
          <w:lang w:val="en-US"/>
        </w:rPr>
        <w:t xml:space="preserve">40. </w:t>
        <w:tab/>
        <w:t xml:space="preserve">Wang &amp;H Y. Exploring the path to big data analytics success in healthcare. Journal of Business Research [Internet]. 2017; Available from: </w:t>
      </w:r>
      <w:r>
        <w:rPr>
          <w:rStyle w:val="Hyperlink.0"/>
        </w:rPr>
        <w:fldChar w:fldCharType="begin" w:fldLock="0"/>
      </w:r>
      <w:r>
        <w:rPr>
          <w:rStyle w:val="Hyperlink.0"/>
        </w:rPr>
        <w:instrText xml:space="preserve"> HYPERLINK "https://www.sciencedirect.com/science/article/abs/pii/S0148296316304891"</w:instrText>
      </w:r>
      <w:r>
        <w:rPr>
          <w:rStyle w:val="Hyperlink.0"/>
        </w:rPr>
        <w:fldChar w:fldCharType="separate" w:fldLock="0"/>
      </w:r>
      <w:r>
        <w:rPr>
          <w:rStyle w:val="Hyperlink.0"/>
          <w:rtl w:val="0"/>
        </w:rPr>
        <w:t>https://www.sciencedirect.com/science/article/abs/pii/S0148296316304891</w:t>
      </w:r>
      <w:bookmarkEnd w:id="223"/>
      <w:r>
        <w:rPr/>
        <w:fldChar w:fldCharType="end" w:fldLock="0"/>
      </w:r>
    </w:p>
    <w:p>
      <w:pPr>
        <w:pStyle w:val="Bibliography"/>
      </w:pPr>
      <w:bookmarkStart w:name="refhimss2024apac" w:id="224"/>
      <w:r>
        <w:rPr>
          <w:rStyle w:val="Section Number"/>
          <w:rtl w:val="0"/>
          <w:lang w:val="en-US"/>
        </w:rPr>
        <w:t xml:space="preserve">41. </w:t>
        <w:tab/>
        <w:t xml:space="preserve">Healthcare IT News. At HIMSS24 APAC, the Adoption Model for Analytics Maturity gets facelift [Internet]. 2024. Available from: </w:t>
      </w:r>
      <w:r>
        <w:rPr>
          <w:rStyle w:val="Hyperlink.0"/>
        </w:rPr>
        <w:fldChar w:fldCharType="begin" w:fldLock="0"/>
      </w:r>
      <w:r>
        <w:rPr>
          <w:rStyle w:val="Hyperlink.0"/>
        </w:rPr>
        <w:instrText xml:space="preserve"> HYPERLINK "https://www.healthcareitnews.com/news/asia/himss24-apac-adoption-model-analytics-maturity-gets-facelift"</w:instrText>
      </w:r>
      <w:r>
        <w:rPr>
          <w:rStyle w:val="Hyperlink.0"/>
        </w:rPr>
        <w:fldChar w:fldCharType="separate" w:fldLock="0"/>
      </w:r>
      <w:r>
        <w:rPr>
          <w:rStyle w:val="Hyperlink.0"/>
          <w:rtl w:val="0"/>
        </w:rPr>
        <w:t>https://www.healthcareitnews.com/news/asia/himss24-apac-adoption-model-analytics-maturity-gets-facelift</w:t>
      </w:r>
      <w:bookmarkEnd w:id="224"/>
      <w:r>
        <w:rPr/>
        <w:fldChar w:fldCharType="end" w:fldLock="0"/>
      </w:r>
    </w:p>
    <w:p>
      <w:pPr>
        <w:pStyle w:val="Bibliography"/>
      </w:pPr>
      <w:bookmarkStart w:name="reftgh2025" w:id="225"/>
      <w:r>
        <w:rPr>
          <w:rStyle w:val="Section Number"/>
          <w:rtl w:val="0"/>
          <w:lang w:val="en-US"/>
        </w:rPr>
        <w:t xml:space="preserve">42. </w:t>
        <w:tab/>
        <w:t xml:space="preserve">Tampa General Hospital. Tampa General Hospital Awarded Highest Designation in Analytics by HIMSS [Internet]. 2025. Available from: </w:t>
      </w:r>
      <w:r>
        <w:rPr>
          <w:rStyle w:val="Hyperlink.0"/>
        </w:rPr>
        <w:fldChar w:fldCharType="begin" w:fldLock="0"/>
      </w:r>
      <w:r>
        <w:rPr>
          <w:rStyle w:val="Hyperlink.0"/>
        </w:rPr>
        <w:instrText xml:space="preserve"> HYPERLINK "https://www.tgh.org/news/tgh-press-releases/2025/june/tampa-general-hospital-awarded-highest-designation-analytics-himss"</w:instrText>
      </w:r>
      <w:r>
        <w:rPr>
          <w:rStyle w:val="Hyperlink.0"/>
        </w:rPr>
        <w:fldChar w:fldCharType="separate" w:fldLock="0"/>
      </w:r>
      <w:r>
        <w:rPr>
          <w:rStyle w:val="Hyperlink.0"/>
          <w:rtl w:val="0"/>
        </w:rPr>
        <w:t>https://www.tgh.org/news/tgh-press-releases/2025/june/tampa-general-hospital-awarded-highest-designation-analytics-himss</w:t>
      </w:r>
      <w:bookmarkEnd w:id="225"/>
      <w:r>
        <w:rPr/>
        <w:fldChar w:fldCharType="end" w:fldLock="0"/>
      </w:r>
    </w:p>
    <w:p>
      <w:pPr>
        <w:pStyle w:val="Bibliography"/>
      </w:pPr>
      <w:bookmarkStart w:name="refcmuh2025" w:id="226"/>
      <w:r>
        <w:rPr>
          <w:rStyle w:val="Section Number"/>
          <w:rtl w:val="0"/>
          <w:lang w:val="en-US"/>
        </w:rPr>
        <w:t xml:space="preserve">43. </w:t>
        <w:tab/>
        <w:t>China Medical University Hospital. Taiwan</w:t>
      </w:r>
      <w:r>
        <w:rPr>
          <w:rStyle w:val="Section Number"/>
          <w:rtl w:val="0"/>
          <w:lang w:val="en-US"/>
        </w:rPr>
        <w:t>’</w:t>
      </w:r>
      <w:r>
        <w:rPr>
          <w:rStyle w:val="Section Number"/>
          <w:rtl w:val="0"/>
          <w:lang w:val="en-US"/>
        </w:rPr>
        <w:t xml:space="preserve">s First Hospital to Achieve AMAM Stage 7 Certification! [Internet]. PR Newswire; 2025. Available from: </w:t>
      </w:r>
      <w:r>
        <w:rPr>
          <w:rStyle w:val="Hyperlink.0"/>
        </w:rPr>
        <w:fldChar w:fldCharType="begin" w:fldLock="0"/>
      </w:r>
      <w:r>
        <w:rPr>
          <w:rStyle w:val="Hyperlink.0"/>
        </w:rPr>
        <w:instrText xml:space="preserve"> HYPERLINK "https://www.prnewswire.com/news-releases/taiwans-first-hospital-to-achieve-amam-stage-7-certification-302390824.html"</w:instrText>
      </w:r>
      <w:r>
        <w:rPr>
          <w:rStyle w:val="Hyperlink.0"/>
        </w:rPr>
        <w:fldChar w:fldCharType="separate" w:fldLock="0"/>
      </w:r>
      <w:r>
        <w:rPr>
          <w:rStyle w:val="Hyperlink.0"/>
          <w:rtl w:val="0"/>
        </w:rPr>
        <w:t>https://www.prnewswire.com/news-releases/taiwans-first-hospital-to-achieve-amam-stage-7-certification-302390824.html</w:t>
      </w:r>
      <w:bookmarkEnd w:id="226"/>
      <w:r>
        <w:rPr/>
        <w:fldChar w:fldCharType="end" w:fldLock="0"/>
      </w:r>
    </w:p>
    <w:p>
      <w:pPr>
        <w:pStyle w:val="Bibliography"/>
      </w:pPr>
      <w:bookmarkStart w:name="refksa2024" w:id="227"/>
      <w:r>
        <w:rPr>
          <w:rStyle w:val="Section Number"/>
          <w:rtl w:val="0"/>
          <w:lang w:val="en-US"/>
        </w:rPr>
        <w:t xml:space="preserve">44. </w:t>
        <w:tab/>
        <w:t xml:space="preserve">Medical Buyer. 2 medical groups in Saudi Arabia achieve stage 7 digital maturity [Internet]. 2024. Available from: </w:t>
      </w:r>
      <w:r>
        <w:rPr>
          <w:rStyle w:val="Hyperlink.0"/>
        </w:rPr>
        <w:fldChar w:fldCharType="begin" w:fldLock="0"/>
      </w:r>
      <w:r>
        <w:rPr>
          <w:rStyle w:val="Hyperlink.0"/>
        </w:rPr>
        <w:instrText xml:space="preserve"> HYPERLINK "https://medicalbuyer.co.in/2-medical-groups-in-saudi-arabia-achieve-stage-7-digital-maturity/"</w:instrText>
      </w:r>
      <w:r>
        <w:rPr>
          <w:rStyle w:val="Hyperlink.0"/>
        </w:rPr>
        <w:fldChar w:fldCharType="separate" w:fldLock="0"/>
      </w:r>
      <w:r>
        <w:rPr>
          <w:rStyle w:val="Hyperlink.0"/>
          <w:rtl w:val="0"/>
        </w:rPr>
        <w:t>https://medicalbuyer.co.in/2-medical-groups-in-saudi-arabia-achieve-stage-7-digital-maturity/</w:t>
      </w:r>
      <w:bookmarkEnd w:id="227"/>
      <w:r>
        <w:rPr/>
        <w:fldChar w:fldCharType="end" w:fldLock="0"/>
      </w:r>
    </w:p>
    <w:p>
      <w:pPr>
        <w:pStyle w:val="Bibliography"/>
      </w:pPr>
      <w:bookmarkStart w:name="refsnowdon2024" w:id="228"/>
      <w:r>
        <w:rPr>
          <w:rStyle w:val="Section Number"/>
          <w:rtl w:val="0"/>
          <w:lang w:val="en-US"/>
        </w:rPr>
        <w:t xml:space="preserve">45. </w:t>
        <w:tab/>
        <w:t xml:space="preserve">Snowdon H A., Wright A. Digital maturity as a predictor of quality and safety outcomes in US hospitals: Cross-sectional observational study. Journal of Medical Internet Research [Internet]. 2024;26:e56316. Available from: </w:t>
      </w:r>
      <w:r>
        <w:rPr>
          <w:rStyle w:val="Hyperlink.0"/>
        </w:rPr>
        <w:fldChar w:fldCharType="begin" w:fldLock="0"/>
      </w:r>
      <w:r>
        <w:rPr>
          <w:rStyle w:val="Hyperlink.0"/>
        </w:rPr>
        <w:instrText xml:space="preserve"> HYPERLINK "https://www.jmir.org/2024/1/e56316"</w:instrText>
      </w:r>
      <w:r>
        <w:rPr>
          <w:rStyle w:val="Hyperlink.0"/>
        </w:rPr>
        <w:fldChar w:fldCharType="separate" w:fldLock="0"/>
      </w:r>
      <w:r>
        <w:rPr>
          <w:rStyle w:val="Hyperlink.0"/>
          <w:rtl w:val="0"/>
        </w:rPr>
        <w:t>https://www.jmir.org/2024/1/e56316</w:t>
      </w:r>
      <w:bookmarkEnd w:id="228"/>
      <w:r>
        <w:rPr/>
        <w:fldChar w:fldCharType="end" w:fldLock="0"/>
      </w:r>
    </w:p>
    <w:p>
      <w:pPr>
        <w:pStyle w:val="Bibliography"/>
      </w:pPr>
      <w:bookmarkStart w:name="refwang2019" w:id="229"/>
      <w:r>
        <w:rPr>
          <w:rStyle w:val="Section Number"/>
          <w:rtl w:val="0"/>
          <w:lang w:val="en-US"/>
        </w:rPr>
        <w:t xml:space="preserve">46. </w:t>
        <w:tab/>
        <w:t xml:space="preserve">Wang K Y. Leveraging big data analytics to improve quality of care in healthcare organizations: A configurational perspective. British Journal of Management [Internet]. 2019; Available from: </w:t>
      </w:r>
      <w:r>
        <w:rPr>
          <w:rStyle w:val="Hyperlink.0"/>
        </w:rPr>
        <w:fldChar w:fldCharType="begin" w:fldLock="0"/>
      </w:r>
      <w:r>
        <w:rPr>
          <w:rStyle w:val="Hyperlink.0"/>
        </w:rPr>
        <w:instrText xml:space="preserve"> HYPERLINK "https://onlinelibrary.wiley.com/doi/abs/10.1111/1467-8551.12332"</w:instrText>
      </w:r>
      <w:r>
        <w:rPr>
          <w:rStyle w:val="Hyperlink.0"/>
        </w:rPr>
        <w:fldChar w:fldCharType="separate" w:fldLock="0"/>
      </w:r>
      <w:r>
        <w:rPr>
          <w:rStyle w:val="Hyperlink.0"/>
          <w:rtl w:val="0"/>
        </w:rPr>
        <w:t>https://onlinelibrary.wiley.com/doi/abs/10.1111/1467-8551.12332</w:t>
      </w:r>
      <w:bookmarkEnd w:id="229"/>
      <w:r>
        <w:rPr/>
        <w:fldChar w:fldCharType="end" w:fldLock="0"/>
      </w:r>
    </w:p>
    <w:p>
      <w:pPr>
        <w:pStyle w:val="Bibliography"/>
      </w:pPr>
      <w:bookmarkStart w:name="refgomes2025" w:id="230"/>
      <w:r>
        <w:rPr>
          <w:rStyle w:val="Section Number"/>
          <w:rtl w:val="0"/>
          <w:lang w:val="en-US"/>
        </w:rPr>
        <w:t xml:space="preserve">47. </w:t>
        <w:tab/>
        <w:t xml:space="preserve">Gomes &amp;R J. Evaluating maturity models in healthcare information systems: A comprehensive review. Healthcare [Internet]. 2025; Available from: </w:t>
      </w:r>
      <w:r>
        <w:rPr>
          <w:rStyle w:val="Hyperlink.0"/>
        </w:rPr>
        <w:fldChar w:fldCharType="begin" w:fldLock="0"/>
      </w:r>
      <w:r>
        <w:rPr>
          <w:rStyle w:val="Hyperlink.0"/>
        </w:rPr>
        <w:instrText xml:space="preserve"> HYPERLINK "https://www.mdpi.com/2227-9032/13/1/1"</w:instrText>
      </w:r>
      <w:r>
        <w:rPr>
          <w:rStyle w:val="Hyperlink.0"/>
        </w:rPr>
        <w:fldChar w:fldCharType="separate" w:fldLock="0"/>
      </w:r>
      <w:r>
        <w:rPr>
          <w:rStyle w:val="Hyperlink.0"/>
          <w:rtl w:val="0"/>
        </w:rPr>
        <w:t>https://www.mdpi.com/2227-9032/13/1/1</w:t>
      </w:r>
      <w:bookmarkEnd w:id="230"/>
      <w:r>
        <w:rPr/>
        <w:fldChar w:fldCharType="end" w:fldLock="0"/>
      </w:r>
    </w:p>
    <w:p>
      <w:pPr>
        <w:pStyle w:val="Bibliography"/>
      </w:pPr>
      <w:bookmarkStart w:name="refwoods2024" w:id="231"/>
      <w:r>
        <w:rPr>
          <w:rStyle w:val="Section Number"/>
          <w:rtl w:val="0"/>
          <w:lang w:val="en-US"/>
        </w:rPr>
        <w:t xml:space="preserve">48. </w:t>
        <w:tab/>
        <w:t xml:space="preserve">Woods L, Eden R, Green D, Pearce A. Impact of digital health on the quadruple aims of healthcare: A correlational and longitudinal study (Digimat Study). International Journal of Medical Informatics [Internet]. 2024; Available from: </w:t>
      </w:r>
      <w:r>
        <w:rPr>
          <w:rStyle w:val="Hyperlink.0"/>
        </w:rPr>
        <w:fldChar w:fldCharType="begin" w:fldLock="0"/>
      </w:r>
      <w:r>
        <w:rPr>
          <w:rStyle w:val="Hyperlink.0"/>
        </w:rPr>
        <w:instrText xml:space="preserve"> HYPERLINK "https://www.sciencedirect.com/science/article/pii/S1386505624001916"</w:instrText>
      </w:r>
      <w:r>
        <w:rPr>
          <w:rStyle w:val="Hyperlink.0"/>
        </w:rPr>
        <w:fldChar w:fldCharType="separate" w:fldLock="0"/>
      </w:r>
      <w:r>
        <w:rPr>
          <w:rStyle w:val="Hyperlink.0"/>
          <w:rtl w:val="0"/>
        </w:rPr>
        <w:t>https://www.sciencedirect.com/science/article/pii/S1386505624001916</w:t>
      </w:r>
      <w:bookmarkEnd w:id="231"/>
      <w:r>
        <w:rPr/>
        <w:fldChar w:fldCharType="end" w:fldLock="0"/>
      </w:r>
    </w:p>
    <w:p>
      <w:pPr>
        <w:pStyle w:val="Bibliography"/>
      </w:pPr>
      <w:bookmarkStart w:name="refsaintulysse2021" w:id="232"/>
      <w:r>
        <w:rPr>
          <w:rStyle w:val="Section Number"/>
          <w:rtl w:val="0"/>
          <w:lang w:val="en-US"/>
        </w:rPr>
        <w:t xml:space="preserve">49. </w:t>
        <w:tab/>
        <w:t>Saint-Ulysse C. The Relationship between Hospitals</w:t>
      </w:r>
      <w:r>
        <w:rPr>
          <w:rStyle w:val="Section Number"/>
          <w:rtl w:val="0"/>
          <w:lang w:val="en-US"/>
        </w:rPr>
        <w:t xml:space="preserve">’ </w:t>
      </w:r>
      <w:r>
        <w:rPr>
          <w:rStyle w:val="Section Number"/>
          <w:rtl w:val="0"/>
          <w:lang w:val="en-US"/>
        </w:rPr>
        <w:t xml:space="preserve">Electronic Health Records Maturity and Excess Readmission Ratio [Internet]. Walden University Dissertations; 2021. Available from: </w:t>
      </w:r>
      <w:r>
        <w:rPr>
          <w:rStyle w:val="Hyperlink.0"/>
        </w:rPr>
        <w:fldChar w:fldCharType="begin" w:fldLock="0"/>
      </w:r>
      <w:r>
        <w:rPr>
          <w:rStyle w:val="Hyperlink.0"/>
        </w:rPr>
        <w:instrText xml:space="preserve"> HYPERLINK "https://scholarworks.waldenu.edu/cgi/viewcontent.cgi?article=12395&amp;context=dissertations"</w:instrText>
      </w:r>
      <w:r>
        <w:rPr>
          <w:rStyle w:val="Hyperlink.0"/>
        </w:rPr>
        <w:fldChar w:fldCharType="separate" w:fldLock="0"/>
      </w:r>
      <w:r>
        <w:rPr>
          <w:rStyle w:val="Hyperlink.0"/>
          <w:rtl w:val="0"/>
        </w:rPr>
        <w:t>https://scholarworks.waldenu.edu/cgi/viewcontent.cgi?article=12395&amp;context=dissertations</w:t>
      </w:r>
      <w:bookmarkEnd w:id="232"/>
      <w:r>
        <w:rPr/>
        <w:fldChar w:fldCharType="end" w:fldLock="0"/>
      </w:r>
    </w:p>
    <w:p>
      <w:pPr>
        <w:pStyle w:val="Bibliography"/>
      </w:pPr>
      <w:bookmarkStart w:name="refmartin2019" w:id="233"/>
      <w:r>
        <w:rPr>
          <w:rStyle w:val="Section Number"/>
          <w:rtl w:val="0"/>
          <w:lang w:val="en-US"/>
        </w:rPr>
        <w:t xml:space="preserve">50. </w:t>
        <w:tab/>
        <w:t xml:space="preserve">Martin G, Clarke J, Liew F, Arora S, King D, Aylin P. Evaluating the impact of organisational digital maturity on clinical outcomes in secondary care in England. npj Digital Medicine [Internet]. 2019; Available from: </w:t>
      </w:r>
      <w:r>
        <w:rPr>
          <w:rStyle w:val="Hyperlink.0"/>
        </w:rPr>
        <w:fldChar w:fldCharType="begin" w:fldLock="0"/>
      </w:r>
      <w:r>
        <w:rPr>
          <w:rStyle w:val="Hyperlink.0"/>
        </w:rPr>
        <w:instrText xml:space="preserve"> HYPERLINK "https://www.nature.com/articles/s41746-019-0118-9"</w:instrText>
      </w:r>
      <w:r>
        <w:rPr>
          <w:rStyle w:val="Hyperlink.0"/>
        </w:rPr>
        <w:fldChar w:fldCharType="separate" w:fldLock="0"/>
      </w:r>
      <w:r>
        <w:rPr>
          <w:rStyle w:val="Hyperlink.0"/>
          <w:rtl w:val="0"/>
        </w:rPr>
        <w:t>https://www.nature.com/articles/s41746-019-0118-9</w:t>
      </w:r>
      <w:bookmarkEnd w:id="233"/>
      <w:r>
        <w:rPr/>
        <w:fldChar w:fldCharType="end" w:fldLock="0"/>
      </w:r>
    </w:p>
    <w:p>
      <w:pPr>
        <w:pStyle w:val="Bibliography"/>
      </w:pPr>
      <w:bookmarkStart w:name="refnavarro2023" w:id="234"/>
      <w:r>
        <w:rPr>
          <w:rStyle w:val="Section Number"/>
          <w:rtl w:val="0"/>
          <w:lang w:val="en-US"/>
        </w:rPr>
        <w:t xml:space="preserve">51. </w:t>
        <w:tab/>
        <w:t xml:space="preserve">Navarro I D. F. Clinical named entity recognition and relation extraction using natural language processing of medical free text: A systematic review. International Journal of Medical Informatics [Internet]. 2023; Available from: </w:t>
      </w:r>
      <w:r>
        <w:rPr>
          <w:rStyle w:val="Hyperlink.0"/>
        </w:rPr>
        <w:fldChar w:fldCharType="begin" w:fldLock="0"/>
      </w:r>
      <w:r>
        <w:rPr>
          <w:rStyle w:val="Hyperlink.0"/>
        </w:rPr>
        <w:instrText xml:space="preserve"> HYPERLINK "https://www.sciencedirect.com/science/article/pii/S1386505623001405"</w:instrText>
      </w:r>
      <w:r>
        <w:rPr>
          <w:rStyle w:val="Hyperlink.0"/>
        </w:rPr>
        <w:fldChar w:fldCharType="separate" w:fldLock="0"/>
      </w:r>
      <w:r>
        <w:rPr>
          <w:rStyle w:val="Hyperlink.0"/>
          <w:rtl w:val="0"/>
        </w:rPr>
        <w:t>https://www.sciencedirect.com/science/article/pii/S1386505623001405</w:t>
      </w:r>
      <w:bookmarkEnd w:id="234"/>
      <w:r>
        <w:rPr/>
        <w:fldChar w:fldCharType="end" w:fldLock="0"/>
      </w:r>
    </w:p>
    <w:p>
      <w:pPr>
        <w:pStyle w:val="Bibliography"/>
      </w:pPr>
      <w:bookmarkStart w:name="refbardsley2016" w:id="235"/>
      <w:r>
        <w:rPr>
          <w:rStyle w:val="Section Number"/>
          <w:rtl w:val="0"/>
          <w:lang w:val="en-US"/>
        </w:rPr>
        <w:t xml:space="preserve">52. </w:t>
        <w:tab/>
        <w:t xml:space="preserve">Bardsley M. Understanding analytical capability in health care: Do we have more data than insight? The Health Foundation [Internet]. 2016. Available from: </w:t>
      </w:r>
      <w:r>
        <w:rPr>
          <w:rStyle w:val="Hyperlink.0"/>
        </w:rPr>
        <w:fldChar w:fldCharType="begin" w:fldLock="0"/>
      </w:r>
      <w:r>
        <w:rPr>
          <w:rStyle w:val="Hyperlink.0"/>
        </w:rPr>
        <w:instrText xml:space="preserve"> HYPERLINK "https://www.health.org.uk/publications/understanding-analytical-capability-in-health-care"</w:instrText>
      </w:r>
      <w:r>
        <w:rPr>
          <w:rStyle w:val="Hyperlink.0"/>
        </w:rPr>
        <w:fldChar w:fldCharType="separate" w:fldLock="0"/>
      </w:r>
      <w:r>
        <w:rPr>
          <w:rStyle w:val="Hyperlink.0"/>
          <w:rtl w:val="0"/>
        </w:rPr>
        <w:t>https://www.health.org.uk/publications/understanding-analytical-capability-in-health-care</w:t>
      </w:r>
      <w:bookmarkEnd w:id="235"/>
      <w:r>
        <w:rPr/>
        <w:fldChar w:fldCharType="end" w:fldLock="0"/>
      </w:r>
    </w:p>
    <w:p>
      <w:pPr>
        <w:pStyle w:val="Bibliography"/>
      </w:pPr>
      <w:bookmarkStart w:name="refpesqueira2020" w:id="236"/>
      <w:r>
        <w:rPr>
          <w:rStyle w:val="Section Number"/>
          <w:rtl w:val="0"/>
          <w:lang w:val="en-US"/>
        </w:rPr>
        <w:t xml:space="preserve">53. </w:t>
        <w:tab/>
        <w:t xml:space="preserve">Pesqueira S A. Big data skills sustainable development in healthcare and pharmaceuticals. Journal of Medical Systems [Internet]. 2020; Available from: </w:t>
      </w:r>
      <w:r>
        <w:rPr>
          <w:rStyle w:val="Hyperlink.0"/>
        </w:rPr>
        <w:fldChar w:fldCharType="begin" w:fldLock="0"/>
      </w:r>
      <w:r>
        <w:rPr>
          <w:rStyle w:val="Hyperlink.0"/>
        </w:rPr>
        <w:instrText xml:space="preserve"> HYPERLINK "https://link.springer.com/article/10.1007/s10916-020-01665-9"</w:instrText>
      </w:r>
      <w:r>
        <w:rPr>
          <w:rStyle w:val="Hyperlink.0"/>
        </w:rPr>
        <w:fldChar w:fldCharType="separate" w:fldLock="0"/>
      </w:r>
      <w:r>
        <w:rPr>
          <w:rStyle w:val="Hyperlink.0"/>
          <w:rtl w:val="0"/>
        </w:rPr>
        <w:t>https://link.springer.com/article/10.1007/s10916-020-01665-9</w:t>
      </w:r>
      <w:bookmarkEnd w:id="236"/>
      <w:r>
        <w:rPr/>
        <w:fldChar w:fldCharType="end" w:fldLock="0"/>
      </w:r>
    </w:p>
    <w:p>
      <w:pPr>
        <w:pStyle w:val="Bibliography"/>
      </w:pPr>
      <w:bookmarkStart w:name="refcarvalho2019" w:id="237"/>
      <w:r>
        <w:rPr>
          <w:rStyle w:val="Section Number"/>
          <w:rtl w:val="0"/>
          <w:lang w:val="en-US"/>
        </w:rPr>
        <w:t xml:space="preserve">54. </w:t>
        <w:tab/>
        <w:t xml:space="preserve">Carvalho JV, Rocha </w:t>
      </w:r>
      <w:r>
        <w:rPr>
          <w:rStyle w:val="Section Number"/>
          <w:rtl w:val="0"/>
          <w:lang w:val="en-US"/>
        </w:rPr>
        <w:t>Á</w:t>
      </w:r>
      <w:r>
        <w:rPr>
          <w:rStyle w:val="Section Number"/>
          <w:rtl w:val="0"/>
          <w:lang w:val="en-US"/>
        </w:rPr>
        <w:t xml:space="preserve">, Vasconcelos J. </w:t>
      </w:r>
      <w:r>
        <w:rPr>
          <w:rStyle w:val="Hyperlink.0"/>
        </w:rPr>
        <w:fldChar w:fldCharType="begin" w:fldLock="0"/>
      </w:r>
      <w:r>
        <w:rPr>
          <w:rStyle w:val="Hyperlink.0"/>
        </w:rPr>
        <w:instrText xml:space="preserve"> HYPERLINK "https://doi.org/10.1016/j.ijinfomgt.2018.07.001"</w:instrText>
      </w:r>
      <w:r>
        <w:rPr>
          <w:rStyle w:val="Hyperlink.0"/>
        </w:rPr>
        <w:fldChar w:fldCharType="separate" w:fldLock="0"/>
      </w:r>
      <w:r>
        <w:rPr>
          <w:rStyle w:val="Hyperlink.0"/>
          <w:rtl w:val="0"/>
        </w:rPr>
        <w:t>A health data analytics maturity model for hospitals information systems</w:t>
      </w:r>
      <w:r>
        <w:rPr/>
        <w:fldChar w:fldCharType="end" w:fldLock="0"/>
      </w:r>
      <w:r>
        <w:rPr>
          <w:rStyle w:val="Section Number"/>
          <w:rtl w:val="0"/>
          <w:lang w:val="en-US"/>
        </w:rPr>
        <w:t>. International Journal of Information Management. 2019;46:278</w:t>
      </w:r>
      <w:r>
        <w:rPr>
          <w:rStyle w:val="Section Number"/>
          <w:rtl w:val="0"/>
          <w:lang w:val="en-US"/>
        </w:rPr>
        <w:t>–</w:t>
      </w:r>
      <w:r>
        <w:rPr>
          <w:rStyle w:val="Section Number"/>
          <w:rtl w:val="0"/>
          <w:lang w:val="en-US"/>
        </w:rPr>
        <w:t xml:space="preserve">85. </w:t>
      </w:r>
      <w:bookmarkEnd w:id="237"/>
    </w:p>
    <w:p>
      <w:pPr>
        <w:pStyle w:val="Bibliography"/>
      </w:pPr>
      <w:bookmarkStart w:name="refpintovalverde2013" w:id="238"/>
      <w:r>
        <w:rPr>
          <w:rStyle w:val="Section Number"/>
          <w:rtl w:val="0"/>
          <w:lang w:val="en-US"/>
        </w:rPr>
        <w:t xml:space="preserve">55. </w:t>
        <w:tab/>
        <w:t>Pinto-Valverde J, P</w:t>
      </w:r>
      <w:r>
        <w:rPr>
          <w:rStyle w:val="Section Number"/>
          <w:rtl w:val="0"/>
          <w:lang w:val="en-US"/>
        </w:rPr>
        <w:t>é</w:t>
      </w:r>
      <w:r>
        <w:rPr>
          <w:rStyle w:val="Section Number"/>
          <w:rtl w:val="0"/>
          <w:lang w:val="en-US"/>
        </w:rPr>
        <w:t xml:space="preserve">rez-Guardado M. HDQM2: healthcare data quality maturity model. In: Midwest association for information systems conference [Internet]. 2013. Available from: </w:t>
      </w:r>
      <w:r>
        <w:rPr>
          <w:rStyle w:val="Hyperlink.0"/>
        </w:rPr>
        <w:fldChar w:fldCharType="begin" w:fldLock="0"/>
      </w:r>
      <w:r>
        <w:rPr>
          <w:rStyle w:val="Hyperlink.0"/>
        </w:rPr>
        <w:instrText xml:space="preserve"> HYPERLINK "https://scholarworks.wmich.edu/ichita_transactions/37/"</w:instrText>
      </w:r>
      <w:r>
        <w:rPr>
          <w:rStyle w:val="Hyperlink.0"/>
        </w:rPr>
        <w:fldChar w:fldCharType="separate" w:fldLock="0"/>
      </w:r>
      <w:r>
        <w:rPr>
          <w:rStyle w:val="Hyperlink.0"/>
          <w:rtl w:val="0"/>
        </w:rPr>
        <w:t>https://scholarworks.wmich.edu/ichita_transactions/37/</w:t>
      </w:r>
      <w:bookmarkEnd w:id="238"/>
      <w:r>
        <w:rPr/>
        <w:fldChar w:fldCharType="end" w:fldLock="0"/>
      </w:r>
    </w:p>
    <w:p>
      <w:pPr>
        <w:pStyle w:val="Bibliography"/>
      </w:pPr>
      <w:bookmarkStart w:name="refgokalp2023" w:id="239"/>
      <w:r>
        <w:rPr>
          <w:rStyle w:val="Section Number"/>
          <w:rtl w:val="0"/>
          <w:lang w:val="en-US"/>
        </w:rPr>
        <w:t xml:space="preserve">56. </w:t>
        <w:tab/>
        <w:t xml:space="preserve">G"okalp MO, G"okalp E, G"okalp S. The development of data analytics maturity assessment framework: DAMAF. Journal of Software: Evolution and Process [Internet]. 2023;35(4):e2448. Available from: </w:t>
      </w:r>
      <w:r>
        <w:rPr>
          <w:rStyle w:val="Hyperlink.0"/>
        </w:rPr>
        <w:fldChar w:fldCharType="begin" w:fldLock="0"/>
      </w:r>
      <w:r>
        <w:rPr>
          <w:rStyle w:val="Hyperlink.0"/>
        </w:rPr>
        <w:instrText xml:space="preserve"> HYPERLINK "https://onlinelibrary.wiley.com/doi/abs/10.1002/smr.2415"</w:instrText>
      </w:r>
      <w:r>
        <w:rPr>
          <w:rStyle w:val="Hyperlink.0"/>
        </w:rPr>
        <w:fldChar w:fldCharType="separate" w:fldLock="0"/>
      </w:r>
      <w:r>
        <w:rPr>
          <w:rStyle w:val="Hyperlink.0"/>
          <w:rtl w:val="0"/>
        </w:rPr>
        <w:t>https://onlinelibrary.wiley.com/doi/abs/10.1002/smr.2415</w:t>
      </w:r>
      <w:bookmarkEnd w:id="239"/>
      <w:r>
        <w:rPr/>
        <w:fldChar w:fldCharType="end" w:fldLock="0"/>
      </w:r>
    </w:p>
    <w:p>
      <w:pPr>
        <w:pStyle w:val="Bibliography"/>
      </w:pPr>
      <w:bookmarkStart w:name="reflismont2017" w:id="240"/>
      <w:r>
        <w:rPr>
          <w:rStyle w:val="Section Number"/>
          <w:rtl w:val="0"/>
          <w:lang w:val="en-US"/>
        </w:rPr>
        <w:t xml:space="preserve">57. </w:t>
        <w:tab/>
        <w:t>Lismont J, Vanthienen J, Baesens B, et al. Defining analytics maturity indicators: A survey approach. International Journal of Information Management [Internet]. 2017;37(3):114</w:t>
      </w:r>
      <w:r>
        <w:rPr>
          <w:rStyle w:val="Section Number"/>
          <w:rtl w:val="0"/>
          <w:lang w:val="en-US"/>
        </w:rPr>
        <w:t>–</w:t>
      </w:r>
      <w:r>
        <w:rPr>
          <w:rStyle w:val="Section Number"/>
          <w:rtl w:val="0"/>
          <w:lang w:val="en-US"/>
        </w:rPr>
        <w:t xml:space="preserve">24. Available from: </w:t>
      </w:r>
      <w:r>
        <w:rPr>
          <w:rStyle w:val="Hyperlink.0"/>
        </w:rPr>
        <w:fldChar w:fldCharType="begin" w:fldLock="0"/>
      </w:r>
      <w:r>
        <w:rPr>
          <w:rStyle w:val="Hyperlink.0"/>
        </w:rPr>
        <w:instrText xml:space="preserve"> HYPERLINK "https://www.sciencedirect.com/science/article/abs/pii/S0268401216305655"</w:instrText>
      </w:r>
      <w:r>
        <w:rPr>
          <w:rStyle w:val="Hyperlink.0"/>
        </w:rPr>
        <w:fldChar w:fldCharType="separate" w:fldLock="0"/>
      </w:r>
      <w:r>
        <w:rPr>
          <w:rStyle w:val="Hyperlink.0"/>
          <w:rtl w:val="0"/>
        </w:rPr>
        <w:t>https://www.sciencedirect.com/science/article/abs/pii/S0268401216305655</w:t>
      </w:r>
      <w:bookmarkEnd w:id="240"/>
      <w:r>
        <w:rPr/>
        <w:fldChar w:fldCharType="end" w:fldLock="0"/>
      </w:r>
    </w:p>
    <w:p>
      <w:pPr>
        <w:pStyle w:val="Bibliography"/>
      </w:pPr>
      <w:bookmarkStart w:name="refyang2021" w:id="241"/>
      <w:r>
        <w:rPr>
          <w:rStyle w:val="Section Number"/>
          <w:rtl w:val="0"/>
          <w:lang w:val="en-US"/>
        </w:rPr>
        <w:t xml:space="preserve">58. </w:t>
        <w:tab/>
        <w:t xml:space="preserve">Yang DX, Khera R, Miccio JA, Jairam V, et al. Prevalence of missing data in the national cancer database and association with overall survival. JAMA Network Open [Internet]. 2021;4(3):e211793. Available from: </w:t>
      </w:r>
      <w:r>
        <w:rPr>
          <w:rStyle w:val="Hyperlink.0"/>
        </w:rPr>
        <w:fldChar w:fldCharType="begin" w:fldLock="0"/>
      </w:r>
      <w:r>
        <w:rPr>
          <w:rStyle w:val="Hyperlink.0"/>
        </w:rPr>
        <w:instrText xml:space="preserve"> HYPERLINK "https://jamanetwork.com/journals/jamanetworkopen/fullarticle/2777777"</w:instrText>
      </w:r>
      <w:r>
        <w:rPr>
          <w:rStyle w:val="Hyperlink.0"/>
        </w:rPr>
        <w:fldChar w:fldCharType="separate" w:fldLock="0"/>
      </w:r>
      <w:r>
        <w:rPr>
          <w:rStyle w:val="Hyperlink.0"/>
          <w:rtl w:val="0"/>
        </w:rPr>
        <w:t>https://jamanetwork.com/journals/jamanetworkopen/fullarticle/2777777</w:t>
      </w:r>
      <w:bookmarkEnd w:id="241"/>
      <w:r>
        <w:rPr/>
        <w:fldChar w:fldCharType="end" w:fldLock="0"/>
      </w:r>
    </w:p>
    <w:p>
      <w:pPr>
        <w:pStyle w:val="Bibliography"/>
      </w:pPr>
      <w:bookmarkStart w:name="refarts2002" w:id="242"/>
      <w:r>
        <w:rPr>
          <w:rStyle w:val="Section Number"/>
          <w:rtl w:val="0"/>
          <w:lang w:val="en-US"/>
        </w:rPr>
        <w:t xml:space="preserve">59. </w:t>
        <w:tab/>
        <w:t>Arts DG, De Keizer NF, et al. Defining and improving data quality in medical registries: a literature review, case study, and generic framework. Journal of the American Medical Informatics Association [Internet]. 2002;9(6):600</w:t>
      </w:r>
      <w:r>
        <w:rPr>
          <w:rStyle w:val="Section Number"/>
          <w:rtl w:val="0"/>
          <w:lang w:val="en-US"/>
        </w:rPr>
        <w:t>–</w:t>
      </w:r>
      <w:r>
        <w:rPr>
          <w:rStyle w:val="Section Number"/>
          <w:rtl w:val="0"/>
          <w:lang w:val="en-US"/>
        </w:rPr>
        <w:t xml:space="preserve">11. Available from: </w:t>
      </w:r>
      <w:r>
        <w:rPr>
          <w:rStyle w:val="Hyperlink.0"/>
        </w:rPr>
        <w:fldChar w:fldCharType="begin" w:fldLock="0"/>
      </w:r>
      <w:r>
        <w:rPr>
          <w:rStyle w:val="Hyperlink.0"/>
        </w:rPr>
        <w:instrText xml:space="preserve"> HYPERLINK "https://academic.oup.com/jamia/article-abstract/9/6/600/1036696"</w:instrText>
      </w:r>
      <w:r>
        <w:rPr>
          <w:rStyle w:val="Hyperlink.0"/>
        </w:rPr>
        <w:fldChar w:fldCharType="separate" w:fldLock="0"/>
      </w:r>
      <w:r>
        <w:rPr>
          <w:rStyle w:val="Hyperlink.0"/>
          <w:rtl w:val="0"/>
        </w:rPr>
        <w:t>https://academic.oup.com/jamia/article-abstract/9/6/600/1036696</w:t>
      </w:r>
      <w:bookmarkEnd w:id="242"/>
      <w:r>
        <w:rPr/>
        <w:fldChar w:fldCharType="end" w:fldLock="0"/>
      </w:r>
    </w:p>
    <w:p>
      <w:pPr>
        <w:pStyle w:val="Bibliography"/>
      </w:pPr>
      <w:bookmarkStart w:name="refmccoy2013" w:id="243"/>
      <w:r>
        <w:rPr>
          <w:rStyle w:val="Section Number"/>
          <w:rtl w:val="0"/>
          <w:lang w:val="en-US"/>
        </w:rPr>
        <w:t xml:space="preserve">60. </w:t>
        <w:tab/>
        <w:t>McCoy AB, Wright A, Kahn MG, Shapiro JS, et al. Matching identifiers in electronic health records: implications for duplicate records and patient safety. BMJ Quality &amp; Safety [Internet]. 2013;22(3):219</w:t>
      </w:r>
      <w:r>
        <w:rPr>
          <w:rStyle w:val="Section Number"/>
          <w:rtl w:val="0"/>
          <w:lang w:val="en-US"/>
        </w:rPr>
        <w:t>–</w:t>
      </w:r>
      <w:r>
        <w:rPr>
          <w:rStyle w:val="Section Number"/>
          <w:rtl w:val="0"/>
          <w:lang w:val="en-US"/>
        </w:rPr>
        <w:t xml:space="preserve">24. Available from: </w:t>
      </w:r>
      <w:r>
        <w:rPr>
          <w:rStyle w:val="Hyperlink.0"/>
        </w:rPr>
        <w:fldChar w:fldCharType="begin" w:fldLock="0"/>
      </w:r>
      <w:r>
        <w:rPr>
          <w:rStyle w:val="Hyperlink.0"/>
        </w:rPr>
        <w:instrText xml:space="preserve"> HYPERLINK "https://qualitysafety.bmj.com/content/22/3/219.short"</w:instrText>
      </w:r>
      <w:r>
        <w:rPr>
          <w:rStyle w:val="Hyperlink.0"/>
        </w:rPr>
        <w:fldChar w:fldCharType="separate" w:fldLock="0"/>
      </w:r>
      <w:r>
        <w:rPr>
          <w:rStyle w:val="Hyperlink.0"/>
          <w:rtl w:val="0"/>
        </w:rPr>
        <w:t>https://qualitysafety.bmj.com/content/22/3/219.short</w:t>
      </w:r>
      <w:bookmarkEnd w:id="243"/>
      <w:r>
        <w:rPr/>
        <w:fldChar w:fldCharType="end" w:fldLock="0"/>
      </w:r>
    </w:p>
    <w:p>
      <w:pPr>
        <w:pStyle w:val="Bibliography"/>
      </w:pPr>
      <w:bookmarkStart w:name="refrahman2020" w:id="244"/>
      <w:r>
        <w:rPr>
          <w:rStyle w:val="Section Number"/>
          <w:rtl w:val="0"/>
          <w:lang w:val="en-US"/>
        </w:rPr>
        <w:t xml:space="preserve">61. </w:t>
        <w:tab/>
        <w:t xml:space="preserve">Rahman P, Nandi A, Hebert C. Amplifying domain expertise in clinical data pipelines. JMIR Medical Informatics [Internet]. 2020;8(11):e19612. Available from: </w:t>
      </w:r>
      <w:r>
        <w:rPr>
          <w:rStyle w:val="Hyperlink.0"/>
        </w:rPr>
        <w:fldChar w:fldCharType="begin" w:fldLock="0"/>
      </w:r>
      <w:r>
        <w:rPr>
          <w:rStyle w:val="Hyperlink.0"/>
        </w:rPr>
        <w:instrText xml:space="preserve"> HYPERLINK "https://medinform.jmir.org/2020/11/e19612/"</w:instrText>
      </w:r>
      <w:r>
        <w:rPr>
          <w:rStyle w:val="Hyperlink.0"/>
        </w:rPr>
        <w:fldChar w:fldCharType="separate" w:fldLock="0"/>
      </w:r>
      <w:r>
        <w:rPr>
          <w:rStyle w:val="Hyperlink.0"/>
          <w:rtl w:val="0"/>
        </w:rPr>
        <w:t>https://medinform.jmir.org/2020/11/e19612/</w:t>
      </w:r>
      <w:bookmarkEnd w:id="244"/>
      <w:r>
        <w:rPr/>
        <w:fldChar w:fldCharType="end" w:fldLock="0"/>
      </w:r>
    </w:p>
    <w:p>
      <w:pPr>
        <w:pStyle w:val="Bibliography"/>
      </w:pPr>
      <w:bookmarkStart w:name="refsirgo2018" w:id="245"/>
      <w:r>
        <w:rPr>
          <w:rStyle w:val="Section Number"/>
          <w:rtl w:val="0"/>
          <w:lang w:val="en-US"/>
        </w:rPr>
        <w:t xml:space="preserve">62. </w:t>
        <w:tab/>
        <w:t>Sirgo G, Esteban G Francisco icon, Moreno G, et al. Validation of the ICU-DaMa tool for automatically extracting variables for minimum dataset and quality indicators: The importance of data quality assessment. International Journal of Medical Informatics [Internet]. 2018;112:166</w:t>
      </w:r>
      <w:r>
        <w:rPr>
          <w:rStyle w:val="Section Number"/>
          <w:rtl w:val="0"/>
          <w:lang w:val="en-US"/>
        </w:rPr>
        <w:t>–</w:t>
      </w:r>
      <w:r>
        <w:rPr>
          <w:rStyle w:val="Section Number"/>
          <w:rtl w:val="0"/>
          <w:lang w:val="en-US"/>
        </w:rPr>
        <w:t xml:space="preserve">72. Available from: </w:t>
      </w:r>
      <w:r>
        <w:rPr>
          <w:rStyle w:val="Hyperlink.0"/>
        </w:rPr>
        <w:fldChar w:fldCharType="begin" w:fldLock="0"/>
      </w:r>
      <w:r>
        <w:rPr>
          <w:rStyle w:val="Hyperlink.0"/>
        </w:rPr>
        <w:instrText xml:space="preserve"> HYPERLINK "https://www.sciencedirect.com/science/article/abs/pii/S1386505618300443"</w:instrText>
      </w:r>
      <w:r>
        <w:rPr>
          <w:rStyle w:val="Hyperlink.0"/>
        </w:rPr>
        <w:fldChar w:fldCharType="separate" w:fldLock="0"/>
      </w:r>
      <w:r>
        <w:rPr>
          <w:rStyle w:val="Hyperlink.0"/>
          <w:rtl w:val="0"/>
        </w:rPr>
        <w:t>https://www.sciencedirect.com/science/article/abs/pii/S1386505618300443</w:t>
      </w:r>
      <w:bookmarkEnd w:id="245"/>
      <w:r>
        <w:rPr/>
        <w:fldChar w:fldCharType="end" w:fldLock="0"/>
      </w:r>
    </w:p>
    <w:p>
      <w:pPr>
        <w:pStyle w:val="Bibliography"/>
      </w:pPr>
      <w:bookmarkStart w:name="refshi2021" w:id="246"/>
      <w:r>
        <w:rPr>
          <w:rStyle w:val="Section Number"/>
          <w:rtl w:val="0"/>
          <w:lang w:val="en-US"/>
        </w:rPr>
        <w:t xml:space="preserve">63. </w:t>
        <w:tab/>
        <w:t>Shi X, Prins C, Van Pottelbergh G, Mamouris P, et al. An automated data cleaning method for Electronic Health Records by incorporating clinical knowledge. BMC Medical Informatics and Decision Making [Internet]. 2021;21:1</w:t>
      </w:r>
      <w:r>
        <w:rPr>
          <w:rStyle w:val="Section Number"/>
          <w:rtl w:val="0"/>
          <w:lang w:val="en-US"/>
        </w:rPr>
        <w:t>–</w:t>
      </w:r>
      <w:r>
        <w:rPr>
          <w:rStyle w:val="Section Number"/>
          <w:rtl w:val="0"/>
          <w:lang w:val="en-US"/>
        </w:rPr>
        <w:t xml:space="preserve">12. Available from: </w:t>
      </w:r>
      <w:r>
        <w:rPr>
          <w:rStyle w:val="Hyperlink.0"/>
        </w:rPr>
        <w:fldChar w:fldCharType="begin" w:fldLock="0"/>
      </w:r>
      <w:r>
        <w:rPr>
          <w:rStyle w:val="Hyperlink.0"/>
        </w:rPr>
        <w:instrText xml:space="preserve"> HYPERLINK "https://link.springer.com/article/10.1186/s12911-021-01470-5"</w:instrText>
      </w:r>
      <w:r>
        <w:rPr>
          <w:rStyle w:val="Hyperlink.0"/>
        </w:rPr>
        <w:fldChar w:fldCharType="separate" w:fldLock="0"/>
      </w:r>
      <w:r>
        <w:rPr>
          <w:rStyle w:val="Hyperlink.0"/>
          <w:rtl w:val="0"/>
        </w:rPr>
        <w:t>https://link.springer.com/article/10.1186/s12911-021-01470-5</w:t>
      </w:r>
      <w:bookmarkEnd w:id="246"/>
      <w:r>
        <w:rPr/>
        <w:fldChar w:fldCharType="end" w:fldLock="0"/>
      </w:r>
    </w:p>
    <w:p>
      <w:pPr>
        <w:pStyle w:val="Bibliography"/>
      </w:pPr>
      <w:bookmarkStart w:name="refdugas2016" w:id="247"/>
      <w:r>
        <w:rPr>
          <w:rStyle w:val="Section Number"/>
          <w:rtl w:val="0"/>
          <w:lang w:val="en-US"/>
        </w:rPr>
        <w:t xml:space="preserve">64. </w:t>
        <w:tab/>
        <w:t xml:space="preserve">Dugas M, Neuhaus P, Meidt A, Doods J, Storck M, et al. Portal of medical data models: information infrastructure for medical research and healthcare. Database [Internet]. 2016;2016. Available from: </w:t>
      </w:r>
      <w:r>
        <w:rPr>
          <w:rStyle w:val="Hyperlink.0"/>
        </w:rPr>
        <w:fldChar w:fldCharType="begin" w:fldLock="0"/>
      </w:r>
      <w:r>
        <w:rPr>
          <w:rStyle w:val="Hyperlink.0"/>
        </w:rPr>
        <w:instrText xml:space="preserve"> HYPERLINK "https://academic.oup.com/database/article/doi/10.1093/database/bav121/2630096"</w:instrText>
      </w:r>
      <w:r>
        <w:rPr>
          <w:rStyle w:val="Hyperlink.0"/>
        </w:rPr>
        <w:fldChar w:fldCharType="separate" w:fldLock="0"/>
      </w:r>
      <w:r>
        <w:rPr>
          <w:rStyle w:val="Hyperlink.0"/>
          <w:rtl w:val="0"/>
        </w:rPr>
        <w:t>https://academic.oup.com/database/article/doi/10.1093/database/bav121/2630096</w:t>
      </w:r>
      <w:bookmarkEnd w:id="247"/>
      <w:r>
        <w:rPr/>
        <w:fldChar w:fldCharType="end" w:fldLock="0"/>
      </w:r>
    </w:p>
    <w:p>
      <w:pPr>
        <w:pStyle w:val="Bibliography"/>
      </w:pPr>
      <w:bookmarkStart w:name="refbokov2017" w:id="248"/>
      <w:r>
        <w:rPr>
          <w:rStyle w:val="Section Number"/>
          <w:rtl w:val="0"/>
          <w:lang w:val="en-US"/>
        </w:rPr>
        <w:t xml:space="preserve">65. </w:t>
        <w:tab/>
        <w:t>Bokov AF, Bos AB, Manuel LS, et al. Using prevalence patterns to discover un-mapped flowsheet data in an electronic health record data warehouse. In: 2017 IEEE 30th international symposium on computer-based medical systems (CBMS) [Internet]. IEEE; 2017. p. 509</w:t>
      </w:r>
      <w:r>
        <w:rPr>
          <w:rStyle w:val="Section Number"/>
          <w:rtl w:val="0"/>
          <w:lang w:val="en-US"/>
        </w:rPr>
        <w:t>–</w:t>
      </w:r>
      <w:r>
        <w:rPr>
          <w:rStyle w:val="Section Number"/>
          <w:rtl w:val="0"/>
          <w:lang w:val="en-US"/>
        </w:rPr>
        <w:t xml:space="preserve">14. Available from: </w:t>
      </w:r>
      <w:r>
        <w:rPr>
          <w:rStyle w:val="Hyperlink.0"/>
        </w:rPr>
        <w:fldChar w:fldCharType="begin" w:fldLock="0"/>
      </w:r>
      <w:r>
        <w:rPr>
          <w:rStyle w:val="Hyperlink.0"/>
        </w:rPr>
        <w:instrText xml:space="preserve"> HYPERLINK "https://ieeexplore.ieee.org/abstract/document/8104211"</w:instrText>
      </w:r>
      <w:r>
        <w:rPr>
          <w:rStyle w:val="Hyperlink.0"/>
        </w:rPr>
        <w:fldChar w:fldCharType="separate" w:fldLock="0"/>
      </w:r>
      <w:r>
        <w:rPr>
          <w:rStyle w:val="Hyperlink.0"/>
          <w:rtl w:val="0"/>
        </w:rPr>
        <w:t>https://ieeexplore.ieee.org/abstract/document/8104211</w:t>
      </w:r>
      <w:bookmarkEnd w:id="248"/>
      <w:r>
        <w:rPr/>
        <w:fldChar w:fldCharType="end" w:fldLock="0"/>
      </w:r>
    </w:p>
    <w:p>
      <w:pPr>
        <w:pStyle w:val="Bibliography"/>
      </w:pPr>
      <w:bookmarkStart w:name="refulrich2022" w:id="249"/>
      <w:r>
        <w:rPr>
          <w:rStyle w:val="Section Number"/>
          <w:rtl w:val="0"/>
          <w:lang w:val="en-US"/>
        </w:rPr>
        <w:t xml:space="preserve">66. </w:t>
        <w:tab/>
        <w:t xml:space="preserve">Ulrich H, Kock-Schoppenhauer AK, et al. Understanding the nature of metadata: systematic review. Journal of Medical Internet Research [Internet]. 2022;24(1):e25440. Available from: </w:t>
      </w:r>
      <w:r>
        <w:rPr>
          <w:rStyle w:val="Hyperlink.0"/>
        </w:rPr>
        <w:fldChar w:fldCharType="begin" w:fldLock="0"/>
      </w:r>
      <w:r>
        <w:rPr>
          <w:rStyle w:val="Hyperlink.0"/>
        </w:rPr>
        <w:instrText xml:space="preserve"> HYPERLINK "https://www.jmir.org/2022/1/e25440/"</w:instrText>
      </w:r>
      <w:r>
        <w:rPr>
          <w:rStyle w:val="Hyperlink.0"/>
        </w:rPr>
        <w:fldChar w:fldCharType="separate" w:fldLock="0"/>
      </w:r>
      <w:r>
        <w:rPr>
          <w:rStyle w:val="Hyperlink.0"/>
          <w:rtl w:val="0"/>
        </w:rPr>
        <w:t>https://www.jmir.org/2022/1/e25440/</w:t>
      </w:r>
      <w:bookmarkEnd w:id="249"/>
      <w:r>
        <w:rPr/>
        <w:fldChar w:fldCharType="end" w:fldLock="0"/>
      </w:r>
    </w:p>
    <w:p>
      <w:pPr>
        <w:pStyle w:val="Bibliography"/>
      </w:pPr>
      <w:bookmarkStart w:name="reflucyk2017" w:id="250"/>
      <w:r>
        <w:rPr>
          <w:rStyle w:val="Section Number"/>
          <w:rtl w:val="0"/>
          <w:lang w:val="en-US"/>
        </w:rPr>
        <w:t xml:space="preserve">67. </w:t>
        <w:tab/>
        <w:t>Lucyk K, Tang K, Quan H. Barriers to data quality resulting from the process of coding health information to administrative data: a qualitative study. BMC Health Services Research [Internet]. 2017;17(1):1</w:t>
      </w:r>
      <w:r>
        <w:rPr>
          <w:rStyle w:val="Section Number"/>
          <w:rtl w:val="0"/>
          <w:lang w:val="en-US"/>
        </w:rPr>
        <w:t>–</w:t>
      </w:r>
      <w:r>
        <w:rPr>
          <w:rStyle w:val="Section Number"/>
          <w:rtl w:val="0"/>
          <w:lang w:val="en-US"/>
        </w:rPr>
        <w:t xml:space="preserve">10. Available from: </w:t>
      </w:r>
      <w:r>
        <w:rPr>
          <w:rStyle w:val="Hyperlink.0"/>
        </w:rPr>
        <w:fldChar w:fldCharType="begin" w:fldLock="0"/>
      </w:r>
      <w:r>
        <w:rPr>
          <w:rStyle w:val="Hyperlink.0"/>
        </w:rPr>
        <w:instrText xml:space="preserve"> HYPERLINK "https://link.springer.com/article/10.1186/s12913-017-2697-y"</w:instrText>
      </w:r>
      <w:r>
        <w:rPr>
          <w:rStyle w:val="Hyperlink.0"/>
        </w:rPr>
        <w:fldChar w:fldCharType="separate" w:fldLock="0"/>
      </w:r>
      <w:r>
        <w:rPr>
          <w:rStyle w:val="Hyperlink.0"/>
          <w:rtl w:val="0"/>
        </w:rPr>
        <w:t>https://link.springer.com/article/10.1186/s12913-017-2697-y</w:t>
      </w:r>
      <w:bookmarkEnd w:id="250"/>
      <w:r>
        <w:rPr/>
        <w:fldChar w:fldCharType="end" w:fldLock="0"/>
      </w:r>
    </w:p>
    <w:p>
      <w:pPr>
        <w:pStyle w:val="Bibliography"/>
      </w:pPr>
      <w:bookmarkStart w:name="refhovenga2013" w:id="251"/>
      <w:r>
        <w:rPr>
          <w:rStyle w:val="Section Number"/>
          <w:rtl w:val="0"/>
          <w:lang w:val="en-US"/>
        </w:rPr>
        <w:t xml:space="preserve">68. </w:t>
        <w:tab/>
        <w:t>Hovenga EJ, Grain H. Health data and data governance. In: Health information governance in a digital environment [Internet]. IOS Press; 2013. p. 67</w:t>
      </w:r>
      <w:r>
        <w:rPr>
          <w:rStyle w:val="Section Number"/>
          <w:rtl w:val="0"/>
          <w:lang w:val="en-US"/>
        </w:rPr>
        <w:t>–</w:t>
      </w:r>
      <w:r>
        <w:rPr>
          <w:rStyle w:val="Section Number"/>
          <w:rtl w:val="0"/>
          <w:lang w:val="en-US"/>
        </w:rPr>
        <w:t xml:space="preserve">94. Available from: </w:t>
      </w:r>
      <w:r>
        <w:rPr>
          <w:rStyle w:val="Hyperlink.0"/>
        </w:rPr>
        <w:fldChar w:fldCharType="begin" w:fldLock="0"/>
      </w:r>
      <w:r>
        <w:rPr>
          <w:rStyle w:val="Hyperlink.0"/>
        </w:rPr>
        <w:instrText xml:space="preserve"> HYPERLINK "https://ebooks.iospress.nl/volumearticle/35106"</w:instrText>
      </w:r>
      <w:r>
        <w:rPr>
          <w:rStyle w:val="Hyperlink.0"/>
        </w:rPr>
        <w:fldChar w:fldCharType="separate" w:fldLock="0"/>
      </w:r>
      <w:r>
        <w:rPr>
          <w:rStyle w:val="Hyperlink.0"/>
          <w:rtl w:val="0"/>
        </w:rPr>
        <w:t>https://ebooks.iospress.nl/volumearticle/35106</w:t>
      </w:r>
      <w:bookmarkEnd w:id="251"/>
      <w:r>
        <w:rPr/>
        <w:fldChar w:fldCharType="end" w:fldLock="0"/>
      </w:r>
    </w:p>
    <w:p>
      <w:pPr>
        <w:pStyle w:val="Bibliography"/>
      </w:pPr>
      <w:bookmarkStart w:name="refwu2024" w:id="252"/>
      <w:r>
        <w:rPr>
          <w:rStyle w:val="Section Number"/>
          <w:rtl w:val="0"/>
          <w:lang w:val="en-US"/>
        </w:rPr>
        <w:t xml:space="preserve">69. </w:t>
        <w:tab/>
        <w:t xml:space="preserve">Wu L F., Li L. Worldwide prevalence and associated factors of nursing staff turnover: A systematic review and meta-analysis. Nursing Open [Internet]. 2024;11:e2097. Available from: </w:t>
      </w:r>
      <w:r>
        <w:rPr>
          <w:rStyle w:val="Hyperlink.0"/>
        </w:rPr>
        <w:fldChar w:fldCharType="begin" w:fldLock="0"/>
      </w:r>
      <w:r>
        <w:rPr>
          <w:rStyle w:val="Hyperlink.0"/>
        </w:rPr>
        <w:instrText xml:space="preserve"> HYPERLINK "https://pmc.ncbi.nlm.nih.gov/articles/PMC10802134/"</w:instrText>
      </w:r>
      <w:r>
        <w:rPr>
          <w:rStyle w:val="Hyperlink.0"/>
        </w:rPr>
        <w:fldChar w:fldCharType="separate" w:fldLock="0"/>
      </w:r>
      <w:r>
        <w:rPr>
          <w:rStyle w:val="Hyperlink.0"/>
          <w:rtl w:val="0"/>
        </w:rPr>
        <w:t>https://pmc.ncbi.nlm.nih.gov/articles/PMC10802134/</w:t>
      </w:r>
      <w:bookmarkEnd w:id="252"/>
      <w:r>
        <w:rPr/>
        <w:fldChar w:fldCharType="end" w:fldLock="0"/>
      </w:r>
    </w:p>
    <w:p>
      <w:pPr>
        <w:pStyle w:val="Bibliography"/>
      </w:pPr>
      <w:bookmarkStart w:name="refren2024" w:id="253"/>
      <w:r>
        <w:rPr>
          <w:rStyle w:val="Section Number"/>
          <w:rtl w:val="0"/>
          <w:lang w:val="en-US"/>
        </w:rPr>
        <w:t xml:space="preserve">70. </w:t>
        <w:tab/>
        <w:t xml:space="preserve">Ren W L. Global prevalence of nurse turnover rates: A meta-analysis of 21 studies from 14 countries. Journal of Nursing Management [Internet]. 2024; Available from: </w:t>
      </w:r>
      <w:r>
        <w:rPr>
          <w:rStyle w:val="Hyperlink.0"/>
        </w:rPr>
        <w:fldChar w:fldCharType="begin" w:fldLock="0"/>
      </w:r>
      <w:r>
        <w:rPr>
          <w:rStyle w:val="Hyperlink.0"/>
        </w:rPr>
        <w:instrText xml:space="preserve"> HYPERLINK "https://pmc.ncbi.nlm.nih.gov/articles/PMC11919231/"</w:instrText>
      </w:r>
      <w:r>
        <w:rPr>
          <w:rStyle w:val="Hyperlink.0"/>
        </w:rPr>
        <w:fldChar w:fldCharType="separate" w:fldLock="0"/>
      </w:r>
      <w:r>
        <w:rPr>
          <w:rStyle w:val="Hyperlink.0"/>
          <w:rtl w:val="0"/>
        </w:rPr>
        <w:t>https://pmc.ncbi.nlm.nih.gov/articles/PMC11919231/</w:t>
      </w:r>
      <w:bookmarkEnd w:id="253"/>
      <w:r>
        <w:rPr/>
        <w:fldChar w:fldCharType="end" w:fldLock="0"/>
      </w:r>
    </w:p>
    <w:p>
      <w:pPr>
        <w:pStyle w:val="Bibliography"/>
      </w:pPr>
      <w:bookmarkStart w:name="refhong2025" w:id="254"/>
      <w:r>
        <w:rPr>
          <w:rStyle w:val="Section Number"/>
          <w:rtl w:val="0"/>
          <w:lang w:val="en-US"/>
        </w:rPr>
        <w:t xml:space="preserve">71. </w:t>
        <w:tab/>
        <w:t xml:space="preserve">Hong JH. When does employee turnover matter? Organizational memory in federal IT. Journal of Public Administration Research and Theory [Internet]. 2025; Available from: </w:t>
      </w:r>
      <w:r>
        <w:rPr>
          <w:rStyle w:val="Hyperlink.0"/>
        </w:rPr>
        <w:fldChar w:fldCharType="begin" w:fldLock="0"/>
      </w:r>
      <w:r>
        <w:rPr>
          <w:rStyle w:val="Hyperlink.0"/>
        </w:rPr>
        <w:instrText xml:space="preserve"> HYPERLINK "https://academic.oup.com/jpart/advance-article-abstract/doi/10.1093/jopart/muaf019/8162522"</w:instrText>
      </w:r>
      <w:r>
        <w:rPr>
          <w:rStyle w:val="Hyperlink.0"/>
        </w:rPr>
        <w:fldChar w:fldCharType="separate" w:fldLock="0"/>
      </w:r>
      <w:r>
        <w:rPr>
          <w:rStyle w:val="Hyperlink.0"/>
          <w:rtl w:val="0"/>
        </w:rPr>
        <w:t>https://academic.oup.com/jpart/advance-article-abstract/doi/10.1093/jopart/muaf019/8162522</w:t>
      </w:r>
      <w:bookmarkEnd w:id="254"/>
      <w:r>
        <w:rPr/>
        <w:fldChar w:fldCharType="end" w:fldLock="0"/>
      </w:r>
    </w:p>
    <w:p>
      <w:pPr>
        <w:pStyle w:val="Bibliography"/>
      </w:pPr>
      <w:bookmarkStart w:name="refwillardgrace2019" w:id="255"/>
      <w:r>
        <w:rPr>
          <w:rStyle w:val="Section Number"/>
          <w:rtl w:val="0"/>
          <w:lang w:val="en-US"/>
        </w:rPr>
        <w:t xml:space="preserve">72. </w:t>
        <w:tab/>
        <w:t xml:space="preserve">Willard-Grace K R. Burnout and health care workforce turnover. The Annals of Family Medicine [Internet]. 2019; Available from: </w:t>
      </w:r>
      <w:r>
        <w:rPr>
          <w:rStyle w:val="Hyperlink.0"/>
        </w:rPr>
        <w:fldChar w:fldCharType="begin" w:fldLock="0"/>
      </w:r>
      <w:r>
        <w:rPr>
          <w:rStyle w:val="Hyperlink.0"/>
        </w:rPr>
        <w:instrText xml:space="preserve"> HYPERLINK "https://www.annfammed.org/content/17/1/36"</w:instrText>
      </w:r>
      <w:r>
        <w:rPr>
          <w:rStyle w:val="Hyperlink.0"/>
        </w:rPr>
        <w:fldChar w:fldCharType="separate" w:fldLock="0"/>
      </w:r>
      <w:r>
        <w:rPr>
          <w:rStyle w:val="Hyperlink.0"/>
          <w:rtl w:val="0"/>
        </w:rPr>
        <w:t>https://www.annfammed.org/content/17/1/36</w:t>
      </w:r>
      <w:bookmarkEnd w:id="255"/>
      <w:r>
        <w:rPr/>
        <w:fldChar w:fldCharType="end" w:fldLock="0"/>
      </w:r>
    </w:p>
    <w:p>
      <w:pPr>
        <w:pStyle w:val="Bibliography"/>
      </w:pPr>
      <w:bookmarkStart w:name="refnsi2025" w:id="256"/>
      <w:r>
        <w:rPr>
          <w:rStyle w:val="Section Number"/>
          <w:rtl w:val="0"/>
          <w:lang w:val="en-US"/>
        </w:rPr>
        <w:t xml:space="preserve">73. </w:t>
        <w:tab/>
        <w:t xml:space="preserve">NSI Nursing Solutions. 2025 National Health Care Retention &amp; RN Staffing Report [Internet]. NSI Nursing Solutions; 2024. Available from: </w:t>
      </w:r>
      <w:r>
        <w:rPr>
          <w:rStyle w:val="Hyperlink.0"/>
        </w:rPr>
        <w:fldChar w:fldCharType="begin" w:fldLock="0"/>
      </w:r>
      <w:r>
        <w:rPr>
          <w:rStyle w:val="Hyperlink.0"/>
        </w:rPr>
        <w:instrText xml:space="preserve"> HYPERLINK "https://www.nsinursingsolutions.com/documents/library/nsi_national_health_care_retention_report.pdf"</w:instrText>
      </w:r>
      <w:r>
        <w:rPr>
          <w:rStyle w:val="Hyperlink.0"/>
        </w:rPr>
        <w:fldChar w:fldCharType="separate" w:fldLock="0"/>
      </w:r>
      <w:r>
        <w:rPr>
          <w:rStyle w:val="Hyperlink.0"/>
          <w:rtl w:val="0"/>
        </w:rPr>
        <w:t>https://www.nsinursingsolutions.com/documents/library/nsi_national_health_care_retention_report.pdf</w:t>
      </w:r>
      <w:bookmarkEnd w:id="256"/>
      <w:r>
        <w:rPr/>
        <w:fldChar w:fldCharType="end" w:fldLock="0"/>
      </w:r>
    </w:p>
    <w:p>
      <w:pPr>
        <w:pStyle w:val="Bibliography"/>
      </w:pPr>
      <w:bookmarkStart w:name="refledikwe2013" w:id="257"/>
      <w:r>
        <w:rPr>
          <w:rStyle w:val="Section Number"/>
          <w:rtl w:val="0"/>
          <w:lang w:val="en-US"/>
        </w:rPr>
        <w:t xml:space="preserve">74. </w:t>
        <w:tab/>
        <w:t xml:space="preserve">Ledikwe R J. H. Establishing a health information workforce: Innovation for low- and middle-income countries. Human Resources for Health [Internet]. 2013; Available from: </w:t>
      </w:r>
      <w:r>
        <w:rPr>
          <w:rStyle w:val="Hyperlink.0"/>
        </w:rPr>
        <w:fldChar w:fldCharType="begin" w:fldLock="0"/>
      </w:r>
      <w:r>
        <w:rPr>
          <w:rStyle w:val="Hyperlink.0"/>
        </w:rPr>
        <w:instrText xml:space="preserve"> HYPERLINK "https://human-resources-health.biomedcentral.com/articles/10.1186/1478-4491-11-35"</w:instrText>
      </w:r>
      <w:r>
        <w:rPr>
          <w:rStyle w:val="Hyperlink.0"/>
        </w:rPr>
        <w:fldChar w:fldCharType="separate" w:fldLock="0"/>
      </w:r>
      <w:r>
        <w:rPr>
          <w:rStyle w:val="Hyperlink.0"/>
          <w:rtl w:val="0"/>
        </w:rPr>
        <w:t>https://human-resources-health.biomedcentral.com/articles/10.1186/1478-4491-11-35</w:t>
      </w:r>
      <w:bookmarkEnd w:id="257"/>
      <w:r>
        <w:rPr/>
        <w:fldChar w:fldCharType="end" w:fldLock="0"/>
      </w:r>
    </w:p>
    <w:p>
      <w:pPr>
        <w:pStyle w:val="Bibliography"/>
      </w:pPr>
      <w:bookmarkStart w:name="refmantas2010" w:id="258"/>
      <w:r>
        <w:rPr>
          <w:rStyle w:val="Section Number"/>
          <w:rtl w:val="0"/>
          <w:lang w:val="en-US"/>
        </w:rPr>
        <w:t xml:space="preserve">75. </w:t>
        <w:tab/>
        <w:t xml:space="preserve">Mantas A J. Recommendations of the International Medical Informatics Association (IMIA) on education in biomedical and health informatics: First revision. Methods of Information in Medicine [Internet]. 2010; Available from: </w:t>
      </w:r>
      <w:r>
        <w:rPr>
          <w:rStyle w:val="Hyperlink.0"/>
        </w:rPr>
        <w:fldChar w:fldCharType="begin" w:fldLock="0"/>
      </w:r>
      <w:r>
        <w:rPr>
          <w:rStyle w:val="Hyperlink.0"/>
        </w:rPr>
        <w:instrText xml:space="preserve"> HYPERLINK "https://pubmed.ncbi.nlm.nih.gov/20054502/"</w:instrText>
      </w:r>
      <w:r>
        <w:rPr>
          <w:rStyle w:val="Hyperlink.0"/>
        </w:rPr>
        <w:fldChar w:fldCharType="separate" w:fldLock="0"/>
      </w:r>
      <w:r>
        <w:rPr>
          <w:rStyle w:val="Hyperlink.0"/>
          <w:rtl w:val="0"/>
        </w:rPr>
        <w:t>https://pubmed.ncbi.nlm.nih.gov/20054502/</w:t>
      </w:r>
      <w:bookmarkEnd w:id="258"/>
      <w:r>
        <w:rPr/>
        <w:fldChar w:fldCharType="end" w:fldLock="0"/>
      </w:r>
    </w:p>
    <w:p>
      <w:pPr>
        <w:pStyle w:val="Bibliography"/>
      </w:pPr>
      <w:bookmarkStart w:name="refmusa2023" w:id="259"/>
      <w:r>
        <w:rPr>
          <w:rStyle w:val="Section Number"/>
          <w:rtl w:val="0"/>
          <w:lang w:val="en-US"/>
        </w:rPr>
        <w:t xml:space="preserve">76. </w:t>
        <w:tab/>
        <w:t xml:space="preserve">Musa D S. The impact of training on electronic health records related knowledge, practical competencies, and staff satisfaction: A pre-post intervention study among wellness center providers in a primary health-care facility. Journal of Multidisciplinary Healthcare [Internet]. 2023; Available from: </w:t>
      </w:r>
      <w:r>
        <w:rPr>
          <w:rStyle w:val="Hyperlink.0"/>
        </w:rPr>
        <w:fldChar w:fldCharType="begin" w:fldLock="0"/>
      </w:r>
      <w:r>
        <w:rPr>
          <w:rStyle w:val="Hyperlink.0"/>
        </w:rPr>
        <w:instrText xml:space="preserve"> HYPERLINK "https://pmc.ncbi.nlm.nih.gov/articles/PMC10243608/"</w:instrText>
      </w:r>
      <w:r>
        <w:rPr>
          <w:rStyle w:val="Hyperlink.0"/>
        </w:rPr>
        <w:fldChar w:fldCharType="separate" w:fldLock="0"/>
      </w:r>
      <w:r>
        <w:rPr>
          <w:rStyle w:val="Hyperlink.0"/>
          <w:rtl w:val="0"/>
        </w:rPr>
        <w:t>https://pmc.ncbi.nlm.nih.gov/articles/PMC10243608/</w:t>
      </w:r>
      <w:bookmarkEnd w:id="259"/>
      <w:r>
        <w:rPr/>
        <w:fldChar w:fldCharType="end" w:fldLock="0"/>
      </w:r>
    </w:p>
    <w:p>
      <w:pPr>
        <w:pStyle w:val="Bibliography"/>
      </w:pPr>
      <w:bookmarkStart w:name="refkonrad2022" w:id="260"/>
      <w:r>
        <w:rPr>
          <w:rStyle w:val="Section Number"/>
          <w:rtl w:val="0"/>
          <w:lang w:val="en-US"/>
        </w:rPr>
        <w:t xml:space="preserve">77. </w:t>
        <w:tab/>
        <w:t>Konrad &amp;S I. Exploring the potential of an IT capability in its bootstrap phase from a task driven onboarding perspective: Insights toward information infrastructure in healthcare [Internet] [Master</w:t>
      </w:r>
      <w:r>
        <w:rPr>
          <w:rStyle w:val="Section Number"/>
          <w:rtl w:val="0"/>
          <w:lang w:val="en-US"/>
        </w:rPr>
        <w:t>’</w:t>
      </w:r>
      <w:r>
        <w:rPr>
          <w:rStyle w:val="Section Number"/>
          <w:rtl w:val="0"/>
          <w:lang w:val="en-US"/>
        </w:rPr>
        <w:t xml:space="preserve">s thesis]. 2022. Available from: </w:t>
      </w:r>
      <w:r>
        <w:rPr>
          <w:rStyle w:val="Hyperlink.0"/>
        </w:rPr>
        <w:fldChar w:fldCharType="begin" w:fldLock="0"/>
      </w:r>
      <w:r>
        <w:rPr>
          <w:rStyle w:val="Hyperlink.0"/>
        </w:rPr>
        <w:instrText xml:space="preserve"> HYPERLINK "https://www.diva-portal.org/smash/record.jsf?pid=diva2:1684142"</w:instrText>
      </w:r>
      <w:r>
        <w:rPr>
          <w:rStyle w:val="Hyperlink.0"/>
        </w:rPr>
        <w:fldChar w:fldCharType="separate" w:fldLock="0"/>
      </w:r>
      <w:r>
        <w:rPr>
          <w:rStyle w:val="Hyperlink.0"/>
          <w:rtl w:val="0"/>
        </w:rPr>
        <w:t>https://www.diva-portal.org/smash/record.jsf?pid=diva2:1684142</w:t>
      </w:r>
      <w:bookmarkEnd w:id="260"/>
      <w:r>
        <w:rPr/>
        <w:fldChar w:fldCharType="end" w:fldLock="0"/>
      </w:r>
    </w:p>
    <w:p>
      <w:pPr>
        <w:pStyle w:val="Bibliography"/>
      </w:pPr>
      <w:bookmarkStart w:name="refmayo2016" w:id="261"/>
      <w:r>
        <w:rPr>
          <w:rStyle w:val="Section Number"/>
          <w:rtl w:val="0"/>
          <w:lang w:val="en-US"/>
        </w:rPr>
        <w:t xml:space="preserve">78. </w:t>
        <w:tab/>
        <w:t xml:space="preserve">Mayo D C. S. How can we effect culture change toward data-driven medicine? International Journal of Radiation Oncology, Biology, Physics [Internet]. 2016; Available from: </w:t>
      </w:r>
      <w:r>
        <w:rPr>
          <w:rStyle w:val="Hyperlink.0"/>
        </w:rPr>
        <w:fldChar w:fldCharType="begin" w:fldLock="0"/>
      </w:r>
      <w:r>
        <w:rPr>
          <w:rStyle w:val="Hyperlink.0"/>
        </w:rPr>
        <w:instrText xml:space="preserve"> HYPERLINK "https://www.redjournal.org/article/S0360-3016(16)00260-1/fulltext"</w:instrText>
      </w:r>
      <w:r>
        <w:rPr>
          <w:rStyle w:val="Hyperlink.0"/>
        </w:rPr>
        <w:fldChar w:fldCharType="separate" w:fldLock="0"/>
      </w:r>
      <w:r>
        <w:rPr>
          <w:rStyle w:val="Hyperlink.0"/>
          <w:rtl w:val="0"/>
        </w:rPr>
        <w:t>https://www.redjournal.org/article/S0360-3016(16)00260-1/fulltext</w:t>
      </w:r>
      <w:bookmarkEnd w:id="261"/>
      <w:r>
        <w:rPr/>
        <w:fldChar w:fldCharType="end" w:fldLock="0"/>
      </w:r>
    </w:p>
    <w:p>
      <w:pPr>
        <w:pStyle w:val="Bibliography"/>
      </w:pPr>
      <w:bookmarkStart w:name="refgoffin2011" w:id="262"/>
      <w:r>
        <w:rPr>
          <w:rStyle w:val="Section Number"/>
          <w:rtl w:val="0"/>
          <w:lang w:val="en-US"/>
        </w:rPr>
        <w:t xml:space="preserve">79. </w:t>
        <w:tab/>
        <w:t xml:space="preserve">Goffin &amp;K K. Tacit knowledge, lessons learnt, and new product development. Journal of Product Innovation Management [Internet]. 2011; Available from: </w:t>
      </w:r>
      <w:r>
        <w:rPr>
          <w:rStyle w:val="Hyperlink.0"/>
        </w:rPr>
        <w:fldChar w:fldCharType="begin" w:fldLock="0"/>
      </w:r>
      <w:r>
        <w:rPr>
          <w:rStyle w:val="Hyperlink.0"/>
        </w:rPr>
        <w:instrText xml:space="preserve"> HYPERLINK "https://onlinelibrary.wiley.com/doi/abs/10.1111/j.1540-5885.2010.00798.x"</w:instrText>
      </w:r>
      <w:r>
        <w:rPr>
          <w:rStyle w:val="Hyperlink.0"/>
        </w:rPr>
        <w:fldChar w:fldCharType="separate" w:fldLock="0"/>
      </w:r>
      <w:r>
        <w:rPr>
          <w:rStyle w:val="Hyperlink.0"/>
          <w:rtl w:val="0"/>
        </w:rPr>
        <w:t>https://onlinelibrary.wiley.com/doi/abs/10.1111/j.1540-5885.2010.00798.x</w:t>
      </w:r>
      <w:bookmarkEnd w:id="262"/>
      <w:r>
        <w:rPr/>
        <w:fldChar w:fldCharType="end" w:fldLock="0"/>
      </w:r>
    </w:p>
    <w:p>
      <w:pPr>
        <w:pStyle w:val="Bibliography"/>
      </w:pPr>
      <w:bookmarkStart w:name="refwang2020" w:id="263"/>
      <w:r>
        <w:rPr>
          <w:rStyle w:val="Section Number"/>
          <w:rtl w:val="0"/>
          <w:lang w:val="en-US"/>
        </w:rPr>
        <w:t xml:space="preserve">80. </w:t>
        <w:tab/>
        <w:t xml:space="preserve">Wang S P. Text-to-SQL generation for question answering on electronic medical records. In: Proceedings of the web conference 2020 [Internet]. 2020. Available from: </w:t>
      </w:r>
      <w:r>
        <w:rPr>
          <w:rStyle w:val="Hyperlink.0"/>
        </w:rPr>
        <w:fldChar w:fldCharType="begin" w:fldLock="0"/>
      </w:r>
      <w:r>
        <w:rPr>
          <w:rStyle w:val="Hyperlink.0"/>
        </w:rPr>
        <w:instrText xml:space="preserve"> HYPERLINK "https://arxiv.org/abs/1908.01839"</w:instrText>
      </w:r>
      <w:r>
        <w:rPr>
          <w:rStyle w:val="Hyperlink.0"/>
        </w:rPr>
        <w:fldChar w:fldCharType="separate" w:fldLock="0"/>
      </w:r>
      <w:r>
        <w:rPr>
          <w:rStyle w:val="Hyperlink.0"/>
          <w:rtl w:val="0"/>
        </w:rPr>
        <w:t>https://arxiv.org/abs/1908.01839</w:t>
      </w:r>
      <w:bookmarkEnd w:id="263"/>
      <w:r>
        <w:rPr/>
        <w:fldChar w:fldCharType="end" w:fldLock="0"/>
      </w:r>
    </w:p>
    <w:p>
      <w:pPr>
        <w:pStyle w:val="Bibliography"/>
      </w:pPr>
      <w:bookmarkStart w:name="refyuan2019" w:id="264"/>
      <w:r>
        <w:rPr>
          <w:rStyle w:val="Section Number"/>
          <w:rtl w:val="0"/>
          <w:lang w:val="en-US"/>
        </w:rPr>
        <w:t xml:space="preserve">81. </w:t>
        <w:tab/>
        <w:t xml:space="preserve">Yuan R C. Criteria2Query: a natural language interface to clinical databases for cohort definition. Journal of the American Medical Informatics Association [Internet]. 2019; Available from: </w:t>
      </w:r>
      <w:r>
        <w:rPr>
          <w:rStyle w:val="Hyperlink.0"/>
        </w:rPr>
        <w:fldChar w:fldCharType="begin" w:fldLock="0"/>
      </w:r>
      <w:r>
        <w:rPr>
          <w:rStyle w:val="Hyperlink.0"/>
        </w:rPr>
        <w:instrText xml:space="preserve"> HYPERLINK "https://academic.oup.com/jamia/article-abstract/26/4/294/5308980"</w:instrText>
      </w:r>
      <w:r>
        <w:rPr>
          <w:rStyle w:val="Hyperlink.0"/>
        </w:rPr>
        <w:fldChar w:fldCharType="separate" w:fldLock="0"/>
      </w:r>
      <w:r>
        <w:rPr>
          <w:rStyle w:val="Hyperlink.0"/>
          <w:rtl w:val="0"/>
        </w:rPr>
        <w:t>https://academic.oup.com/jamia/article-abstract/26/4/294/5308980</w:t>
      </w:r>
      <w:bookmarkEnd w:id="264"/>
      <w:r>
        <w:rPr/>
        <w:fldChar w:fldCharType="end" w:fldLock="0"/>
      </w:r>
    </w:p>
    <w:p>
      <w:pPr>
        <w:pStyle w:val="Bibliography"/>
      </w:pPr>
      <w:bookmarkStart w:name="refwang2025" w:id="265"/>
      <w:r>
        <w:rPr>
          <w:rStyle w:val="Section Number"/>
          <w:rtl w:val="0"/>
          <w:lang w:val="en-US"/>
        </w:rPr>
        <w:t xml:space="preserve">82. </w:t>
        <w:tab/>
        <w:t xml:space="preserve">Wang H S. Capabilities of GPT-5 on multimodal medical reasoning. arXiv preprint [Internet]. 2025; Available from: </w:t>
      </w:r>
      <w:r>
        <w:rPr>
          <w:rStyle w:val="Hyperlink.0"/>
        </w:rPr>
        <w:fldChar w:fldCharType="begin" w:fldLock="0"/>
      </w:r>
      <w:r>
        <w:rPr>
          <w:rStyle w:val="Hyperlink.0"/>
        </w:rPr>
        <w:instrText xml:space="preserve"> HYPERLINK "https://arxiv.org/abs/2508.08224"</w:instrText>
      </w:r>
      <w:r>
        <w:rPr>
          <w:rStyle w:val="Hyperlink.0"/>
        </w:rPr>
        <w:fldChar w:fldCharType="separate" w:fldLock="0"/>
      </w:r>
      <w:r>
        <w:rPr>
          <w:rStyle w:val="Hyperlink.0"/>
          <w:rtl w:val="0"/>
        </w:rPr>
        <w:t>https://arxiv.org/abs/2508.08224</w:t>
      </w:r>
      <w:bookmarkEnd w:id="265"/>
      <w:r>
        <w:rPr/>
        <w:fldChar w:fldCharType="end" w:fldLock="0"/>
      </w:r>
    </w:p>
    <w:p>
      <w:pPr>
        <w:pStyle w:val="Bibliography"/>
      </w:pPr>
      <w:bookmarkStart w:name="refopenai2025" w:id="266"/>
      <w:r>
        <w:rPr>
          <w:rStyle w:val="Section Number"/>
          <w:rtl w:val="0"/>
          <w:lang w:val="en-US"/>
        </w:rPr>
        <w:t xml:space="preserve">83. </w:t>
        <w:tab/>
        <w:t xml:space="preserve">OpenAI. HealthBench: A benchmark for evaluating LLMs in healthcare. arXiv preprint [Internet]. 2025; Available from: </w:t>
      </w:r>
      <w:r>
        <w:rPr>
          <w:rStyle w:val="Hyperlink.0"/>
        </w:rPr>
        <w:fldChar w:fldCharType="begin" w:fldLock="0"/>
      </w:r>
      <w:r>
        <w:rPr>
          <w:rStyle w:val="Hyperlink.0"/>
        </w:rPr>
        <w:instrText xml:space="preserve"> HYPERLINK "https://arxiv.org/abs/2505.08775"</w:instrText>
      </w:r>
      <w:r>
        <w:rPr>
          <w:rStyle w:val="Hyperlink.0"/>
        </w:rPr>
        <w:fldChar w:fldCharType="separate" w:fldLock="0"/>
      </w:r>
      <w:r>
        <w:rPr>
          <w:rStyle w:val="Hyperlink.0"/>
          <w:rtl w:val="0"/>
        </w:rPr>
        <w:t>https://arxiv.org/abs/2505.08775</w:t>
      </w:r>
      <w:bookmarkEnd w:id="266"/>
      <w:r>
        <w:rPr/>
        <w:fldChar w:fldCharType="end" w:fldLock="0"/>
      </w:r>
    </w:p>
    <w:p>
      <w:pPr>
        <w:pStyle w:val="Bibliography"/>
      </w:pPr>
      <w:bookmarkStart w:name="refmedagentbench2024" w:id="267"/>
      <w:r>
        <w:rPr>
          <w:rStyle w:val="Section Number"/>
          <w:rtl w:val="0"/>
          <w:lang w:val="en-US"/>
        </w:rPr>
        <w:t xml:space="preserve">84. </w:t>
        <w:tab/>
        <w:t xml:space="preserve">Jiang B Y., Chen JH. MedAgentBench: A virtual EHR environment to benchmark medical LLM agents. NEJM AI [Internet]. 2025; Available from: </w:t>
      </w:r>
      <w:r>
        <w:rPr>
          <w:rStyle w:val="Hyperlink.0"/>
        </w:rPr>
        <w:fldChar w:fldCharType="begin" w:fldLock="0"/>
      </w:r>
      <w:r>
        <w:rPr>
          <w:rStyle w:val="Hyperlink.0"/>
        </w:rPr>
        <w:instrText xml:space="preserve"> HYPERLINK "https://ai.nejm.org/doi/full/10.1056/AIdbp2500144"</w:instrText>
      </w:r>
      <w:r>
        <w:rPr>
          <w:rStyle w:val="Hyperlink.0"/>
        </w:rPr>
        <w:fldChar w:fldCharType="separate" w:fldLock="0"/>
      </w:r>
      <w:r>
        <w:rPr>
          <w:rStyle w:val="Hyperlink.0"/>
          <w:rtl w:val="0"/>
        </w:rPr>
        <w:t>https://ai.nejm.org/doi/full/10.1056/AIdbp2500144</w:t>
      </w:r>
      <w:bookmarkEnd w:id="267"/>
      <w:r>
        <w:rPr/>
        <w:fldChar w:fldCharType="end" w:fldLock="0"/>
      </w:r>
    </w:p>
    <w:p>
      <w:pPr>
        <w:pStyle w:val="Bibliography"/>
      </w:pPr>
      <w:bookmarkStart w:name="refwu2024a" w:id="268"/>
      <w:r>
        <w:rPr>
          <w:rStyle w:val="Section Number"/>
          <w:rtl w:val="0"/>
          <w:lang w:val="en-US"/>
        </w:rPr>
        <w:t xml:space="preserve">85. </w:t>
        <w:tab/>
        <w:t xml:space="preserve">Wu Q C., Xie W. Towards evaluating and building versatile large language models for medicine. npj Digital Medicine [Internet]. 2025; Available from: </w:t>
      </w:r>
      <w:r>
        <w:rPr>
          <w:rStyle w:val="Hyperlink.0"/>
        </w:rPr>
        <w:fldChar w:fldCharType="begin" w:fldLock="0"/>
      </w:r>
      <w:r>
        <w:rPr>
          <w:rStyle w:val="Hyperlink.0"/>
        </w:rPr>
        <w:instrText xml:space="preserve"> HYPERLINK "https://www.nature.com/articles/s41746-024-01390-4"</w:instrText>
      </w:r>
      <w:r>
        <w:rPr>
          <w:rStyle w:val="Hyperlink.0"/>
        </w:rPr>
        <w:fldChar w:fldCharType="separate" w:fldLock="0"/>
      </w:r>
      <w:r>
        <w:rPr>
          <w:rStyle w:val="Hyperlink.0"/>
          <w:rtl w:val="0"/>
        </w:rPr>
        <w:t>https://www.nature.com/articles/s41746-024-01390-4</w:t>
      </w:r>
      <w:bookmarkEnd w:id="268"/>
      <w:r>
        <w:rPr/>
        <w:fldChar w:fldCharType="end" w:fldLock="0"/>
      </w:r>
    </w:p>
    <w:p>
      <w:pPr>
        <w:pStyle w:val="Bibliography"/>
      </w:pPr>
      <w:bookmarkStart w:name="refblaskovic2025" w:id="269"/>
      <w:r>
        <w:rPr>
          <w:rStyle w:val="Section Number"/>
          <w:rtl w:val="0"/>
          <w:lang w:val="en-US"/>
        </w:rPr>
        <w:t xml:space="preserve">86. </w:t>
        <w:tab/>
        <w:t>Bla</w:t>
      </w:r>
      <w:r>
        <w:rPr>
          <w:rStyle w:val="Section Number"/>
          <w:rtl w:val="0"/>
          <w:lang w:val="en-US"/>
        </w:rPr>
        <w:t>š</w:t>
      </w:r>
      <w:r>
        <w:rPr>
          <w:rStyle w:val="Section Number"/>
          <w:rtl w:val="0"/>
          <w:lang w:val="en-US"/>
        </w:rPr>
        <w:t>kovi</w:t>
      </w:r>
      <w:r>
        <w:rPr>
          <w:rStyle w:val="Section Number"/>
          <w:rtl w:val="0"/>
          <w:lang w:val="en-US"/>
        </w:rPr>
        <w:t xml:space="preserve">ć </w:t>
      </w:r>
      <w:r>
        <w:rPr>
          <w:rStyle w:val="Section Number"/>
          <w:rtl w:val="0"/>
          <w:lang w:val="en-US"/>
        </w:rPr>
        <w:t xml:space="preserve">T L., Lorencin I. Robust clinical querying with local LLMs: Lexical challenges in NL2SQL and RAG-QA on EHRs. Big Data and Cognitive Computing [Internet]. 2025;9(10):256. Available from: </w:t>
      </w:r>
      <w:r>
        <w:rPr>
          <w:rStyle w:val="Hyperlink.0"/>
        </w:rPr>
        <w:fldChar w:fldCharType="begin" w:fldLock="0"/>
      </w:r>
      <w:r>
        <w:rPr>
          <w:rStyle w:val="Hyperlink.0"/>
        </w:rPr>
        <w:instrText xml:space="preserve"> HYPERLINK "https://www.mdpi.com/2504-2289/9/10/256"</w:instrText>
      </w:r>
      <w:r>
        <w:rPr>
          <w:rStyle w:val="Hyperlink.0"/>
        </w:rPr>
        <w:fldChar w:fldCharType="separate" w:fldLock="0"/>
      </w:r>
      <w:r>
        <w:rPr>
          <w:rStyle w:val="Hyperlink.0"/>
          <w:rtl w:val="0"/>
        </w:rPr>
        <w:t>https://www.mdpi.com/2504-2289/9/10/256</w:t>
      </w:r>
      <w:bookmarkEnd w:id="269"/>
      <w:r>
        <w:rPr/>
        <w:fldChar w:fldCharType="end" w:fldLock="0"/>
      </w:r>
    </w:p>
    <w:p>
      <w:pPr>
        <w:pStyle w:val="Bibliography"/>
      </w:pPr>
      <w:bookmarkStart w:name="reflee2023" w:id="270"/>
      <w:r>
        <w:rPr>
          <w:rStyle w:val="Section Number"/>
          <w:rtl w:val="0"/>
          <w:lang w:val="en-US"/>
        </w:rPr>
        <w:t xml:space="preserve">87. </w:t>
        <w:tab/>
        <w:t xml:space="preserve">Lee et al G. EHRSQL: A practical text-to-SQL benchmark for electronic health records. In: Proceedings of NeurIPS 2022 [Internet]. 2023. Available from: </w:t>
      </w:r>
      <w:r>
        <w:rPr>
          <w:rStyle w:val="Hyperlink.0"/>
        </w:rPr>
        <w:fldChar w:fldCharType="begin" w:fldLock="0"/>
      </w:r>
      <w:r>
        <w:rPr>
          <w:rStyle w:val="Hyperlink.0"/>
        </w:rPr>
        <w:instrText xml:space="preserve"> HYPERLINK "https://arxiv.org/abs/2301.07695"</w:instrText>
      </w:r>
      <w:r>
        <w:rPr>
          <w:rStyle w:val="Hyperlink.0"/>
        </w:rPr>
        <w:fldChar w:fldCharType="separate" w:fldLock="0"/>
      </w:r>
      <w:r>
        <w:rPr>
          <w:rStyle w:val="Hyperlink.0"/>
          <w:rtl w:val="0"/>
        </w:rPr>
        <w:t>https://arxiv.org/abs/2301.07695</w:t>
      </w:r>
      <w:bookmarkEnd w:id="270"/>
      <w:r>
        <w:rPr/>
        <w:fldChar w:fldCharType="end" w:fldLock="0"/>
      </w:r>
    </w:p>
    <w:p>
      <w:pPr>
        <w:pStyle w:val="Bibliography"/>
      </w:pPr>
      <w:bookmarkStart w:name="refsivasubramaniam2024" w:id="271"/>
      <w:r>
        <w:rPr>
          <w:rStyle w:val="Section Number"/>
          <w:rtl w:val="0"/>
          <w:lang w:val="en-US"/>
        </w:rPr>
        <w:t xml:space="preserve">88. </w:t>
        <w:tab/>
        <w:t xml:space="preserve">Sivasubramaniam OA S. SM3-Text-to-Query: Synthetic multi-model medical text-to-query benchmark. Advances in Neural Information Processing Systems [Internet]. 2024; Available from: </w:t>
      </w:r>
      <w:r>
        <w:rPr>
          <w:rStyle w:val="Hyperlink.0"/>
        </w:rPr>
        <w:fldChar w:fldCharType="begin" w:fldLock="0"/>
      </w:r>
      <w:r>
        <w:rPr>
          <w:rStyle w:val="Hyperlink.0"/>
        </w:rPr>
        <w:instrText xml:space="preserve"> HYPERLINK "https://arxiv.org/abs/2411.05521"</w:instrText>
      </w:r>
      <w:r>
        <w:rPr>
          <w:rStyle w:val="Hyperlink.0"/>
        </w:rPr>
        <w:fldChar w:fldCharType="separate" w:fldLock="0"/>
      </w:r>
      <w:r>
        <w:rPr>
          <w:rStyle w:val="Hyperlink.0"/>
          <w:rtl w:val="0"/>
        </w:rPr>
        <w:t>https://arxiv.org/abs/2411.05521</w:t>
      </w:r>
      <w:bookmarkEnd w:id="271"/>
      <w:r>
        <w:rPr/>
        <w:fldChar w:fldCharType="end" w:fldLock="0"/>
      </w:r>
    </w:p>
    <w:p>
      <w:pPr>
        <w:pStyle w:val="Bibliography"/>
      </w:pPr>
      <w:bookmarkStart w:name="reflee2025" w:id="272"/>
      <w:r>
        <w:rPr>
          <w:rStyle w:val="Section Number"/>
          <w:rtl w:val="0"/>
          <w:lang w:val="en-US"/>
        </w:rPr>
        <w:t xml:space="preserve">89. </w:t>
        <w:tab/>
        <w:t xml:space="preserve">Lee C G. SCARE: A benchmark for SQL correction and question answerability classification for reliable EHR question answering. arXiv preprint [Internet]. 2025; Available from: </w:t>
      </w:r>
      <w:r>
        <w:rPr>
          <w:rStyle w:val="Hyperlink.0"/>
        </w:rPr>
        <w:fldChar w:fldCharType="begin" w:fldLock="0"/>
      </w:r>
      <w:r>
        <w:rPr>
          <w:rStyle w:val="Hyperlink.0"/>
        </w:rPr>
        <w:instrText xml:space="preserve"> HYPERLINK "https://arxiv.org/abs/2511.17559"</w:instrText>
      </w:r>
      <w:r>
        <w:rPr>
          <w:rStyle w:val="Hyperlink.0"/>
        </w:rPr>
        <w:fldChar w:fldCharType="separate" w:fldLock="0"/>
      </w:r>
      <w:r>
        <w:rPr>
          <w:rStyle w:val="Hyperlink.0"/>
          <w:rtl w:val="0"/>
        </w:rPr>
        <w:t>https://arxiv.org/abs/2511.17559</w:t>
      </w:r>
      <w:bookmarkEnd w:id="272"/>
      <w:r>
        <w:rPr/>
        <w:fldChar w:fldCharType="end" w:fldLock="0"/>
      </w:r>
    </w:p>
    <w:p>
      <w:pPr>
        <w:pStyle w:val="Bibliography"/>
      </w:pPr>
      <w:bookmarkStart w:name="refchen2025" w:id="273"/>
      <w:r>
        <w:rPr>
          <w:rStyle w:val="Section Number"/>
          <w:rtl w:val="0"/>
          <w:lang w:val="en-US"/>
        </w:rPr>
        <w:t xml:space="preserve">90. </w:t>
        <w:tab/>
        <w:t xml:space="preserve">Chen P Q. Graph-empowered text-to-SQL generation on electronic medical records. Pattern Recognition [Internet]. 2025; Available from: </w:t>
      </w:r>
      <w:r>
        <w:rPr>
          <w:rStyle w:val="Hyperlink.0"/>
        </w:rPr>
        <w:fldChar w:fldCharType="begin" w:fldLock="0"/>
      </w:r>
      <w:r>
        <w:rPr>
          <w:rStyle w:val="Hyperlink.0"/>
        </w:rPr>
        <w:instrText xml:space="preserve"> HYPERLINK "https://www.sciencedirect.com/science/article/pii/S0031320324008197"</w:instrText>
      </w:r>
      <w:r>
        <w:rPr>
          <w:rStyle w:val="Hyperlink.0"/>
        </w:rPr>
        <w:fldChar w:fldCharType="separate" w:fldLock="0"/>
      </w:r>
      <w:r>
        <w:rPr>
          <w:rStyle w:val="Hyperlink.0"/>
          <w:rtl w:val="0"/>
        </w:rPr>
        <w:t>https://www.sciencedirect.com/science/article/pii/S0031320324008197</w:t>
      </w:r>
      <w:bookmarkEnd w:id="273"/>
      <w:r>
        <w:rPr/>
        <w:fldChar w:fldCharType="end" w:fldLock="0"/>
      </w:r>
    </w:p>
    <w:p>
      <w:pPr>
        <w:pStyle w:val="Bibliography"/>
      </w:pPr>
      <w:bookmarkStart w:name="refdadi2025" w:id="274"/>
      <w:r>
        <w:rPr>
          <w:rStyle w:val="Section Number"/>
          <w:rtl w:val="0"/>
          <w:lang w:val="en-US"/>
        </w:rPr>
        <w:t xml:space="preserve">91. </w:t>
        <w:tab/>
        <w:t>Dadi CB, Hoque MR, Ali MM, Ferdausi S, Fatema K, Hasan MR. Natural Language Interfaces for Database Management: Bridging the Gap Between Users and Data through Conversational AI. Journal of Computer Science and Technology Studies [Internet]. 2025;7(3):927</w:t>
      </w:r>
      <w:r>
        <w:rPr>
          <w:rStyle w:val="Section Number"/>
          <w:rtl w:val="0"/>
          <w:lang w:val="en-US"/>
        </w:rPr>
        <w:t>–</w:t>
      </w:r>
      <w:r>
        <w:rPr>
          <w:rStyle w:val="Section Number"/>
          <w:rtl w:val="0"/>
          <w:lang w:val="en-US"/>
        </w:rPr>
        <w:t xml:space="preserve">33. Available from: </w:t>
      </w:r>
      <w:r>
        <w:rPr>
          <w:rStyle w:val="Hyperlink.0"/>
        </w:rPr>
        <w:fldChar w:fldCharType="begin" w:fldLock="0"/>
      </w:r>
      <w:r>
        <w:rPr>
          <w:rStyle w:val="Hyperlink.0"/>
        </w:rPr>
        <w:instrText xml:space="preserve"> HYPERLINK "https://al-kindipublisher.com/index.php/jcsts/article/view/9694"</w:instrText>
      </w:r>
      <w:r>
        <w:rPr>
          <w:rStyle w:val="Hyperlink.0"/>
        </w:rPr>
        <w:fldChar w:fldCharType="separate" w:fldLock="0"/>
      </w:r>
      <w:r>
        <w:rPr>
          <w:rStyle w:val="Hyperlink.0"/>
          <w:rtl w:val="0"/>
        </w:rPr>
        <w:t>https://al-kindipublisher.com/index.php/jcsts/article/view/9694</w:t>
      </w:r>
      <w:bookmarkEnd w:id="274"/>
      <w:r>
        <w:rPr/>
        <w:fldChar w:fldCharType="end" w:fldLock="0"/>
      </w:r>
    </w:p>
    <w:p>
      <w:pPr>
        <w:pStyle w:val="Bibliography"/>
      </w:pPr>
      <w:bookmarkStart w:name="refpark2024" w:id="275"/>
      <w:r>
        <w:rPr>
          <w:rStyle w:val="Section Number"/>
          <w:rtl w:val="0"/>
          <w:lang w:val="en-US"/>
        </w:rPr>
        <w:t xml:space="preserve">92. </w:t>
        <w:tab/>
        <w:t xml:space="preserve">Park F J. Criteria2Query 3.0: Leveraging generative large language models for clinical trial eligibility query generation. Journal of Biomedical Informatics [Internet]. 2024; Available from: </w:t>
      </w:r>
      <w:r>
        <w:rPr>
          <w:rStyle w:val="Hyperlink.0"/>
        </w:rPr>
        <w:fldChar w:fldCharType="begin" w:fldLock="0"/>
      </w:r>
      <w:r>
        <w:rPr>
          <w:rStyle w:val="Hyperlink.0"/>
        </w:rPr>
        <w:instrText xml:space="preserve"> HYPERLINK "https://www.sciencedirect.com/science/article/pii/S1532046424000650"</w:instrText>
      </w:r>
      <w:r>
        <w:rPr>
          <w:rStyle w:val="Hyperlink.0"/>
        </w:rPr>
        <w:fldChar w:fldCharType="separate" w:fldLock="0"/>
      </w:r>
      <w:r>
        <w:rPr>
          <w:rStyle w:val="Hyperlink.0"/>
          <w:rtl w:val="0"/>
        </w:rPr>
        <w:t>https://www.sciencedirect.com/science/article/pii/S1532046424000650</w:t>
      </w:r>
      <w:bookmarkEnd w:id="275"/>
      <w:r>
        <w:rPr/>
        <w:fldChar w:fldCharType="end" w:fldLock="0"/>
      </w:r>
    </w:p>
    <w:p>
      <w:pPr>
        <w:pStyle w:val="Bibliography"/>
      </w:pPr>
      <w:bookmarkStart w:name="refipeirotis2025" w:id="276"/>
      <w:r>
        <w:rPr>
          <w:rStyle w:val="Section Number"/>
          <w:rtl w:val="0"/>
          <w:lang w:val="en-US"/>
        </w:rPr>
        <w:t xml:space="preserve">93. </w:t>
        <w:tab/>
        <w:t xml:space="preserve">Ipeirotis &amp;Z P. Natural Language Interfaces for Databases: What Do Users Think? arXiv preprint arXiv:251114718 [Internet]. 2025; Available from: </w:t>
      </w:r>
      <w:r>
        <w:rPr>
          <w:rStyle w:val="Hyperlink.0"/>
        </w:rPr>
        <w:fldChar w:fldCharType="begin" w:fldLock="0"/>
      </w:r>
      <w:r>
        <w:rPr>
          <w:rStyle w:val="Hyperlink.0"/>
        </w:rPr>
        <w:instrText xml:space="preserve"> HYPERLINK "https://arxiv.org/abs/2511.14718"</w:instrText>
      </w:r>
      <w:r>
        <w:rPr>
          <w:rStyle w:val="Hyperlink.0"/>
        </w:rPr>
        <w:fldChar w:fldCharType="separate" w:fldLock="0"/>
      </w:r>
      <w:r>
        <w:rPr>
          <w:rStyle w:val="Hyperlink.0"/>
          <w:rtl w:val="0"/>
        </w:rPr>
        <w:t>https://arxiv.org/abs/2511.14718</w:t>
      </w:r>
      <w:bookmarkEnd w:id="276"/>
      <w:r>
        <w:rPr/>
        <w:fldChar w:fldCharType="end" w:fldLock="0"/>
      </w:r>
    </w:p>
    <w:p>
      <w:pPr>
        <w:pStyle w:val="Bibliography"/>
      </w:pPr>
      <w:bookmarkStart w:name="refshah2020" w:id="277"/>
      <w:r>
        <w:rPr>
          <w:rStyle w:val="Section Number"/>
          <w:rtl w:val="0"/>
          <w:lang w:val="en-US"/>
        </w:rPr>
        <w:t xml:space="preserve">94. </w:t>
        <w:tab/>
        <w:t xml:space="preserve">Shah L V. SpeakQL: towards speech-driven multimodal querying of structured data. In: Proceedings of the 2020 ACM SIGMOD international conference on management of data [Internet]. 2020. Available from: </w:t>
      </w:r>
      <w:r>
        <w:rPr>
          <w:rStyle w:val="Hyperlink.0"/>
        </w:rPr>
        <w:fldChar w:fldCharType="begin" w:fldLock="0"/>
      </w:r>
      <w:r>
        <w:rPr>
          <w:rStyle w:val="Hyperlink.0"/>
        </w:rPr>
        <w:instrText xml:space="preserve"> HYPERLINK "https://dl.acm.org/doi/abs/10.1145/3318464.3389777"</w:instrText>
      </w:r>
      <w:r>
        <w:rPr>
          <w:rStyle w:val="Hyperlink.0"/>
        </w:rPr>
        <w:fldChar w:fldCharType="separate" w:fldLock="0"/>
      </w:r>
      <w:r>
        <w:rPr>
          <w:rStyle w:val="Hyperlink.0"/>
          <w:rtl w:val="0"/>
        </w:rPr>
        <w:t>https://dl.acm.org/doi/abs/10.1145/3318464.3389777</w:t>
      </w:r>
      <w:bookmarkEnd w:id="277"/>
      <w:r>
        <w:rPr/>
        <w:fldChar w:fldCharType="end" w:fldLock="0"/>
      </w:r>
    </w:p>
    <w:p>
      <w:pPr>
        <w:pStyle w:val="Bibliography"/>
      </w:pPr>
      <w:bookmarkStart w:name="refsafari2014" w:id="278"/>
      <w:r>
        <w:rPr>
          <w:rStyle w:val="Section Number"/>
          <w:rtl w:val="0"/>
          <w:lang w:val="en-US"/>
        </w:rPr>
        <w:t xml:space="preserve">95. </w:t>
        <w:tab/>
        <w:t xml:space="preserve">Safari &amp;P L. Restricted natural language based querying of clinical databases. Journal of Biomedical Informatics [Internet]. 2014; Available from: </w:t>
      </w:r>
      <w:r>
        <w:rPr>
          <w:rStyle w:val="Hyperlink.0"/>
        </w:rPr>
        <w:fldChar w:fldCharType="begin" w:fldLock="0"/>
      </w:r>
      <w:r>
        <w:rPr>
          <w:rStyle w:val="Hyperlink.0"/>
        </w:rPr>
        <w:instrText xml:space="preserve"> HYPERLINK "https://www.sciencedirect.com/science/article/pii/S1532046414001592"</w:instrText>
      </w:r>
      <w:r>
        <w:rPr>
          <w:rStyle w:val="Hyperlink.0"/>
        </w:rPr>
        <w:fldChar w:fldCharType="separate" w:fldLock="0"/>
      </w:r>
      <w:r>
        <w:rPr>
          <w:rStyle w:val="Hyperlink.0"/>
          <w:rtl w:val="0"/>
        </w:rPr>
        <w:t>https://www.sciencedirect.com/science/article/pii/S1532046414001592</w:t>
      </w:r>
      <w:bookmarkEnd w:id="278"/>
      <w:r>
        <w:rPr/>
        <w:fldChar w:fldCharType="end" w:fldLock="0"/>
      </w:r>
    </w:p>
    <w:p>
      <w:pPr>
        <w:pStyle w:val="Bibliography"/>
      </w:pPr>
      <w:bookmarkStart w:name="refhan2019" w:id="279"/>
      <w:r>
        <w:rPr>
          <w:rStyle w:val="Section Number"/>
          <w:rtl w:val="0"/>
          <w:lang w:val="en-US"/>
        </w:rPr>
        <w:t xml:space="preserve">96. </w:t>
        <w:tab/>
        <w:t xml:space="preserve">Han C J. Improving the efficacy of the data entry process for clinical research with a natural language processing-driven medical information extraction system. JMIR Medical Informatics [Internet]. 2019; Available from: </w:t>
      </w:r>
      <w:r>
        <w:rPr>
          <w:rStyle w:val="Hyperlink.0"/>
        </w:rPr>
        <w:fldChar w:fldCharType="begin" w:fldLock="0"/>
      </w:r>
      <w:r>
        <w:rPr>
          <w:rStyle w:val="Hyperlink.0"/>
        </w:rPr>
        <w:instrText xml:space="preserve"> HYPERLINK "https://medinform.jmir.org/2019/3/e13331"</w:instrText>
      </w:r>
      <w:r>
        <w:rPr>
          <w:rStyle w:val="Hyperlink.0"/>
        </w:rPr>
        <w:fldChar w:fldCharType="separate" w:fldLock="0"/>
      </w:r>
      <w:r>
        <w:rPr>
          <w:rStyle w:val="Hyperlink.0"/>
          <w:rtl w:val="0"/>
        </w:rPr>
        <w:t>https://medinform.jmir.org/2019/3/e13331</w:t>
      </w:r>
      <w:bookmarkEnd w:id="279"/>
      <w:r>
        <w:rPr/>
        <w:fldChar w:fldCharType="end" w:fldLock="0"/>
      </w:r>
    </w:p>
    <w:p>
      <w:pPr>
        <w:pStyle w:val="Bibliography"/>
      </w:pPr>
      <w:bookmarkStart w:name="refmarshan2024" w:id="280"/>
      <w:r>
        <w:rPr>
          <w:rStyle w:val="Section Number"/>
          <w:rtl w:val="0"/>
          <w:lang w:val="en-US"/>
        </w:rPr>
        <w:t xml:space="preserve">97. </w:t>
        <w:tab/>
        <w:t xml:space="preserve">Marshan A A. MedT5SQL: a transformers-based large language model for text-to-SQL conversion in the healthcare domain. Frontiers in Big Data [Internet]. 2024; Available from: </w:t>
      </w:r>
      <w:r>
        <w:rPr>
          <w:rStyle w:val="Hyperlink.0"/>
        </w:rPr>
        <w:fldChar w:fldCharType="begin" w:fldLock="0"/>
      </w:r>
      <w:r>
        <w:rPr>
          <w:rStyle w:val="Hyperlink.0"/>
        </w:rPr>
        <w:instrText xml:space="preserve"> HYPERLINK "https://www.frontiersin.org/articles/10.3389/fdata.2024.1371680"</w:instrText>
      </w:r>
      <w:r>
        <w:rPr>
          <w:rStyle w:val="Hyperlink.0"/>
        </w:rPr>
        <w:fldChar w:fldCharType="separate" w:fldLock="0"/>
      </w:r>
      <w:r>
        <w:rPr>
          <w:rStyle w:val="Hyperlink.0"/>
          <w:rtl w:val="0"/>
        </w:rPr>
        <w:t>https://www.frontiersin.org/articles/10.3389/fdata.2024.1371680</w:t>
      </w:r>
      <w:bookmarkEnd w:id="280"/>
      <w:r>
        <w:rPr/>
        <w:fldChar w:fldCharType="end" w:fldLock="0"/>
      </w:r>
    </w:p>
    <w:p>
      <w:pPr>
        <w:pStyle w:val="Bibliography"/>
      </w:pPr>
      <w:bookmarkStart w:name="refsaha2023" w:id="281"/>
      <w:r>
        <w:rPr>
          <w:rStyle w:val="Section Number"/>
          <w:rtl w:val="0"/>
          <w:lang w:val="en-US"/>
        </w:rPr>
        <w:t xml:space="preserve">98. </w:t>
        <w:tab/>
        <w:t xml:space="preserve">Saha G B. K. NLINQ: A natural language interface for querying network performance. International Journal of Network Management [Internet]. 2023;33(4):e2225. Available from: </w:t>
      </w:r>
      <w:r>
        <w:rPr>
          <w:rStyle w:val="Hyperlink.0"/>
        </w:rPr>
        <w:fldChar w:fldCharType="begin" w:fldLock="0"/>
      </w:r>
      <w:r>
        <w:rPr>
          <w:rStyle w:val="Hyperlink.0"/>
        </w:rPr>
        <w:instrText xml:space="preserve"> HYPERLINK "https://www.proquest.com/openview/0d955ee8209664a4447c9995a1b9e721/1?pq-origsite=gscholar&amp;cbl=326365"</w:instrText>
      </w:r>
      <w:r>
        <w:rPr>
          <w:rStyle w:val="Hyperlink.0"/>
        </w:rPr>
        <w:fldChar w:fldCharType="separate" w:fldLock="0"/>
      </w:r>
      <w:r>
        <w:rPr>
          <w:rStyle w:val="Hyperlink.0"/>
          <w:rtl w:val="0"/>
        </w:rPr>
        <w:t>https://www.proquest.com/openview/0d955ee8209664a4447c9995a1b9e721/1?pq-origsite=gscholar&amp;cbl=326365</w:t>
      </w:r>
      <w:bookmarkEnd w:id="281"/>
      <w:r>
        <w:rPr/>
        <w:fldChar w:fldCharType="end" w:fldLock="0"/>
      </w:r>
    </w:p>
    <w:p>
      <w:pPr>
        <w:pStyle w:val="Bibliography"/>
      </w:pPr>
      <w:bookmarkStart w:name="refkhandelwal2025" w:id="282"/>
      <w:r>
        <w:rPr>
          <w:rStyle w:val="Section Number"/>
          <w:rtl w:val="0"/>
          <w:lang w:val="en-US"/>
        </w:rPr>
        <w:t xml:space="preserve">99. </w:t>
        <w:tab/>
        <w:t xml:space="preserve">Khandelwal AP. AI-Driven Mainframe Modernization: Unlocking Legacy Data for Cloud Analytics. Journal of Engineering and Computer Sciences [Internet]. 2025; Available from: </w:t>
      </w:r>
      <w:r>
        <w:rPr>
          <w:rStyle w:val="Hyperlink.0"/>
        </w:rPr>
        <w:fldChar w:fldCharType="begin" w:fldLock="0"/>
      </w:r>
      <w:r>
        <w:rPr>
          <w:rStyle w:val="Hyperlink.0"/>
        </w:rPr>
        <w:instrText xml:space="preserve"> HYPERLINK "https://sarcouncil.com/2025/06/ai-driven-mainframe-modernization-unlocking-legacy-data-for-cloud-analytics"</w:instrText>
      </w:r>
      <w:r>
        <w:rPr>
          <w:rStyle w:val="Hyperlink.0"/>
        </w:rPr>
        <w:fldChar w:fldCharType="separate" w:fldLock="0"/>
      </w:r>
      <w:r>
        <w:rPr>
          <w:rStyle w:val="Hyperlink.0"/>
          <w:rtl w:val="0"/>
        </w:rPr>
        <w:t>https://sarcouncil.com/2025/06/ai-driven-mainframe-modernization-unlocking-legacy-data-for-cloud-analytics</w:t>
      </w:r>
      <w:bookmarkEnd w:id="282"/>
      <w:r>
        <w:rPr/>
        <w:fldChar w:fldCharType="end" w:fldLock="0"/>
      </w:r>
    </w:p>
    <w:p>
      <w:pPr>
        <w:pStyle w:val="Bibliography"/>
      </w:pPr>
      <w:bookmarkStart w:name="refsyed2025" w:id="283"/>
      <w:r>
        <w:rPr>
          <w:rStyle w:val="Section Number"/>
          <w:rtl w:val="0"/>
          <w:lang w:val="en-US"/>
        </w:rPr>
        <w:t xml:space="preserve">100. </w:t>
        <w:tab/>
        <w:t xml:space="preserve">Syed S, Nampalli RCR, Vankayalapati RK, Yasmeen Z. Advancing Self-Service BI: The Rise of Autonomous Analytics Powered by Machine Learning [Internet]. Syed Publication; 2025. Available from: </w:t>
      </w:r>
      <w:r>
        <w:rPr>
          <w:rStyle w:val="Hyperlink.0"/>
        </w:rPr>
        <w:fldChar w:fldCharType="begin" w:fldLock="0"/>
      </w:r>
      <w:r>
        <w:rPr>
          <w:rStyle w:val="Hyperlink.0"/>
        </w:rPr>
        <w:instrText xml:space="preserve"> HYPERLINK "https://www.google.com/books/edition/ADVANCING_SELFSERVICE_BI_The_Rise_of_Aut/np01EQAAQBAJ"</w:instrText>
      </w:r>
      <w:r>
        <w:rPr>
          <w:rStyle w:val="Hyperlink.0"/>
        </w:rPr>
        <w:fldChar w:fldCharType="separate" w:fldLock="0"/>
      </w:r>
      <w:r>
        <w:rPr>
          <w:rStyle w:val="Hyperlink.0"/>
          <w:rtl w:val="0"/>
        </w:rPr>
        <w:t>https://www.google.com/books/edition/ADVANCING_SELFSERVICE_BI_The_Rise_of_Aut/np01EQAAQBAJ</w:t>
      </w:r>
      <w:bookmarkEnd w:id="283"/>
      <w:r>
        <w:rPr/>
        <w:fldChar w:fldCharType="end" w:fldLock="0"/>
      </w:r>
    </w:p>
    <w:p>
      <w:pPr>
        <w:pStyle w:val="Bibliography"/>
      </w:pPr>
      <w:bookmarkStart w:name="refsamimi2025" w:id="284"/>
      <w:r>
        <w:rPr>
          <w:rStyle w:val="Section Number"/>
          <w:rtl w:val="0"/>
          <w:lang w:val="en-US"/>
        </w:rPr>
        <w:t xml:space="preserve">101. </w:t>
        <w:tab/>
        <w:t xml:space="preserve">Samimi R, Bhattacharya A, Gosak L, Stiglic G, Verbert K. </w:t>
      </w:r>
      <w:r>
        <w:rPr>
          <w:rStyle w:val="Hyperlink.0"/>
        </w:rPr>
        <w:fldChar w:fldCharType="begin" w:fldLock="0"/>
      </w:r>
      <w:r>
        <w:rPr>
          <w:rStyle w:val="Hyperlink.0"/>
        </w:rPr>
        <w:instrText xml:space="preserve"> HYPERLINK "https://doi.org/10.1145/3670653.3670660"</w:instrText>
      </w:r>
      <w:r>
        <w:rPr>
          <w:rStyle w:val="Hyperlink.0"/>
        </w:rPr>
        <w:fldChar w:fldCharType="separate" w:fldLock="0"/>
      </w:r>
      <w:r>
        <w:rPr>
          <w:rStyle w:val="Hyperlink.0"/>
          <w:rtl w:val="0"/>
        </w:rPr>
        <w:t>Visual-Conversational Interface for Evidence-Based Explanation of Diabetes Risk Prediction</w:t>
      </w:r>
      <w:r>
        <w:rPr/>
        <w:fldChar w:fldCharType="end" w:fldLock="0"/>
      </w:r>
      <w:r>
        <w:rPr>
          <w:rStyle w:val="Section Number"/>
          <w:rtl w:val="0"/>
          <w:lang w:val="en-US"/>
        </w:rPr>
        <w:t xml:space="preserve">. In: Proceedings of the 7th ACM conference on conversational user interfaces. 2025. </w:t>
      </w:r>
      <w:bookmarkEnd w:id="284"/>
    </w:p>
    <w:p>
      <w:pPr>
        <w:pStyle w:val="Bibliography"/>
      </w:pPr>
      <w:bookmarkStart w:name="refruoff2023" w:id="285"/>
      <w:r>
        <w:rPr>
          <w:rStyle w:val="Section Number"/>
          <w:rtl w:val="0"/>
          <w:lang w:val="en-US"/>
        </w:rPr>
        <w:t xml:space="preserve">102. </w:t>
        <w:tab/>
        <w:t xml:space="preserve">Ruoff M, Gnewuch U, Maedche A, Scheibehenne B. </w:t>
      </w:r>
      <w:r>
        <w:rPr>
          <w:rStyle w:val="Hyperlink.0"/>
        </w:rPr>
        <w:fldChar w:fldCharType="begin" w:fldLock="0"/>
      </w:r>
      <w:r>
        <w:rPr>
          <w:rStyle w:val="Hyperlink.0"/>
        </w:rPr>
        <w:instrText xml:space="preserve"> HYPERLINK "https://doi.org/10.17705/1jais.00801"</w:instrText>
      </w:r>
      <w:r>
        <w:rPr>
          <w:rStyle w:val="Hyperlink.0"/>
        </w:rPr>
        <w:fldChar w:fldCharType="separate" w:fldLock="0"/>
      </w:r>
      <w:r>
        <w:rPr>
          <w:rStyle w:val="Hyperlink.0"/>
          <w:rtl w:val="0"/>
        </w:rPr>
        <w:t>Designing Conversational Dashboards for Effective Use in Crisis Response</w:t>
      </w:r>
      <w:r>
        <w:rPr/>
        <w:fldChar w:fldCharType="end" w:fldLock="0"/>
      </w:r>
      <w:r>
        <w:rPr>
          <w:rStyle w:val="Section Number"/>
          <w:rtl w:val="0"/>
          <w:lang w:val="en-US"/>
        </w:rPr>
        <w:t>. Journal of the Association for Information Systems. 2023;24(6):1500</w:t>
      </w:r>
      <w:r>
        <w:rPr>
          <w:rStyle w:val="Section Number"/>
          <w:rtl w:val="0"/>
          <w:lang w:val="en-US"/>
        </w:rPr>
        <w:t>–</w:t>
      </w:r>
      <w:r>
        <w:rPr>
          <w:rStyle w:val="Section Number"/>
          <w:rtl w:val="0"/>
          <w:lang w:val="en-US"/>
        </w:rPr>
        <w:t xml:space="preserve">26. </w:t>
      </w:r>
      <w:bookmarkEnd w:id="285"/>
    </w:p>
    <w:p>
      <w:pPr>
        <w:pStyle w:val="Bibliography"/>
      </w:pPr>
      <w:bookmarkStart w:name="refchowdhury2020" w:id="286"/>
      <w:r>
        <w:rPr>
          <w:rStyle w:val="Section Number"/>
          <w:rtl w:val="0"/>
          <w:lang w:val="en-US"/>
        </w:rPr>
        <w:t xml:space="preserve">103. </w:t>
        <w:tab/>
        <w:t xml:space="preserve">Chowdhury I, Moeid A, Hoque E, Kabir MA. Designing and evaluating multimodal interactions for facilitating visual analysis with dashboards. IEEE Access [Internet]. 2020; Available from: </w:t>
      </w:r>
      <w:r>
        <w:rPr>
          <w:rStyle w:val="Hyperlink.0"/>
        </w:rPr>
        <w:fldChar w:fldCharType="begin" w:fldLock="0"/>
      </w:r>
      <w:r>
        <w:rPr>
          <w:rStyle w:val="Hyperlink.0"/>
        </w:rPr>
        <w:instrText xml:space="preserve"> HYPERLINK "https://ieeexplore.ieee.org/abstract/document/9303381"</w:instrText>
      </w:r>
      <w:r>
        <w:rPr>
          <w:rStyle w:val="Hyperlink.0"/>
        </w:rPr>
        <w:fldChar w:fldCharType="separate" w:fldLock="0"/>
      </w:r>
      <w:r>
        <w:rPr>
          <w:rStyle w:val="Hyperlink.0"/>
          <w:rtl w:val="0"/>
        </w:rPr>
        <w:t>https://ieeexplore.ieee.org/abstract/document/9303381</w:t>
      </w:r>
      <w:bookmarkEnd w:id="286"/>
      <w:r>
        <w:rPr/>
        <w:fldChar w:fldCharType="end" w:fldLock="0"/>
      </w:r>
    </w:p>
    <w:p>
      <w:pPr>
        <w:pStyle w:val="Bibliography"/>
      </w:pPr>
      <w:bookmarkStart w:name="refholmes2019" w:id="287"/>
      <w:r>
        <w:rPr>
          <w:rStyle w:val="Section Number"/>
          <w:rtl w:val="0"/>
          <w:lang w:val="en-US"/>
        </w:rPr>
        <w:t xml:space="preserve">104. </w:t>
        <w:tab/>
        <w:t xml:space="preserve">Holmes S, Moorhead A, Bond R, Zheng H. Usability testing of a healthcare chatbot: Can we use conventional methods to assess conversational user interfaces? In: Proceedings of the 31st european conference on cognitive ergonomics [Internet]. 2019. Available from: </w:t>
      </w:r>
      <w:r>
        <w:rPr>
          <w:rStyle w:val="Hyperlink.0"/>
        </w:rPr>
        <w:fldChar w:fldCharType="begin" w:fldLock="0"/>
      </w:r>
      <w:r>
        <w:rPr>
          <w:rStyle w:val="Hyperlink.0"/>
        </w:rPr>
        <w:instrText xml:space="preserve"> HYPERLINK "https://dl.acm.org/doi/abs/10.1145/3335082.3335094"</w:instrText>
      </w:r>
      <w:r>
        <w:rPr>
          <w:rStyle w:val="Hyperlink.0"/>
        </w:rPr>
        <w:fldChar w:fldCharType="separate" w:fldLock="0"/>
      </w:r>
      <w:r>
        <w:rPr>
          <w:rStyle w:val="Hyperlink.0"/>
          <w:rtl w:val="0"/>
        </w:rPr>
        <w:t>https://dl.acm.org/doi/abs/10.1145/3335082.3335094</w:t>
      </w:r>
      <w:bookmarkEnd w:id="287"/>
      <w:r>
        <w:rPr/>
        <w:fldChar w:fldCharType="end" w:fldLock="0"/>
      </w:r>
    </w:p>
    <w:p>
      <w:pPr>
        <w:pStyle w:val="Bibliography"/>
      </w:pPr>
      <w:bookmarkStart w:name="refwhittaker2008" w:id="288"/>
      <w:r>
        <w:rPr>
          <w:rStyle w:val="Section Number"/>
          <w:rtl w:val="0"/>
          <w:lang w:val="en-US"/>
        </w:rPr>
        <w:t xml:space="preserve">105. </w:t>
        <w:tab/>
        <w:t>Whittaker S, Hyland P, Wiley M. Design and evaluation of systems to support interaction capture and retrieval. Personal and Ubiquitous Computing [Internet]. 2008;12(3):197</w:t>
      </w:r>
      <w:r>
        <w:rPr>
          <w:rStyle w:val="Section Number"/>
          <w:rtl w:val="0"/>
          <w:lang w:val="en-US"/>
        </w:rPr>
        <w:t>–</w:t>
      </w:r>
      <w:r>
        <w:rPr>
          <w:rStyle w:val="Section Number"/>
          <w:rtl w:val="0"/>
          <w:lang w:val="en-US"/>
        </w:rPr>
        <w:t xml:space="preserve">209. Available from: </w:t>
      </w:r>
      <w:r>
        <w:rPr>
          <w:rStyle w:val="Hyperlink.0"/>
        </w:rPr>
        <w:fldChar w:fldCharType="begin" w:fldLock="0"/>
      </w:r>
      <w:r>
        <w:rPr>
          <w:rStyle w:val="Hyperlink.0"/>
        </w:rPr>
        <w:instrText xml:space="preserve"> HYPERLINK "https://www.academia.edu/download/41283190/Design_and_evaluation_of_systems_to_supp20160117-25708-98zc50.pdf"</w:instrText>
      </w:r>
      <w:r>
        <w:rPr>
          <w:rStyle w:val="Hyperlink.0"/>
        </w:rPr>
        <w:fldChar w:fldCharType="separate" w:fldLock="0"/>
      </w:r>
      <w:r>
        <w:rPr>
          <w:rStyle w:val="Hyperlink.0"/>
          <w:rtl w:val="0"/>
        </w:rPr>
        <w:t>https://www.academia.edu/download/41283190/Design_and_evaluation_of_systems_to_supp20160117-25708-98zc50.pdf</w:t>
      </w:r>
      <w:bookmarkEnd w:id="288"/>
      <w:r>
        <w:rPr/>
        <w:fldChar w:fldCharType="end" w:fldLock="0"/>
      </w:r>
    </w:p>
    <w:p>
      <w:pPr>
        <w:pStyle w:val="Bibliography"/>
      </w:pPr>
      <w:bookmarkStart w:name="refrangachari2020" w:id="289"/>
      <w:r>
        <w:rPr>
          <w:rStyle w:val="Section Number"/>
          <w:rtl w:val="0"/>
          <w:lang w:val="en-US"/>
        </w:rPr>
        <w:t xml:space="preserve">106. </w:t>
        <w:tab/>
        <w:t xml:space="preserve">Rangachari &amp;W P. Preserving organizational resilience, patient safety, and staff retention during COVID-19 requires a holistic consideration of the psychological safety of healthcare workers. International Journal of Environmental Research and Public Health [Internet]. 2020; Available from: </w:t>
      </w:r>
      <w:r>
        <w:rPr>
          <w:rStyle w:val="Hyperlink.0"/>
        </w:rPr>
        <w:fldChar w:fldCharType="begin" w:fldLock="0"/>
      </w:r>
      <w:r>
        <w:rPr>
          <w:rStyle w:val="Hyperlink.0"/>
        </w:rPr>
        <w:instrText xml:space="preserve"> HYPERLINK "https://www.mdpi.com/1660-4601/17/12/4267"</w:instrText>
      </w:r>
      <w:r>
        <w:rPr>
          <w:rStyle w:val="Hyperlink.0"/>
        </w:rPr>
        <w:fldChar w:fldCharType="separate" w:fldLock="0"/>
      </w:r>
      <w:r>
        <w:rPr>
          <w:rStyle w:val="Hyperlink.0"/>
          <w:rtl w:val="0"/>
        </w:rPr>
        <w:t>https://www.mdpi.com/1660-4601/17/12/4267</w:t>
      </w:r>
      <w:bookmarkEnd w:id="289"/>
      <w:r>
        <w:rPr/>
        <w:fldChar w:fldCharType="end" w:fldLock="0"/>
      </w:r>
    </w:p>
    <w:p>
      <w:pPr>
        <w:pStyle w:val="Bibliography"/>
      </w:pPr>
      <w:bookmarkStart w:name="refmoore2018" w:id="290"/>
      <w:r>
        <w:rPr>
          <w:rStyle w:val="Section Number"/>
          <w:rtl w:val="0"/>
          <w:lang w:val="en-US"/>
        </w:rPr>
        <w:t xml:space="preserve">107. </w:t>
        <w:tab/>
        <w:t>Moore D et al. ActiveNavigator: Toward real-time knowledge capture and feedback in active learning spaces. International Journal of Engineering Education [Internet]. 2018;34(2):1</w:t>
      </w:r>
      <w:r>
        <w:rPr>
          <w:rStyle w:val="Section Number"/>
          <w:rtl w:val="0"/>
          <w:lang w:val="en-US"/>
        </w:rPr>
        <w:t>–</w:t>
      </w:r>
      <w:r>
        <w:rPr>
          <w:rStyle w:val="Section Number"/>
          <w:rtl w:val="0"/>
          <w:lang w:val="en-US"/>
        </w:rPr>
        <w:t xml:space="preserve">12. Available from: </w:t>
      </w:r>
      <w:r>
        <w:rPr>
          <w:rStyle w:val="Hyperlink.0"/>
        </w:rPr>
        <w:fldChar w:fldCharType="begin" w:fldLock="0"/>
      </w:r>
      <w:r>
        <w:rPr>
          <w:rStyle w:val="Hyperlink.0"/>
        </w:rPr>
        <w:instrText xml:space="preserve"> HYPERLINK "https://wendyju.com/publications/18_ijee3593.pdf"</w:instrText>
      </w:r>
      <w:r>
        <w:rPr>
          <w:rStyle w:val="Hyperlink.0"/>
        </w:rPr>
        <w:fldChar w:fldCharType="separate" w:fldLock="0"/>
      </w:r>
      <w:r>
        <w:rPr>
          <w:rStyle w:val="Hyperlink.0"/>
          <w:rtl w:val="0"/>
        </w:rPr>
        <w:t>https://wendyju.com/publications/18_ijee3593.pdf</w:t>
      </w:r>
      <w:bookmarkEnd w:id="290"/>
      <w:r>
        <w:rPr/>
        <w:fldChar w:fldCharType="end" w:fldLock="0"/>
      </w:r>
    </w:p>
    <w:p>
      <w:pPr>
        <w:pStyle w:val="Bibliography"/>
      </w:pPr>
      <w:bookmarkStart w:name="refyang2025" w:id="291"/>
      <w:r>
        <w:rPr>
          <w:rStyle w:val="Section Number"/>
          <w:rtl w:val="0"/>
          <w:lang w:val="en-US"/>
        </w:rPr>
        <w:t xml:space="preserve">108. </w:t>
        <w:tab/>
        <w:t xml:space="preserve">Yang EW, Waldrup B, et al. Conversational Artificial Intelligence for Integrating Social Determinants, Genomics, and Clinical Data in Precision Medicine: Development and Evaluation. JMIR Bioinformatics and Digital Health [Internet]. 2025; Available from: </w:t>
      </w:r>
      <w:r>
        <w:rPr>
          <w:rStyle w:val="Hyperlink.0"/>
        </w:rPr>
        <w:fldChar w:fldCharType="begin" w:fldLock="0"/>
      </w:r>
      <w:r>
        <w:rPr>
          <w:rStyle w:val="Hyperlink.0"/>
        </w:rPr>
        <w:instrText xml:space="preserve"> HYPERLINK "https://bioinform.jmir.org/2025/1/e63139"</w:instrText>
      </w:r>
      <w:r>
        <w:rPr>
          <w:rStyle w:val="Hyperlink.0"/>
        </w:rPr>
        <w:fldChar w:fldCharType="separate" w:fldLock="0"/>
      </w:r>
      <w:r>
        <w:rPr>
          <w:rStyle w:val="Hyperlink.0"/>
          <w:rtl w:val="0"/>
        </w:rPr>
        <w:t>https://bioinform.jmir.org/2025/1/e63139</w:t>
      </w:r>
      <w:bookmarkEnd w:id="291"/>
      <w:r>
        <w:rPr/>
        <w:fldChar w:fldCharType="end" w:fldLock="0"/>
      </w:r>
    </w:p>
    <w:p>
      <w:pPr>
        <w:pStyle w:val="Bibliography"/>
      </w:pPr>
      <w:bookmarkStart w:name="refmogili2025" w:id="292"/>
      <w:r>
        <w:rPr>
          <w:rStyle w:val="Section Number"/>
          <w:rtl w:val="0"/>
          <w:lang w:val="en-US"/>
        </w:rPr>
        <w:t xml:space="preserve">109. </w:t>
        <w:tab/>
        <w:t>Mogili VB. Healthcare and Finance Transformation through Enterprise Content, Low-Code, and Automation: A Multinational Technology Corporation</w:t>
      </w:r>
      <w:r>
        <w:rPr>
          <w:rStyle w:val="Section Number"/>
          <w:rtl w:val="0"/>
          <w:lang w:val="en-US"/>
        </w:rPr>
        <w:t>’</w:t>
      </w:r>
      <w:r>
        <w:rPr>
          <w:rStyle w:val="Section Number"/>
          <w:rtl w:val="0"/>
          <w:lang w:val="en-US"/>
        </w:rPr>
        <w:t xml:space="preserve">s Approach. Journal of Engineering and Computer Sciences [Internet]. 2025; Available from: </w:t>
      </w:r>
      <w:r>
        <w:rPr>
          <w:rStyle w:val="Hyperlink.0"/>
        </w:rPr>
        <w:fldChar w:fldCharType="begin" w:fldLock="0"/>
      </w:r>
      <w:r>
        <w:rPr>
          <w:rStyle w:val="Hyperlink.0"/>
        </w:rPr>
        <w:instrText xml:space="preserve"> HYPERLINK "https://sarcouncil.com/download-article/SJECS-209-_2025-630-636.pdf"</w:instrText>
      </w:r>
      <w:r>
        <w:rPr>
          <w:rStyle w:val="Hyperlink.0"/>
        </w:rPr>
        <w:fldChar w:fldCharType="separate" w:fldLock="0"/>
      </w:r>
      <w:r>
        <w:rPr>
          <w:rStyle w:val="Hyperlink.0"/>
          <w:rtl w:val="0"/>
        </w:rPr>
        <w:t>https://sarcouncil.com/download-article/SJECS-209-_2025-630-636.pdf</w:t>
      </w:r>
      <w:bookmarkEnd w:id="292"/>
      <w:r>
        <w:rPr/>
        <w:fldChar w:fldCharType="end" w:fldLock="0"/>
      </w:r>
    </w:p>
    <w:p>
      <w:pPr>
        <w:pStyle w:val="Bibliography"/>
      </w:pPr>
      <w:bookmarkStart w:name="refaveiro2023" w:id="293"/>
      <w:r>
        <w:rPr>
          <w:rStyle w:val="Section Number"/>
          <w:rtl w:val="0"/>
          <w:lang w:val="en-US"/>
        </w:rPr>
        <w:t xml:space="preserve">110. </w:t>
        <w:tab/>
        <w:t xml:space="preserve">Aveiro F D. Traditional vs. low-code development: comparing needed effort and system complexity in the NexusBRaNT experiment. In: 2023 IEEE 25th conference on business informatics (CBI) [Internet]. 2023. Available from: </w:t>
      </w:r>
      <w:r>
        <w:rPr>
          <w:rStyle w:val="Hyperlink.0"/>
        </w:rPr>
        <w:fldChar w:fldCharType="begin" w:fldLock="0"/>
      </w:r>
      <w:r>
        <w:rPr>
          <w:rStyle w:val="Hyperlink.0"/>
        </w:rPr>
        <w:instrText xml:space="preserve"> HYPERLINK "https://ieeexplore.ieee.org/document/10186753"</w:instrText>
      </w:r>
      <w:r>
        <w:rPr>
          <w:rStyle w:val="Hyperlink.0"/>
        </w:rPr>
        <w:fldChar w:fldCharType="separate" w:fldLock="0"/>
      </w:r>
      <w:r>
        <w:rPr>
          <w:rStyle w:val="Hyperlink.0"/>
          <w:rtl w:val="0"/>
        </w:rPr>
        <w:t>https://ieeexplore.ieee.org/document/10186753</w:t>
      </w:r>
      <w:bookmarkEnd w:id="293"/>
      <w:r>
        <w:rPr/>
        <w:fldChar w:fldCharType="end" w:fldLock="0"/>
      </w:r>
    </w:p>
    <w:p>
      <w:pPr>
        <w:pStyle w:val="Bibliography"/>
      </w:pPr>
      <w:bookmarkStart w:name="refpennington2023" w:id="294"/>
      <w:r>
        <w:rPr>
          <w:rStyle w:val="Section Number"/>
          <w:rtl w:val="0"/>
          <w:lang w:val="en-US"/>
        </w:rPr>
        <w:t xml:space="preserve">111. </w:t>
        <w:tab/>
        <w:t>Pennington R. Artificial intelligence (AI) and its opportunity in healthcare organizations revenue cycle management (RCM) [Internet] [Master</w:t>
      </w:r>
      <w:r>
        <w:rPr>
          <w:rStyle w:val="Section Number"/>
          <w:rtl w:val="0"/>
          <w:lang w:val="en-US"/>
        </w:rPr>
        <w:t>’</w:t>
      </w:r>
      <w:r>
        <w:rPr>
          <w:rStyle w:val="Section Number"/>
          <w:rtl w:val="0"/>
          <w:lang w:val="en-US"/>
        </w:rPr>
        <w:t xml:space="preserve">s thesis]. 2023. Available from: </w:t>
      </w:r>
      <w:r>
        <w:rPr>
          <w:rStyle w:val="Hyperlink.0"/>
        </w:rPr>
        <w:fldChar w:fldCharType="begin" w:fldLock="0"/>
      </w:r>
      <w:r>
        <w:rPr>
          <w:rStyle w:val="Hyperlink.0"/>
        </w:rPr>
        <w:instrText xml:space="preserve"> HYPERLINK "https://mds.marshall.edu/etd/1824/"</w:instrText>
      </w:r>
      <w:r>
        <w:rPr>
          <w:rStyle w:val="Hyperlink.0"/>
        </w:rPr>
        <w:fldChar w:fldCharType="separate" w:fldLock="0"/>
      </w:r>
      <w:r>
        <w:rPr>
          <w:rStyle w:val="Hyperlink.0"/>
          <w:rtl w:val="0"/>
        </w:rPr>
        <w:t>https://mds.marshall.edu/etd/1824/</w:t>
      </w:r>
      <w:bookmarkEnd w:id="294"/>
      <w:r>
        <w:rPr/>
        <w:fldChar w:fldCharType="end" w:fldLock="0"/>
      </w:r>
    </w:p>
    <w:p>
      <w:pPr>
        <w:pStyle w:val="Bibliography"/>
      </w:pPr>
      <w:bookmarkStart w:name="refatobatele2023" w:id="295"/>
      <w:r>
        <w:rPr>
          <w:rStyle w:val="Section Number"/>
          <w:rtl w:val="0"/>
          <w:lang w:val="en-US"/>
        </w:rPr>
        <w:t xml:space="preserve">112. </w:t>
        <w:tab/>
        <w:t xml:space="preserve">Atobatele A O. K. Transforming digital health information systems with Microsoft Dynamics, SharePoint, and low-code automation platforms. Gyanshauryam International Scientific Refereed Research Journal [Internet]. 2023; Available from: </w:t>
      </w:r>
      <w:r>
        <w:rPr>
          <w:rStyle w:val="Hyperlink.0"/>
        </w:rPr>
        <w:fldChar w:fldCharType="begin" w:fldLock="0"/>
      </w:r>
      <w:r>
        <w:rPr>
          <w:rStyle w:val="Hyperlink.0"/>
        </w:rPr>
        <w:instrText xml:space="preserve"> HYPERLINK "https://gisrrj.com/paper/GISRRJ236426.pdf"</w:instrText>
      </w:r>
      <w:r>
        <w:rPr>
          <w:rStyle w:val="Hyperlink.0"/>
        </w:rPr>
        <w:fldChar w:fldCharType="separate" w:fldLock="0"/>
      </w:r>
      <w:r>
        <w:rPr>
          <w:rStyle w:val="Hyperlink.0"/>
          <w:rtl w:val="0"/>
        </w:rPr>
        <w:t>https://gisrrj.com/paper/GISRRJ236426.pdf</w:t>
      </w:r>
      <w:bookmarkEnd w:id="295"/>
      <w:r>
        <w:rPr/>
        <w:fldChar w:fldCharType="end" w:fldLock="0"/>
      </w:r>
    </w:p>
    <w:p>
      <w:pPr>
        <w:pStyle w:val="Bibliography"/>
      </w:pPr>
      <w:bookmarkStart w:name="refjiao2023" w:id="296"/>
      <w:r>
        <w:rPr>
          <w:rStyle w:val="Section Number"/>
          <w:rtl w:val="0"/>
          <w:lang w:val="en-US"/>
        </w:rPr>
        <w:t xml:space="preserve">113. </w:t>
        <w:tab/>
        <w:t xml:space="preserve">Jiao Z W. The economic value and clinical impact of artificial intelligence in healthcare: A scoping literature review. IEEE Access [Internet]. 2023; Available from: </w:t>
      </w:r>
      <w:r>
        <w:rPr>
          <w:rStyle w:val="Hyperlink.0"/>
        </w:rPr>
        <w:fldChar w:fldCharType="begin" w:fldLock="0"/>
      </w:r>
      <w:r>
        <w:rPr>
          <w:rStyle w:val="Hyperlink.0"/>
        </w:rPr>
        <w:instrText xml:space="preserve"> HYPERLINK "https://ieeexplore.ieee.org/document/10297311"</w:instrText>
      </w:r>
      <w:r>
        <w:rPr>
          <w:rStyle w:val="Hyperlink.0"/>
        </w:rPr>
        <w:fldChar w:fldCharType="separate" w:fldLock="0"/>
      </w:r>
      <w:r>
        <w:rPr>
          <w:rStyle w:val="Hyperlink.0"/>
          <w:rtl w:val="0"/>
        </w:rPr>
        <w:t>https://ieeexplore.ieee.org/document/10297311</w:t>
      </w:r>
      <w:bookmarkEnd w:id="296"/>
      <w:r>
        <w:rPr/>
        <w:fldChar w:fldCharType="end" w:fldLock="0"/>
      </w:r>
    </w:p>
    <w:p>
      <w:pPr>
        <w:pStyle w:val="Bibliography"/>
      </w:pPr>
      <w:bookmarkStart w:name="refelkamouchi2023" w:id="297"/>
      <w:r>
        <w:rPr>
          <w:rStyle w:val="Section Number"/>
          <w:rtl w:val="0"/>
          <w:lang w:val="en-US"/>
        </w:rPr>
        <w:t xml:space="preserve">114. </w:t>
        <w:tab/>
        <w:t xml:space="preserve">El Kamouchi &amp;K H. Low-code/No-code Development: A systematic literature review. In: 2023 14th international conference on computing communication and networking technologies (ICCCNT) [Internet]. 2023. Available from: </w:t>
      </w:r>
      <w:r>
        <w:rPr>
          <w:rStyle w:val="Hyperlink.0"/>
        </w:rPr>
        <w:fldChar w:fldCharType="begin" w:fldLock="0"/>
      </w:r>
      <w:r>
        <w:rPr>
          <w:rStyle w:val="Hyperlink.0"/>
        </w:rPr>
        <w:instrText xml:space="preserve"> HYPERLINK "https://ieeexplore.ieee.org/abstract/document/10373712/"</w:instrText>
      </w:r>
      <w:r>
        <w:rPr>
          <w:rStyle w:val="Hyperlink.0"/>
        </w:rPr>
        <w:fldChar w:fldCharType="separate" w:fldLock="0"/>
      </w:r>
      <w:r>
        <w:rPr>
          <w:rStyle w:val="Hyperlink.0"/>
          <w:rtl w:val="0"/>
        </w:rPr>
        <w:t>https://ieeexplore.ieee.org/abstract/document/10373712/</w:t>
      </w:r>
      <w:bookmarkEnd w:id="297"/>
      <w:r>
        <w:rPr/>
        <w:fldChar w:fldCharType="end" w:fldLock="0"/>
      </w:r>
    </w:p>
    <w:p>
      <w:pPr>
        <w:pStyle w:val="Bibliography"/>
      </w:pPr>
      <w:bookmarkStart w:name="refpervaiz2025" w:id="298"/>
      <w:r>
        <w:rPr>
          <w:rStyle w:val="Section Number"/>
          <w:rtl w:val="0"/>
          <w:lang w:val="en-US"/>
        </w:rPr>
        <w:t xml:space="preserve">115. </w:t>
        <w:tab/>
        <w:t xml:space="preserve">Pervaiz &amp;I H. Leveraging Low-Code/No-Code Platforms for Rapid Digital Transformation in Small and Medium-sized Enterprises (SMEs). Multidisciplinary Journal of Science, Technology &amp; Business [Internet]. 2025; Available from: </w:t>
      </w:r>
      <w:r>
        <w:rPr>
          <w:rStyle w:val="Hyperlink.0"/>
        </w:rPr>
        <w:fldChar w:fldCharType="begin" w:fldLock="0"/>
      </w:r>
      <w:r>
        <w:rPr>
          <w:rStyle w:val="Hyperlink.0"/>
        </w:rPr>
        <w:instrText xml:space="preserve"> HYPERLINK "https://imjstb.com/index.php/Journal/article/view/95"</w:instrText>
      </w:r>
      <w:r>
        <w:rPr>
          <w:rStyle w:val="Hyperlink.0"/>
        </w:rPr>
        <w:fldChar w:fldCharType="separate" w:fldLock="0"/>
      </w:r>
      <w:r>
        <w:rPr>
          <w:rStyle w:val="Hyperlink.0"/>
          <w:rtl w:val="0"/>
        </w:rPr>
        <w:t>https://imjstb.com/index.php/Journal/article/view/95</w:t>
      </w:r>
      <w:bookmarkEnd w:id="298"/>
      <w:r>
        <w:rPr/>
        <w:fldChar w:fldCharType="end" w:fldLock="0"/>
      </w:r>
    </w:p>
    <w:p>
      <w:pPr>
        <w:pStyle w:val="Bibliography"/>
      </w:pPr>
      <w:bookmarkStart w:name="refsnowdon2024a" w:id="299"/>
      <w:r>
        <w:rPr>
          <w:rStyle w:val="Section Number"/>
          <w:rtl w:val="0"/>
          <w:lang w:val="en-US"/>
        </w:rPr>
        <w:t xml:space="preserve">116. </w:t>
        <w:tab/>
        <w:t xml:space="preserve">Snowdon H A. Digital maturity as a strategy for advancing patient experience in US hospitals. Journal of Patient Experience [Internet]. 2024; Available from: </w:t>
      </w:r>
      <w:r>
        <w:rPr>
          <w:rStyle w:val="Hyperlink.0"/>
        </w:rPr>
        <w:fldChar w:fldCharType="begin" w:fldLock="0"/>
      </w:r>
      <w:r>
        <w:rPr>
          <w:rStyle w:val="Hyperlink.0"/>
        </w:rPr>
        <w:instrText xml:space="preserve"> HYPERLINK "https://journals.sagepub.com/doi/full/10.1177/23743735241253785"</w:instrText>
      </w:r>
      <w:r>
        <w:rPr>
          <w:rStyle w:val="Hyperlink.0"/>
        </w:rPr>
        <w:fldChar w:fldCharType="separate" w:fldLock="0"/>
      </w:r>
      <w:r>
        <w:rPr>
          <w:rStyle w:val="Hyperlink.0"/>
          <w:rtl w:val="0"/>
        </w:rPr>
        <w:t>https://journals.sagepub.com/doi/full/10.1177/23743735241253785</w:t>
      </w:r>
      <w:bookmarkEnd w:id="299"/>
      <w:r>
        <w:rPr/>
        <w:fldChar w:fldCharType="end" w:fldLock="0"/>
      </w:r>
    </w:p>
    <w:p>
      <w:pPr>
        <w:pStyle w:val="Bibliography"/>
      </w:pPr>
      <w:bookmarkStart w:name="refrichesson2007" w:id="300"/>
      <w:r>
        <w:rPr>
          <w:rStyle w:val="Section Number"/>
          <w:rtl w:val="0"/>
          <w:lang w:val="en-US"/>
        </w:rPr>
        <w:t xml:space="preserve">117. </w:t>
        <w:tab/>
        <w:t xml:space="preserve">Richesson &amp;K R. L. Data standards in clinical research: Gaps, overlaps, challenges and future directions. Journal of the American Medical Informatics Association [Internet]. 2007; Available from: </w:t>
      </w:r>
      <w:r>
        <w:rPr>
          <w:rStyle w:val="Hyperlink.0"/>
        </w:rPr>
        <w:fldChar w:fldCharType="begin" w:fldLock="0"/>
      </w:r>
      <w:r>
        <w:rPr>
          <w:rStyle w:val="Hyperlink.0"/>
        </w:rPr>
        <w:instrText xml:space="preserve"> HYPERLINK "https://academic.oup.com/jamia/article/14/6/687/750453"</w:instrText>
      </w:r>
      <w:r>
        <w:rPr>
          <w:rStyle w:val="Hyperlink.0"/>
        </w:rPr>
        <w:fldChar w:fldCharType="separate" w:fldLock="0"/>
      </w:r>
      <w:r>
        <w:rPr>
          <w:rStyle w:val="Hyperlink.0"/>
          <w:rtl w:val="0"/>
        </w:rPr>
        <w:t>https://academic.oup.com/jamia/article/14/6/687/750453</w:t>
      </w:r>
      <w:bookmarkEnd w:id="300"/>
      <w:r>
        <w:rPr/>
        <w:fldChar w:fldCharType="end" w:fldLock="0"/>
      </w:r>
    </w:p>
    <w:p>
      <w:pPr>
        <w:pStyle w:val="Bibliography"/>
      </w:pPr>
      <w:bookmarkStart w:name="refzheng2020" w:id="301"/>
      <w:r>
        <w:rPr>
          <w:rStyle w:val="Section Number"/>
          <w:rtl w:val="0"/>
          <w:lang w:val="en-US"/>
        </w:rPr>
        <w:t xml:space="preserve">118. </w:t>
        <w:tab/>
        <w:t xml:space="preserve">Zheng R K. Studying workflow and workarounds in electronic health record-supported work to improve health system performance. Annals of Internal Medicine [Internet]. 2020; Available from: </w:t>
      </w:r>
      <w:r>
        <w:rPr>
          <w:rStyle w:val="Hyperlink.0"/>
        </w:rPr>
        <w:fldChar w:fldCharType="begin" w:fldLock="0"/>
      </w:r>
      <w:r>
        <w:rPr>
          <w:rStyle w:val="Hyperlink.0"/>
        </w:rPr>
        <w:instrText xml:space="preserve"> HYPERLINK "https://www.acpjournals.org/doi/10.7326/M19-0871"</w:instrText>
      </w:r>
      <w:r>
        <w:rPr>
          <w:rStyle w:val="Hyperlink.0"/>
        </w:rPr>
        <w:fldChar w:fldCharType="separate" w:fldLock="0"/>
      </w:r>
      <w:r>
        <w:rPr>
          <w:rStyle w:val="Hyperlink.0"/>
          <w:rtl w:val="0"/>
        </w:rPr>
        <w:t>https://www.acpjournals.org/doi/10.7326/M19-0871</w:t>
      </w:r>
      <w:bookmarkEnd w:id="301"/>
      <w:r>
        <w:rPr/>
        <w:fldChar w:fldCharType="end" w:fldLock="0"/>
      </w:r>
    </w:p>
    <w:p>
      <w:pPr>
        <w:pStyle w:val="Bibliography"/>
      </w:pPr>
      <w:bookmarkStart w:name="refbogaert2021" w:id="302"/>
      <w:r>
        <w:rPr>
          <w:rStyle w:val="Section Number"/>
          <w:rtl w:val="0"/>
          <w:lang w:val="en-US"/>
        </w:rPr>
        <w:t xml:space="preserve">119. </w:t>
        <w:tab/>
        <w:t xml:space="preserve">Bogaert V P. Identifying common enablers and barriers in European health information systems. Health Policy [Internet]. 2021; Available from: </w:t>
      </w:r>
      <w:r>
        <w:rPr>
          <w:rStyle w:val="Hyperlink.0"/>
        </w:rPr>
        <w:fldChar w:fldCharType="begin" w:fldLock="0"/>
      </w:r>
      <w:r>
        <w:rPr>
          <w:rStyle w:val="Hyperlink.0"/>
        </w:rPr>
        <w:instrText xml:space="preserve"> HYPERLINK "https://www.sciencedirect.com/science/article/pii/S0168851021002396"</w:instrText>
      </w:r>
      <w:r>
        <w:rPr>
          <w:rStyle w:val="Hyperlink.0"/>
        </w:rPr>
        <w:fldChar w:fldCharType="separate" w:fldLock="0"/>
      </w:r>
      <w:r>
        <w:rPr>
          <w:rStyle w:val="Hyperlink.0"/>
          <w:rtl w:val="0"/>
        </w:rPr>
        <w:t>https://www.sciencedirect.com/science/article/pii/S0168851021002396</w:t>
      </w:r>
      <w:bookmarkEnd w:id="302"/>
      <w:r>
        <w:rPr/>
        <w:fldChar w:fldCharType="end" w:fldLock="0"/>
      </w:r>
    </w:p>
    <w:p>
      <w:pPr>
        <w:pStyle w:val="Bibliography"/>
      </w:pPr>
      <w:bookmarkStart w:name="refstrickland2019" w:id="303"/>
      <w:r>
        <w:rPr>
          <w:rStyle w:val="Section Number"/>
          <w:rtl w:val="0"/>
          <w:lang w:val="en-US"/>
        </w:rPr>
        <w:t xml:space="preserve">120. </w:t>
        <w:tab/>
        <w:t>Strickland E. IBM Watson, heal thyself: How IBM overpromised and underdelivered on AI health care. IEEE Spectrum [Internet]. 2019;56(4):24</w:t>
      </w:r>
      <w:r>
        <w:rPr>
          <w:rStyle w:val="Section Number"/>
          <w:rtl w:val="0"/>
          <w:lang w:val="en-US"/>
        </w:rPr>
        <w:t>–</w:t>
      </w:r>
      <w:r>
        <w:rPr>
          <w:rStyle w:val="Section Number"/>
          <w:rtl w:val="0"/>
          <w:lang w:val="en-US"/>
        </w:rPr>
        <w:t xml:space="preserve">31. Available from: </w:t>
      </w:r>
      <w:r>
        <w:rPr>
          <w:rStyle w:val="Hyperlink.0"/>
        </w:rPr>
        <w:fldChar w:fldCharType="begin" w:fldLock="0"/>
      </w:r>
      <w:r>
        <w:rPr>
          <w:rStyle w:val="Hyperlink.0"/>
        </w:rPr>
        <w:instrText xml:space="preserve"> HYPERLINK "https://ieeexplore.ieee.org/abstract/document/8678513/"</w:instrText>
      </w:r>
      <w:r>
        <w:rPr>
          <w:rStyle w:val="Hyperlink.0"/>
        </w:rPr>
        <w:fldChar w:fldCharType="separate" w:fldLock="0"/>
      </w:r>
      <w:r>
        <w:rPr>
          <w:rStyle w:val="Hyperlink.0"/>
          <w:rtl w:val="0"/>
        </w:rPr>
        <w:t>https://ieeexplore.ieee.org/abstract/document/8678513/</w:t>
      </w:r>
      <w:bookmarkEnd w:id="303"/>
      <w:r>
        <w:rPr/>
        <w:fldChar w:fldCharType="end" w:fldLock="0"/>
      </w:r>
    </w:p>
    <w:p>
      <w:pPr>
        <w:pStyle w:val="Bibliography"/>
      </w:pPr>
      <w:bookmarkStart w:name="refyang2020" w:id="304"/>
      <w:r>
        <w:rPr>
          <w:rStyle w:val="Section Number"/>
          <w:rtl w:val="0"/>
          <w:lang w:val="en-US"/>
        </w:rPr>
        <w:t xml:space="preserve">121. </w:t>
        <w:tab/>
        <w:t xml:space="preserve">Yang J, Chesbrough H, Hurmelinna-Laukkanen P. The rise, fall, and resurrection of IBM Watson Health [Internet]. University of Oulu; 2020. Available from: </w:t>
      </w:r>
      <w:r>
        <w:rPr>
          <w:rStyle w:val="Hyperlink.0"/>
        </w:rPr>
        <w:fldChar w:fldCharType="begin" w:fldLock="0"/>
      </w:r>
      <w:r>
        <w:rPr>
          <w:rStyle w:val="Hyperlink.0"/>
        </w:rPr>
        <w:instrText xml:space="preserve"> HYPERLINK "https://oulurepo.oulu.fi/bitstream/handle/10024/27921/nbnfi-fe2020050424858.pdf"</w:instrText>
      </w:r>
      <w:r>
        <w:rPr>
          <w:rStyle w:val="Hyperlink.0"/>
        </w:rPr>
        <w:fldChar w:fldCharType="separate" w:fldLock="0"/>
      </w:r>
      <w:r>
        <w:rPr>
          <w:rStyle w:val="Hyperlink.0"/>
          <w:rtl w:val="0"/>
        </w:rPr>
        <w:t>https://oulurepo.oulu.fi/bitstream/handle/10024/27921/nbnfi-fe2020050424858.pdf</w:t>
      </w:r>
      <w:bookmarkEnd w:id="304"/>
      <w:r>
        <w:rPr/>
        <w:fldChar w:fldCharType="end" w:fldLock="0"/>
      </w:r>
    </w:p>
    <w:p>
      <w:pPr>
        <w:pStyle w:val="Bibliography"/>
      </w:pPr>
      <w:bookmarkStart w:name="refacchiardo2021" w:id="305"/>
      <w:r>
        <w:rPr>
          <w:rStyle w:val="Section Number"/>
          <w:rtl w:val="0"/>
          <w:lang w:val="en-US"/>
        </w:rPr>
        <w:t xml:space="preserve">122. </w:t>
        <w:tab/>
        <w:t>Acchiardo JM, Gunderman RB. The Failure of Haven Healthcare: Lessons for Radiology Learners. Academic Radiology [Internet]. 2021;28(7):1036</w:t>
      </w:r>
      <w:r>
        <w:rPr>
          <w:rStyle w:val="Section Number"/>
          <w:rtl w:val="0"/>
          <w:lang w:val="en-US"/>
        </w:rPr>
        <w:t>–</w:t>
      </w:r>
      <w:r>
        <w:rPr>
          <w:rStyle w:val="Section Number"/>
          <w:rtl w:val="0"/>
          <w:lang w:val="en-US"/>
        </w:rPr>
        <w:t xml:space="preserve">7. Available from: </w:t>
      </w:r>
      <w:r>
        <w:rPr>
          <w:rStyle w:val="Hyperlink.0"/>
        </w:rPr>
        <w:fldChar w:fldCharType="begin" w:fldLock="0"/>
      </w:r>
      <w:r>
        <w:rPr>
          <w:rStyle w:val="Hyperlink.0"/>
        </w:rPr>
        <w:instrText xml:space="preserve"> HYPERLINK "https://www.academicradiology.org/article/S1076-6332(21)00140-9/abstract"</w:instrText>
      </w:r>
      <w:r>
        <w:rPr>
          <w:rStyle w:val="Hyperlink.0"/>
        </w:rPr>
        <w:fldChar w:fldCharType="separate" w:fldLock="0"/>
      </w:r>
      <w:r>
        <w:rPr>
          <w:rStyle w:val="Hyperlink.0"/>
          <w:rtl w:val="0"/>
        </w:rPr>
        <w:t>https://www.academicradiology.org/article/S1076-6332(21)00140-9/abstract</w:t>
      </w:r>
      <w:bookmarkEnd w:id="305"/>
      <w:r>
        <w:rPr/>
        <w:fldChar w:fldCharType="end" w:fldLock="0"/>
      </w:r>
    </w:p>
    <w:p>
      <w:pPr>
        <w:pStyle w:val="Bibliography"/>
      </w:pPr>
      <w:bookmarkStart w:name="refozalp2022" w:id="306"/>
      <w:r>
        <w:rPr>
          <w:rStyle w:val="Section Number"/>
          <w:rtl w:val="0"/>
          <w:lang w:val="en-US"/>
        </w:rPr>
        <w:t xml:space="preserve">123. </w:t>
        <w:tab/>
        <w:t>Ozalp H, Ozcan P, Dinckol D. "Digital colonization" of highly regulated industries: an analysis of big tech platforms</w:t>
      </w:r>
      <w:r>
        <w:rPr>
          <w:rStyle w:val="Section Number"/>
          <w:rtl w:val="0"/>
          <w:lang w:val="en-US"/>
        </w:rPr>
        <w:t xml:space="preserve">’ </w:t>
      </w:r>
      <w:r>
        <w:rPr>
          <w:rStyle w:val="Section Number"/>
          <w:rtl w:val="0"/>
          <w:lang w:val="en-US"/>
        </w:rPr>
        <w:t>entry into health care. California Management Review [Internet]. 2022;64(4):78</w:t>
      </w:r>
      <w:r>
        <w:rPr>
          <w:rStyle w:val="Section Number"/>
          <w:rtl w:val="0"/>
          <w:lang w:val="en-US"/>
        </w:rPr>
        <w:t>–</w:t>
      </w:r>
      <w:r>
        <w:rPr>
          <w:rStyle w:val="Section Number"/>
          <w:rtl w:val="0"/>
          <w:lang w:val="en-US"/>
        </w:rPr>
        <w:t xml:space="preserve">107. Available from: </w:t>
      </w:r>
      <w:r>
        <w:rPr>
          <w:rStyle w:val="Hyperlink.0"/>
        </w:rPr>
        <w:fldChar w:fldCharType="begin" w:fldLock="0"/>
      </w:r>
      <w:r>
        <w:rPr>
          <w:rStyle w:val="Hyperlink.0"/>
        </w:rPr>
        <w:instrText xml:space="preserve"> HYPERLINK "https://journals.sagepub.com/doi/abs/10.1177/00081256221094307"</w:instrText>
      </w:r>
      <w:r>
        <w:rPr>
          <w:rStyle w:val="Hyperlink.0"/>
        </w:rPr>
        <w:fldChar w:fldCharType="separate" w:fldLock="0"/>
      </w:r>
      <w:r>
        <w:rPr>
          <w:rStyle w:val="Hyperlink.0"/>
          <w:rtl w:val="0"/>
        </w:rPr>
        <w:t>https://journals.sagepub.com/doi/abs/10.1177/00081256221094307</w:t>
      </w:r>
      <w:bookmarkEnd w:id="306"/>
      <w:r>
        <w:rPr/>
        <w:fldChar w:fldCharType="end" w:fldLock="0"/>
      </w:r>
    </w:p>
    <w:p>
      <w:pPr>
        <w:pStyle w:val="Bibliography"/>
      </w:pPr>
      <w:bookmarkStart w:name="refnashid2023a" w:id="307"/>
      <w:r>
        <w:rPr>
          <w:rStyle w:val="Section Number"/>
          <w:rtl w:val="0"/>
          <w:lang w:val="en-US"/>
        </w:rPr>
        <w:t xml:space="preserve">124. </w:t>
        <w:tab/>
        <w:t>Nashid S, Papia SK, Chowdhury N, Mia MS, Hossain MI. Advanced Business Analytics in Healthcare Enhancing Clinical Decision Support and Operational Efficiency. Business and Social Sciences [Internet]. 2023;1(1):1</w:t>
      </w:r>
      <w:r>
        <w:rPr>
          <w:rStyle w:val="Section Number"/>
          <w:rtl w:val="0"/>
          <w:lang w:val="en-US"/>
        </w:rPr>
        <w:t>–</w:t>
      </w:r>
      <w:r>
        <w:rPr>
          <w:rStyle w:val="Section Number"/>
          <w:rtl w:val="0"/>
          <w:lang w:val="en-US"/>
        </w:rPr>
        <w:t xml:space="preserve">8. Available from: </w:t>
      </w:r>
      <w:r>
        <w:rPr>
          <w:rStyle w:val="Hyperlink.0"/>
        </w:rPr>
        <w:fldChar w:fldCharType="begin" w:fldLock="0"/>
      </w:r>
      <w:r>
        <w:rPr>
          <w:rStyle w:val="Hyperlink.0"/>
        </w:rPr>
        <w:instrText xml:space="preserve"> HYPERLINK "https://doi.org/10.25163/business.1110345"</w:instrText>
      </w:r>
      <w:r>
        <w:rPr>
          <w:rStyle w:val="Hyperlink.0"/>
        </w:rPr>
        <w:fldChar w:fldCharType="separate" w:fldLock="0"/>
      </w:r>
      <w:r>
        <w:rPr>
          <w:rStyle w:val="Hyperlink.0"/>
          <w:rtl w:val="0"/>
        </w:rPr>
        <w:t>https://doi.org/10.25163/business.1110345</w:t>
      </w:r>
      <w:bookmarkEnd w:id="307"/>
      <w:r>
        <w:rPr/>
        <w:fldChar w:fldCharType="end" w:fldLock="0"/>
      </w:r>
    </w:p>
    <w:p>
      <w:pPr>
        <w:pStyle w:val="Bibliography"/>
      </w:pPr>
      <w:bookmarkStart w:name="refforrester2024a" w:id="308"/>
      <w:r>
        <w:rPr>
          <w:rStyle w:val="Section Number"/>
          <w:rtl w:val="0"/>
          <w:lang w:val="en-US"/>
        </w:rPr>
        <w:t xml:space="preserve">125. </w:t>
        <w:tab/>
        <w:t>Forrester Consulting. The Total Economic Impact</w:t>
      </w:r>
      <w:r>
        <w:rPr>
          <w:rStyle w:val="Section Number"/>
          <w:rtl w:val="0"/>
          <w:lang w:val="en-US"/>
        </w:rPr>
        <w:t xml:space="preserve">™ </w:t>
      </w:r>
      <w:r>
        <w:rPr>
          <w:rStyle w:val="Section Number"/>
          <w:rtl w:val="0"/>
          <w:lang w:val="en-US"/>
        </w:rPr>
        <w:t xml:space="preserve">Of Microsoft Power Apps [Internet]. Forrester Consulting; 2024. Available from: </w:t>
      </w:r>
      <w:r>
        <w:rPr>
          <w:rStyle w:val="Hyperlink.0"/>
        </w:rPr>
        <w:fldChar w:fldCharType="begin" w:fldLock="0"/>
      </w:r>
      <w:r>
        <w:rPr>
          <w:rStyle w:val="Hyperlink.0"/>
        </w:rPr>
        <w:instrText xml:space="preserve"> HYPERLINK "https://tools.totaleconomicimpact.com/go/microsoft/powerapps/"</w:instrText>
      </w:r>
      <w:r>
        <w:rPr>
          <w:rStyle w:val="Hyperlink.0"/>
        </w:rPr>
        <w:fldChar w:fldCharType="separate" w:fldLock="0"/>
      </w:r>
      <w:r>
        <w:rPr>
          <w:rStyle w:val="Hyperlink.0"/>
          <w:rtl w:val="0"/>
        </w:rPr>
        <w:t>https://tools.totaleconomicimpact.com/go/microsoft/powerapps/</w:t>
      </w:r>
      <w:bookmarkEnd w:id="308"/>
      <w:r>
        <w:rPr/>
        <w:fldChar w:fldCharType="end" w:fldLock="0"/>
      </w:r>
    </w:p>
    <w:p>
      <w:pPr>
        <w:pStyle w:val="Bibliography"/>
      </w:pPr>
      <w:bookmarkStart w:name="refsezgin2022" w:id="309"/>
      <w:r>
        <w:rPr>
          <w:rStyle w:val="Section Number"/>
          <w:rtl w:val="0"/>
          <w:lang w:val="en-US"/>
        </w:rPr>
        <w:t xml:space="preserve">126. </w:t>
        <w:tab/>
        <w:t xml:space="preserve">Sezgin S E. Operationalizing and implementing pretrained, large artificial intelligence linguistic models in the US health care system: Outlook of generative pretrained transformer 3 (GPT-3) as a service model. JMIR Medical Informatics [Internet]. 2022; Available from: </w:t>
      </w:r>
      <w:r>
        <w:rPr>
          <w:rStyle w:val="Hyperlink.0"/>
        </w:rPr>
        <w:fldChar w:fldCharType="begin" w:fldLock="0"/>
      </w:r>
      <w:r>
        <w:rPr>
          <w:rStyle w:val="Hyperlink.0"/>
        </w:rPr>
        <w:instrText xml:space="preserve"> HYPERLINK "https://medinform.jmir.org/2022/2/e32875"</w:instrText>
      </w:r>
      <w:r>
        <w:rPr>
          <w:rStyle w:val="Hyperlink.0"/>
        </w:rPr>
        <w:fldChar w:fldCharType="separate" w:fldLock="0"/>
      </w:r>
      <w:r>
        <w:rPr>
          <w:rStyle w:val="Hyperlink.0"/>
          <w:rtl w:val="0"/>
        </w:rPr>
        <w:t>https://medinform.jmir.org/2022/2/e32875</w:t>
      </w:r>
      <w:bookmarkEnd w:id="309"/>
      <w:r>
        <w:rPr/>
        <w:fldChar w:fldCharType="end" w:fldLock="0"/>
      </w:r>
    </w:p>
    <w:p>
      <w:pPr>
        <w:pStyle w:val="Bibliography"/>
      </w:pPr>
      <w:bookmarkStart w:name="refhimss2025ucdavis" w:id="310"/>
      <w:r>
        <w:rPr>
          <w:rStyle w:val="Section Number"/>
          <w:rtl w:val="0"/>
          <w:lang w:val="en-US"/>
        </w:rPr>
        <w:t xml:space="preserve">127. </w:t>
        <w:tab/>
        <w:t xml:space="preserve">HIMSS. UC Davis Health: From Stage 0 to AI Heroes [Internet]. Healthcare Information; Management Systems Society; 2025. Available from: </w:t>
      </w:r>
      <w:r>
        <w:rPr>
          <w:rStyle w:val="Hyperlink.0"/>
        </w:rPr>
        <w:fldChar w:fldCharType="begin" w:fldLock="0"/>
      </w:r>
      <w:r>
        <w:rPr>
          <w:rStyle w:val="Hyperlink.0"/>
        </w:rPr>
        <w:instrText xml:space="preserve"> HYPERLINK "https://pages.himss.org/LP-HA-Case-Study-UC-Davis.html"</w:instrText>
      </w:r>
      <w:r>
        <w:rPr>
          <w:rStyle w:val="Hyperlink.0"/>
        </w:rPr>
        <w:fldChar w:fldCharType="separate" w:fldLock="0"/>
      </w:r>
      <w:r>
        <w:rPr>
          <w:rStyle w:val="Hyperlink.0"/>
          <w:rtl w:val="0"/>
        </w:rPr>
        <w:t>https://pages.himss.org/LP-HA-Case-Study-UC-Davis.html</w:t>
      </w:r>
      <w:bookmarkEnd w:id="310"/>
      <w:r>
        <w:rPr/>
        <w:fldChar w:fldCharType="end" w:fldLock="0"/>
      </w:r>
    </w:p>
    <w:p>
      <w:pPr>
        <w:pStyle w:val="Bibliography"/>
      </w:pPr>
      <w:bookmarkStart w:name="reflenz2007" w:id="311"/>
      <w:r>
        <w:rPr>
          <w:rStyle w:val="Section Number"/>
          <w:rtl w:val="0"/>
          <w:lang w:val="en-US"/>
        </w:rPr>
        <w:t xml:space="preserve">128. </w:t>
        <w:tab/>
        <w:t xml:space="preserve">Lenz R, Beyer M, Kuhn KA. </w:t>
      </w:r>
      <w:r>
        <w:rPr>
          <w:rStyle w:val="Hyperlink.0"/>
        </w:rPr>
        <w:fldChar w:fldCharType="begin" w:fldLock="0"/>
      </w:r>
      <w:r>
        <w:rPr>
          <w:rStyle w:val="Hyperlink.0"/>
        </w:rPr>
        <w:instrText xml:space="preserve"> HYPERLINK "https://doi.org/10.1016/j.ijmedinf.2006.05.008"</w:instrText>
      </w:r>
      <w:r>
        <w:rPr>
          <w:rStyle w:val="Hyperlink.0"/>
        </w:rPr>
        <w:fldChar w:fldCharType="separate" w:fldLock="0"/>
      </w:r>
      <w:r>
        <w:rPr>
          <w:rStyle w:val="Hyperlink.0"/>
          <w:rtl w:val="0"/>
        </w:rPr>
        <w:t>Semantic integration in healthcare networks</w:t>
      </w:r>
      <w:r>
        <w:rPr/>
        <w:fldChar w:fldCharType="end" w:fldLock="0"/>
      </w:r>
      <w:r>
        <w:rPr>
          <w:rStyle w:val="Section Number"/>
          <w:rtl w:val="0"/>
          <w:lang w:val="en-US"/>
        </w:rPr>
        <w:t>. International Journal of Medical Informatics. 2007;76(2-3):201</w:t>
      </w:r>
      <w:r>
        <w:rPr>
          <w:rStyle w:val="Section Number"/>
          <w:rtl w:val="0"/>
          <w:lang w:val="en-US"/>
        </w:rPr>
        <w:t>–</w:t>
      </w:r>
      <w:r>
        <w:rPr>
          <w:rStyle w:val="Section Number"/>
          <w:rtl w:val="0"/>
          <w:lang w:val="en-US"/>
        </w:rPr>
        <w:t xml:space="preserve">7. </w:t>
      </w:r>
      <w:bookmarkEnd w:id="311"/>
    </w:p>
    <w:p>
      <w:pPr>
        <w:pStyle w:val="Bibliography"/>
      </w:pPr>
      <w:bookmarkStart w:name="refoliveira2023" w:id="312"/>
      <w:r>
        <w:rPr>
          <w:rStyle w:val="Section Number"/>
          <w:rtl w:val="0"/>
          <w:lang w:val="en-US"/>
        </w:rPr>
        <w:t xml:space="preserve">129. </w:t>
        <w:tab/>
        <w:t xml:space="preserve">Oliveira MAP et al. Semantic modelling for enterprise data governance 4.0. arXiv preprint arXiv:231102082 [Internet]. 2023; Available from: </w:t>
      </w:r>
      <w:r>
        <w:rPr>
          <w:rStyle w:val="Hyperlink.0"/>
        </w:rPr>
        <w:fldChar w:fldCharType="begin" w:fldLock="0"/>
      </w:r>
      <w:r>
        <w:rPr>
          <w:rStyle w:val="Hyperlink.0"/>
        </w:rPr>
        <w:instrText xml:space="preserve"> HYPERLINK "https://arxiv.org/pdf/2311.02082"</w:instrText>
      </w:r>
      <w:r>
        <w:rPr>
          <w:rStyle w:val="Hyperlink.0"/>
        </w:rPr>
        <w:fldChar w:fldCharType="separate" w:fldLock="0"/>
      </w:r>
      <w:r>
        <w:rPr>
          <w:rStyle w:val="Hyperlink.0"/>
          <w:rtl w:val="0"/>
        </w:rPr>
        <w:t>https://arxiv.org/pdf/2311.02082</w:t>
      </w:r>
      <w:bookmarkEnd w:id="312"/>
      <w:r>
        <w:rPr/>
        <w:fldChar w:fldCharType="end" w:fldLock="0"/>
      </w:r>
    </w:p>
    <w:p>
      <w:pPr>
        <w:pStyle w:val="Bibliography"/>
      </w:pPr>
      <w:bookmarkStart w:name="refalukal2006" w:id="313"/>
      <w:r>
        <w:rPr>
          <w:rStyle w:val="Section Number"/>
          <w:rtl w:val="0"/>
          <w:lang w:val="en-US"/>
        </w:rPr>
        <w:t xml:space="preserve">130. </w:t>
        <w:tab/>
        <w:t xml:space="preserve">Alukal VG, Manos A. Lean kaizen: A simplified approach to process improvement [Internet]. Milwaukee, WI: ASQ Quality Press; 2006. Available from: </w:t>
      </w:r>
      <w:r>
        <w:rPr>
          <w:rStyle w:val="Hyperlink.0"/>
        </w:rPr>
        <w:fldChar w:fldCharType="begin" w:fldLock="0"/>
      </w:r>
      <w:r>
        <w:rPr>
          <w:rStyle w:val="Hyperlink.0"/>
        </w:rPr>
        <w:instrText xml:space="preserve"> HYPERLINK "https://books.google.com/books?id=9uqiEAAAQBAJ"</w:instrText>
      </w:r>
      <w:r>
        <w:rPr>
          <w:rStyle w:val="Hyperlink.0"/>
        </w:rPr>
        <w:fldChar w:fldCharType="separate" w:fldLock="0"/>
      </w:r>
      <w:r>
        <w:rPr>
          <w:rStyle w:val="Hyperlink.0"/>
          <w:rtl w:val="0"/>
        </w:rPr>
        <w:t>https://books.google.com/books?id=9uqiEAAAQBAJ</w:t>
      </w:r>
      <w:bookmarkEnd w:id="313"/>
      <w:r>
        <w:rPr/>
        <w:fldChar w:fldCharType="end" w:fldLock="0"/>
      </w:r>
    </w:p>
    <w:p>
      <w:pPr>
        <w:pStyle w:val="Bibliography"/>
      </w:pPr>
      <w:bookmarkStart w:name="refmannapur2025" w:id="314"/>
      <w:r>
        <w:rPr>
          <w:rStyle w:val="Section Number"/>
          <w:rtl w:val="0"/>
          <w:lang w:val="en-US"/>
        </w:rPr>
        <w:t xml:space="preserve">131. </w:t>
        <w:tab/>
        <w:t xml:space="preserve">Mannapur S. Understanding data drift and concept drift in machine learning systems. International Journal of Scientific Research [Internet]. 2025; Available from: </w:t>
      </w:r>
      <w:r>
        <w:rPr>
          <w:rStyle w:val="Hyperlink.0"/>
        </w:rPr>
        <w:fldChar w:fldCharType="begin" w:fldLock="0"/>
      </w:r>
      <w:r>
        <w:rPr>
          <w:rStyle w:val="Hyperlink.0"/>
        </w:rPr>
        <w:instrText xml:space="preserve"> HYPERLINK "https://www.quantbeckman.com/api/v1/file/5b240742-bf0d-4f8c-a0f9-cb29fab42611.pdf"</w:instrText>
      </w:r>
      <w:r>
        <w:rPr>
          <w:rStyle w:val="Hyperlink.0"/>
        </w:rPr>
        <w:fldChar w:fldCharType="separate" w:fldLock="0"/>
      </w:r>
      <w:r>
        <w:rPr>
          <w:rStyle w:val="Hyperlink.0"/>
          <w:rtl w:val="0"/>
        </w:rPr>
        <w:t>https://www.quantbeckman.com/api/v1/file/5b240742-bf0d-4f8c-a0f9-cb29fab42611.pdf</w:t>
      </w:r>
      <w:bookmarkEnd w:id="314"/>
      <w:r>
        <w:rPr/>
        <w:fldChar w:fldCharType="end" w:fldLock="0"/>
      </w:r>
    </w:p>
    <w:p>
      <w:pPr>
        <w:pStyle w:val="Bibliography"/>
      </w:pPr>
      <w:bookmarkStart w:name="refyupopa2005" w:id="315"/>
      <w:r>
        <w:rPr>
          <w:rStyle w:val="Section Number"/>
          <w:rtl w:val="0"/>
          <w:lang w:val="en-US"/>
        </w:rPr>
        <w:t xml:space="preserve">132. </w:t>
        <w:tab/>
        <w:t>Yu C, Popa L. Semantic adaptation of schema mappings when schemas evolve. In: Proceedings of the 31st international conference on very large data bases [Internet]. 2005. p. 1006</w:t>
      </w:r>
      <w:r>
        <w:rPr>
          <w:rStyle w:val="Section Number"/>
          <w:rtl w:val="0"/>
          <w:lang w:val="en-US"/>
        </w:rPr>
        <w:t>–</w:t>
      </w:r>
      <w:r>
        <w:rPr>
          <w:rStyle w:val="Section Number"/>
          <w:rtl w:val="0"/>
          <w:lang w:val="en-US"/>
        </w:rPr>
        <w:t xml:space="preserve">17. Available from: </w:t>
      </w:r>
      <w:r>
        <w:rPr>
          <w:rStyle w:val="Hyperlink.0"/>
        </w:rPr>
        <w:fldChar w:fldCharType="begin" w:fldLock="0"/>
      </w:r>
      <w:r>
        <w:rPr>
          <w:rStyle w:val="Hyperlink.0"/>
        </w:rPr>
        <w:instrText xml:space="preserve"> HYPERLINK "https://mail.vldb.org/archives/website/2005/program/paper/fri/p1006-yu.pdf"</w:instrText>
      </w:r>
      <w:r>
        <w:rPr>
          <w:rStyle w:val="Hyperlink.0"/>
        </w:rPr>
        <w:fldChar w:fldCharType="separate" w:fldLock="0"/>
      </w:r>
      <w:r>
        <w:rPr>
          <w:rStyle w:val="Hyperlink.0"/>
          <w:rtl w:val="0"/>
        </w:rPr>
        <w:t>https://mail.vldb.org/archives/website/2005/program/paper/fri/p1006-yu.pdf</w:t>
      </w:r>
      <w:bookmarkEnd w:id="315"/>
      <w:r>
        <w:rPr/>
        <w:fldChar w:fldCharType="end" w:fldLock="0"/>
      </w:r>
    </w:p>
    <w:p>
      <w:pPr>
        <w:pStyle w:val="Bibliography"/>
      </w:pPr>
      <w:bookmarkStart w:name="refsivaranjani2025" w:id="316"/>
      <w:r>
        <w:rPr>
          <w:rStyle w:val="Section Number"/>
          <w:rtl w:val="0"/>
          <w:lang w:val="en-US"/>
        </w:rPr>
        <w:t xml:space="preserve">133. </w:t>
        <w:tab/>
        <w:t xml:space="preserve">Sivaranjani S, Tharunika V. Semantic Web for Addressing Data Integration Challenges [Internet]. Taylor &amp; Francis; 2025. Available from: </w:t>
      </w:r>
      <w:r>
        <w:rPr>
          <w:rStyle w:val="Hyperlink.0"/>
        </w:rPr>
        <w:fldChar w:fldCharType="begin" w:fldLock="0"/>
      </w:r>
      <w:r>
        <w:rPr>
          <w:rStyle w:val="Hyperlink.0"/>
        </w:rPr>
        <w:instrText xml:space="preserve"> HYPERLINK "https://www.taylorfrancis.com/chapters/edit/10.1201/9781003716686-10/semantic-web-addressing-data-integration-challenges-semantic-data-fabric-healthcare-sivaranjani-tharunika-bhuvaneswari"</w:instrText>
      </w:r>
      <w:r>
        <w:rPr>
          <w:rStyle w:val="Hyperlink.0"/>
        </w:rPr>
        <w:fldChar w:fldCharType="separate" w:fldLock="0"/>
      </w:r>
      <w:r>
        <w:rPr>
          <w:rStyle w:val="Hyperlink.0"/>
          <w:rtl w:val="0"/>
        </w:rPr>
        <w:t>https://www.taylorfrancis.com/chapters/edit/10.1201/9781003716686-10/semantic-web-addressing-data-integration-challenges-semantic-data-fabric-healthcare-sivaranjani-tharunika-bhuvaneswari</w:t>
      </w:r>
      <w:bookmarkEnd w:id="316"/>
      <w:r>
        <w:rPr/>
        <w:fldChar w:fldCharType="end" w:fldLock="0"/>
      </w:r>
    </w:p>
    <w:p>
      <w:pPr>
        <w:pStyle w:val="Bibliography"/>
      </w:pPr>
      <w:bookmarkStart w:name="refbattula2025" w:id="317"/>
      <w:r>
        <w:rPr>
          <w:rStyle w:val="Section Number"/>
          <w:rtl w:val="0"/>
          <w:lang w:val="en-US"/>
        </w:rPr>
        <w:t xml:space="preserve">134. </w:t>
        <w:tab/>
        <w:t xml:space="preserve">Battula SKY. </w:t>
      </w:r>
      <w:r>
        <w:rPr>
          <w:rStyle w:val="Hyperlink.0"/>
        </w:rPr>
        <w:fldChar w:fldCharType="begin" w:fldLock="0"/>
      </w:r>
      <w:r>
        <w:rPr>
          <w:rStyle w:val="Hyperlink.0"/>
        </w:rPr>
        <w:instrText xml:space="preserve"> HYPERLINK "https://doi.org/10.63282/3050-9262.IJAIDSML-V6I4P130"</w:instrText>
      </w:r>
      <w:r>
        <w:rPr>
          <w:rStyle w:val="Hyperlink.0"/>
        </w:rPr>
        <w:fldChar w:fldCharType="separate" w:fldLock="0"/>
      </w:r>
      <w:r>
        <w:rPr>
          <w:rStyle w:val="Hyperlink.0"/>
          <w:rtl w:val="0"/>
        </w:rPr>
        <w:t>Adaptive Data Quality Management for Multi-Cloud Healthcare Warehouses: FHIR-Aware Semantics and Unsupervised Thresholding</w:t>
      </w:r>
      <w:r>
        <w:rPr/>
        <w:fldChar w:fldCharType="end" w:fldLock="0"/>
      </w:r>
      <w:r>
        <w:rPr>
          <w:rStyle w:val="Section Number"/>
          <w:rtl w:val="0"/>
          <w:lang w:val="en-US"/>
        </w:rPr>
        <w:t>. International Journal of Artificial Intelligence, Data Science, and Machine Learning. 2025;6(4):218</w:t>
      </w:r>
      <w:r>
        <w:rPr>
          <w:rStyle w:val="Section Number"/>
          <w:rtl w:val="0"/>
          <w:lang w:val="en-US"/>
        </w:rPr>
        <w:t>–</w:t>
      </w:r>
      <w:r>
        <w:rPr>
          <w:rStyle w:val="Section Number"/>
          <w:rtl w:val="0"/>
          <w:lang w:val="en-US"/>
        </w:rPr>
        <w:t xml:space="preserve">26. </w:t>
      </w:r>
      <w:bookmarkEnd w:id="317"/>
    </w:p>
    <w:p>
      <w:pPr>
        <w:pStyle w:val="Bibliography"/>
      </w:pPr>
      <w:bookmarkStart w:name="refzimmermann2017" w:id="318"/>
      <w:r>
        <w:rPr>
          <w:rStyle w:val="Section Number"/>
          <w:rtl w:val="0"/>
          <w:lang w:val="en-US"/>
        </w:rPr>
        <w:t xml:space="preserve">135. </w:t>
        <w:tab/>
        <w:t xml:space="preserve">Zimmermann S, Rentrop C, Felden C. </w:t>
      </w:r>
      <w:r>
        <w:rPr>
          <w:rStyle w:val="Hyperlink.0"/>
        </w:rPr>
        <w:fldChar w:fldCharType="begin" w:fldLock="0"/>
      </w:r>
      <w:r>
        <w:rPr>
          <w:rStyle w:val="Hyperlink.0"/>
        </w:rPr>
        <w:instrText xml:space="preserve"> HYPERLINK "https://doi.org/10.2308/isys-51517"</w:instrText>
      </w:r>
      <w:r>
        <w:rPr>
          <w:rStyle w:val="Hyperlink.0"/>
        </w:rPr>
        <w:fldChar w:fldCharType="separate" w:fldLock="0"/>
      </w:r>
      <w:r>
        <w:rPr>
          <w:rStyle w:val="Hyperlink.0"/>
          <w:rtl w:val="0"/>
        </w:rPr>
        <w:t>A Multiple Case Study on the Nature and Management of Shadow Information Technology</w:t>
      </w:r>
      <w:r>
        <w:rPr/>
        <w:fldChar w:fldCharType="end" w:fldLock="0"/>
      </w:r>
      <w:r>
        <w:rPr>
          <w:rStyle w:val="Section Number"/>
          <w:rtl w:val="0"/>
          <w:lang w:val="en-US"/>
        </w:rPr>
        <w:t>. Journal of Information Systems. 2017;31(1):79</w:t>
      </w:r>
      <w:r>
        <w:rPr>
          <w:rStyle w:val="Section Number"/>
          <w:rtl w:val="0"/>
          <w:lang w:val="en-US"/>
        </w:rPr>
        <w:t>–</w:t>
      </w:r>
      <w:r>
        <w:rPr>
          <w:rStyle w:val="Section Number"/>
          <w:rtl w:val="0"/>
          <w:lang w:val="en-US"/>
        </w:rPr>
        <w:t xml:space="preserve">101. </w:t>
      </w:r>
      <w:bookmarkEnd w:id="318"/>
    </w:p>
    <w:p>
      <w:pPr>
        <w:pStyle w:val="Bibliography"/>
      </w:pPr>
      <w:bookmarkStart w:name="refrivard1987" w:id="319"/>
      <w:r>
        <w:rPr>
          <w:rStyle w:val="Section Number"/>
          <w:rtl w:val="0"/>
          <w:lang w:val="en-US"/>
        </w:rPr>
        <w:t xml:space="preserve">136. </w:t>
        <w:tab/>
        <w:t xml:space="preserve">Rivard S. </w:t>
      </w:r>
      <w:r>
        <w:rPr>
          <w:rStyle w:val="Hyperlink.0"/>
        </w:rPr>
        <w:fldChar w:fldCharType="begin" w:fldLock="0"/>
      </w:r>
      <w:r>
        <w:rPr>
          <w:rStyle w:val="Hyperlink.0"/>
        </w:rPr>
        <w:instrText xml:space="preserve"> HYPERLINK "https://doi.org/10.1287/inte.17.3.25"</w:instrText>
      </w:r>
      <w:r>
        <w:rPr>
          <w:rStyle w:val="Hyperlink.0"/>
        </w:rPr>
        <w:fldChar w:fldCharType="separate" w:fldLock="0"/>
      </w:r>
      <w:r>
        <w:rPr>
          <w:rStyle w:val="Hyperlink.0"/>
          <w:rtl w:val="0"/>
        </w:rPr>
        <w:t>Successful Implementation of End-User Computing</w:t>
      </w:r>
      <w:r>
        <w:rPr/>
        <w:fldChar w:fldCharType="end" w:fldLock="0"/>
      </w:r>
      <w:r>
        <w:rPr>
          <w:rStyle w:val="Section Number"/>
          <w:rtl w:val="0"/>
          <w:lang w:val="en-US"/>
        </w:rPr>
        <w:t>. Interfaces. 1987;17(3):25</w:t>
      </w:r>
      <w:r>
        <w:rPr>
          <w:rStyle w:val="Section Number"/>
          <w:rtl w:val="0"/>
          <w:lang w:val="en-US"/>
        </w:rPr>
        <w:t>–</w:t>
      </w:r>
      <w:r>
        <w:rPr>
          <w:rStyle w:val="Section Number"/>
          <w:rtl w:val="0"/>
          <w:lang w:val="en-US"/>
        </w:rPr>
        <w:t xml:space="preserve">33. </w:t>
      </w:r>
      <w:bookmarkEnd w:id="319"/>
    </w:p>
    <w:p>
      <w:pPr>
        <w:pStyle w:val="Bibliography"/>
      </w:pPr>
      <w:bookmarkStart w:name="refkopper2020" w:id="320"/>
      <w:r>
        <w:rPr>
          <w:rStyle w:val="Section Number"/>
          <w:rtl w:val="0"/>
          <w:lang w:val="en-US"/>
        </w:rPr>
        <w:t xml:space="preserve">137. </w:t>
        <w:tab/>
        <w:t xml:space="preserve">Kopper A, Westner M, Strahringer S. </w:t>
      </w:r>
      <w:r>
        <w:rPr>
          <w:rStyle w:val="Hyperlink.0"/>
        </w:rPr>
        <w:fldChar w:fldCharType="begin" w:fldLock="0"/>
      </w:r>
      <w:r>
        <w:rPr>
          <w:rStyle w:val="Hyperlink.0"/>
        </w:rPr>
        <w:instrText xml:space="preserve"> HYPERLINK "https://doi.org/10.1007/s10257-020-00472-y"</w:instrText>
      </w:r>
      <w:r>
        <w:rPr>
          <w:rStyle w:val="Hyperlink.0"/>
        </w:rPr>
        <w:fldChar w:fldCharType="separate" w:fldLock="0"/>
      </w:r>
      <w:r>
        <w:rPr>
          <w:rStyle w:val="Hyperlink.0"/>
          <w:rtl w:val="0"/>
        </w:rPr>
        <w:t>From Shadow IT to Business-managed IT: a qualitative comparative analysis to determine configurations for successful management of IT by business entities</w:t>
      </w:r>
      <w:r>
        <w:rPr/>
        <w:fldChar w:fldCharType="end" w:fldLock="0"/>
      </w:r>
      <w:r>
        <w:rPr>
          <w:rStyle w:val="Section Number"/>
          <w:rtl w:val="0"/>
          <w:lang w:val="en-US"/>
        </w:rPr>
        <w:t>. Information Systems and e-Business Management. 2020;18:209</w:t>
      </w:r>
      <w:r>
        <w:rPr>
          <w:rStyle w:val="Section Number"/>
          <w:rtl w:val="0"/>
          <w:lang w:val="en-US"/>
        </w:rPr>
        <w:t>–</w:t>
      </w:r>
      <w:r>
        <w:rPr>
          <w:rStyle w:val="Section Number"/>
          <w:rtl w:val="0"/>
          <w:lang w:val="en-US"/>
        </w:rPr>
        <w:t xml:space="preserve">57. </w:t>
      </w:r>
      <w:bookmarkEnd w:id="320"/>
    </w:p>
    <w:p>
      <w:pPr>
        <w:pStyle w:val="Body"/>
      </w:pPr>
      <w:r>
        <w:rPr>
          <w:rStyle w:val="Section Number"/>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i w:val="1"/>
          <w:iCs w:val="1"/>
          <w:rtl w:val="0"/>
          <w:lang w:val="en-US"/>
        </w:rPr>
        <w:t>This work is licensed under a Creative Commons Attribution 4.0 International License.</w:t>
      </w:r>
    </w:p>
    <w:p>
      <w:pPr>
        <w:pStyle w:val="Body Text"/>
      </w:pPr>
      <w:r>
        <w:rPr>
          <w:rFonts w:ascii="Aptos" w:cs="Aptos" w:hAnsi="Aptos" w:eastAsia="Aptos"/>
          <w:i w:val="1"/>
          <w:iCs w:val="1"/>
          <w:rtl w:val="0"/>
          <w:lang w:val="en-US"/>
        </w:rPr>
        <w:t>Correspondence: samuel.harrold@yuimedi.com</w:t>
      </w:r>
    </w:p>
    <w:sectPr>
      <w:headerReference w:type="default" r:id="rId7"/>
      <w:footerReference w:type="default" r:id="rId8"/>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Courier New">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4"/>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Section Number">
    <w:name w:val="Section Number"/>
    <w:rPr>
      <w:lang w:val="en-US"/>
    </w:rPr>
  </w:style>
  <w:style w:type="paragraph" w:styleId="Author">
    <w:name w:val="Author"/>
    <w:next w:val="Body Text"/>
    <w:pPr>
      <w:keepNext w:val="1"/>
      <w:keepLines w:val="1"/>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bstract Title">
    <w:name w:val="Abstract Title"/>
    <w:next w:val="Abstract"/>
    <w:pPr>
      <w:keepNext w:val="1"/>
      <w:keepLines w:val="1"/>
      <w:pageBreakBefore w:val="0"/>
      <w:widowControl w:val="1"/>
      <w:shd w:val="clear" w:color="auto" w:fill="auto"/>
      <w:suppressAutoHyphens w:val="0"/>
      <w:bidi w:val="0"/>
      <w:spacing w:before="300" w:after="0" w:line="240" w:lineRule="auto"/>
      <w:ind w:left="0" w:right="0" w:firstLine="0"/>
      <w:jc w:val="center"/>
      <w:outlineLvl w:val="9"/>
    </w:pPr>
    <w:rPr>
      <w:rFonts w:ascii="Aptos" w:cs="Aptos" w:hAnsi="Aptos" w:eastAsia="Apto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Abstract">
    <w:name w:val="Abstract"/>
    <w:next w:val="Body Text"/>
    <w:pPr>
      <w:keepNext w:val="1"/>
      <w:keepLines w:val="1"/>
      <w:pageBreakBefore w:val="0"/>
      <w:widowControl w:val="1"/>
      <w:shd w:val="clear" w:color="auto" w:fill="auto"/>
      <w:suppressAutoHyphens w:val="0"/>
      <w:bidi w:val="0"/>
      <w:spacing w:before="100" w:after="3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OC Heading">
    <w:name w:val="TOC Heading"/>
    <w:next w:val="Body Text"/>
    <w:pPr>
      <w:keepNext w:val="1"/>
      <w:keepLines w:val="1"/>
      <w:pageBreakBefore w:val="0"/>
      <w:widowControl w:val="1"/>
      <w:shd w:val="clear" w:color="auto" w:fill="auto"/>
      <w:suppressAutoHyphens w:val="0"/>
      <w:bidi w:val="0"/>
      <w:spacing w:before="240" w:after="80" w:line="25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365f91"/>
      <w:spacing w:val="0"/>
      <w:kern w:val="0"/>
      <w:position w:val="0"/>
      <w:sz w:val="40"/>
      <w:szCs w:val="40"/>
      <w:u w:val="none" w:color="365f91"/>
      <w:shd w:val="nil" w:color="auto" w:fill="auto"/>
      <w:vertAlign w:val="baseline"/>
      <w:lang w:val="en-US"/>
      <w14:textFill>
        <w14:solidFill>
          <w14:srgbClr w14:val="365F91"/>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TOC 2">
    <w:name w:val="TOC 2"/>
    <w:next w:val="TOC 2"/>
    <w:pPr>
      <w:keepNext w:val="0"/>
      <w:keepLines w:val="0"/>
      <w:pageBreakBefore w:val="0"/>
      <w:widowControl w:val="1"/>
      <w:shd w:val="clear" w:color="auto" w:fill="auto"/>
      <w:tabs>
        <w:tab w:val="right" w:pos="936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paragraph" w:styleId="TOC 3">
    <w:name w:val="TOC 3"/>
    <w:next w:val="TOC 3"/>
    <w:pPr>
      <w:keepNext w:val="0"/>
      <w:keepLines w:val="0"/>
      <w:pageBreakBefore w:val="0"/>
      <w:widowControl w:val="1"/>
      <w:shd w:val="clear" w:color="auto" w:fill="auto"/>
      <w:tabs>
        <w:tab w:val="right" w:pos="9360"/>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TOC 4">
    <w:name w:val="TOC 4"/>
    <w:next w:val="TOC 4"/>
    <w:pPr>
      <w:keepNext w:val="0"/>
      <w:keepLines w:val="0"/>
      <w:pageBreakBefore w:val="0"/>
      <w:widowControl w:val="1"/>
      <w:shd w:val="clear" w:color="auto" w:fill="auto"/>
      <w:tabs>
        <w:tab w:val="right" w:pos="9360"/>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80" w:after="40" w:line="240" w:lineRule="auto"/>
      <w:ind w:left="0" w:right="0" w:firstLine="0"/>
      <w:jc w:val="left"/>
      <w:outlineLvl w:val="3"/>
    </w:pPr>
    <w:rPr>
      <w:rFonts w:ascii="Aptos" w:cs="Aptos" w:hAnsi="Aptos" w:eastAsia="Aptos"/>
      <w:b w:val="0"/>
      <w:bCs w:val="0"/>
      <w:i w:val="1"/>
      <w:iCs w:val="1"/>
      <w:caps w:val="0"/>
      <w:smallCaps w:val="0"/>
      <w:strike w:val="0"/>
      <w:dstrike w:val="0"/>
      <w:outline w:val="0"/>
      <w:color w:val="0f4761"/>
      <w:spacing w:val="0"/>
      <w:kern w:val="0"/>
      <w:position w:val="0"/>
      <w:sz w:val="24"/>
      <w:szCs w:val="24"/>
      <w:u w:val="none" w:color="0f4761"/>
      <w:shd w:val="nil" w:color="auto" w:fill="auto"/>
      <w:vertAlign w:val="baseline"/>
      <w:lang w:val="en-US"/>
      <w14:textFill>
        <w14:solidFill>
          <w14:srgbClr w14:val="0F476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numbering" w:styleId="Imported Style 1">
    <w:name w:val="Imported Style 1"/>
    <w:pPr>
      <w:numPr>
        <w:numId w:val="1"/>
      </w:numPr>
    </w:p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Captioned Figure">
    <w:name w:val="Captioned Figure"/>
    <w:next w:val="Captioned Figure"/>
    <w:pPr>
      <w:keepNext w:val="1"/>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Image Caption">
    <w:name w:val="Image Caption"/>
    <w:next w:val="Image Caption"/>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Aptos" w:cs="Aptos" w:hAnsi="Aptos" w:eastAsia="Aptos"/>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able Caption">
    <w:name w:val="Table Caption"/>
    <w:next w:val="Table Caption"/>
    <w:pPr>
      <w:keepNext w:val="1"/>
      <w:keepLines w:val="0"/>
      <w:pageBreakBefore w:val="0"/>
      <w:widowControl w:val="1"/>
      <w:shd w:val="clear" w:color="auto" w:fill="auto"/>
      <w:suppressAutoHyphens w:val="0"/>
      <w:bidi w:val="0"/>
      <w:spacing w:before="0" w:after="120" w:line="240" w:lineRule="auto"/>
      <w:ind w:left="0" w:right="0" w:firstLine="0"/>
      <w:jc w:val="left"/>
      <w:outlineLvl w:val="9"/>
    </w:pPr>
    <w:rPr>
      <w:rFonts w:ascii="Aptos" w:cs="Aptos" w:hAnsi="Aptos" w:eastAsia="Aptos"/>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u w:val="none"/>
      <w:shd w:val="nil" w:color="auto" w:fill="auto"/>
      <w:lang w:val="en-US"/>
    </w:rPr>
  </w:style>
  <w:style w:type="character" w:styleId="Verbatim Char">
    <w:name w:val="Verbatim Char"/>
    <w:rPr>
      <w:rFonts w:ascii="Consolas" w:hAnsi="Consolas"/>
      <w:sz w:val="22"/>
      <w:szCs w:val="22"/>
      <w:lang w:val="en-US"/>
    </w:rPr>
  </w:style>
  <w:style w:type="paragraph" w:styleId="Bibliography">
    <w:name w:val="Bibliography"/>
    <w:next w:val="Bibliograph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rgbClr val="FFFFFF"/>
        </a:solidFill>
        <a:solidFill>
          <a:srgbClr val="FFFFFF"/>
        </a:solidFill>
        <a:solidFill>
          <a:srgbClr val="FFFFFF"/>
        </a:solidFill>
      </a:fillStyleLst>
      <a:lnStyleLst>
        <a:ln>
          <a:solidFill>
            <a:srgbClr val="000000"/>
          </a:solidFill>
        </a:ln>
        <a:ln>
          <a:solidFill>
            <a:srgbClr val="000000"/>
          </a:solidFill>
        </a:ln>
        <a:ln>
          <a:solidFill>
            <a:srgbClr val="000000"/>
          </a:solidFill>
        </a:ln>
      </a:lnStyleLst>
      <a:effectStyleLst>
        <a:effectStyle>
          <a:effectLst/>
        </a:effectStyle>
        <a:effectStyle>
          <a:effectLst/>
        </a:effectStyle>
        <a:effectStyle>
          <a:effectLst/>
        </a:effectStyle>
      </a:effectStyleLst>
      <a:bgFillStyleLst>
        <a:solidFill>
          <a:srgbClr val="FFFFFF"/>
        </a:solidFill>
        <a:solidFill>
          <a:srgbClr val="FFFFFF"/>
        </a:solidFill>
        <a:solidFill>
          <a:srgbClr val="FFFFFF"/>
        </a:soli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