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March 2026</w:t>
      </w:r>
    </w:p>
    <w:p>
      <w:pPr>
        <w:pStyle w:val="FirstParagraph"/>
      </w:pPr>
      <w:r>
        <w:t xml:space="preserve">Dear Editor,</w:t>
      </w:r>
    </w:p>
    <w:p>
      <w:pPr>
        <w:pStyle w:val="BodyText"/>
      </w:pPr>
      <w:r>
        <w:t xml:space="preserve">I am writing to resubmit the manuscript</w:t>
      </w:r>
      <w:r>
        <w:t xml:space="preserve"> </w:t>
      </w:r>
      <w:r>
        <w:t xml:space="preserve">“Healthcare Analytics Challenges: A Three-Pillar Framework Connecting Analytics Maturity, Workforce Agility, and Technical Enablement”</w:t>
      </w:r>
      <w:r>
        <w:t xml:space="preserve"> </w:t>
      </w:r>
      <w:r>
        <w:t xml:space="preserve">(ms#91493) for consideration as a</w:t>
      </w:r>
      <w:r>
        <w:t xml:space="preserve"> </w:t>
      </w:r>
      <w:r>
        <w:rPr>
          <w:i/>
          <w:iCs/>
        </w:rPr>
        <w:t xml:space="preserve">Viewpoint</w:t>
      </w:r>
      <w:r>
        <w:t xml:space="preserve"> </w:t>
      </w:r>
      <w:r>
        <w:t xml:space="preserve">article in JMIR Medical Informatics.</w:t>
      </w:r>
    </w:p>
    <w:bookmarkStart w:id="9" w:name="response-to-decision-e2"/>
    <w:p>
      <w:pPr>
        <w:pStyle w:val="Heading2"/>
      </w:pPr>
      <w:r>
        <w:t xml:space="preserve">Response to Decision E2</w:t>
      </w:r>
    </w:p>
    <w:p>
      <w:pPr>
        <w:pStyle w:val="FirstParagraph"/>
      </w:pPr>
      <w:r>
        <w:t xml:space="preserve">I appreciate the editor’s feedback that the work is</w:t>
      </w:r>
      <w:r>
        <w:t xml:space="preserve"> </w:t>
      </w:r>
      <w:r>
        <w:t xml:space="preserve">“interesting”</w:t>
      </w:r>
      <w:r>
        <w:t xml:space="preserve"> </w:t>
      </w:r>
      <w:r>
        <w:t xml:space="preserve">and the invitation to resubmit after addressing the length concern. The original submission was approximately 12,730 words, which the editor correctly identified as</w:t>
      </w:r>
      <w:r>
        <w:t xml:space="preserve"> </w:t>
      </w:r>
      <w:r>
        <w:t xml:space="preserve">“thesis length.”</w:t>
      </w:r>
    </w:p>
    <w:bookmarkEnd w:id="9"/>
    <w:bookmarkStart w:id="10" w:name="summary-of-revisions"/>
    <w:p>
      <w:pPr>
        <w:pStyle w:val="Heading2"/>
      </w:pPr>
      <w:r>
        <w:t xml:space="preserve">Summary of Revisions</w:t>
      </w:r>
    </w:p>
    <w:p>
      <w:pPr>
        <w:pStyle w:val="FirstParagraph"/>
      </w:pPr>
      <w:r>
        <w:t xml:space="preserve">The manuscript has been substantially revised to meet Viewpoint article requirements:</w:t>
      </w:r>
    </w:p>
    <w:p>
      <w:pPr>
        <w:pStyle w:val="BodyText"/>
      </w:pPr>
      <w:r>
        <w:rPr>
          <w:i/>
          <w:iCs/>
        </w:rPr>
        <w:t xml:space="preserve">Structural changes:</w:t>
      </w:r>
    </w:p>
    <w:p>
      <w:pPr>
        <w:pStyle w:val="Compact"/>
        <w:numPr>
          <w:ilvl w:val="0"/>
          <w:numId w:val="1001"/>
        </w:numPr>
      </w:pPr>
      <w:r>
        <w:t xml:space="preserve">Reduced from approximately 12,730 words to approximately 4,600 body words (within the 5,000-word recommendation)</w:t>
      </w:r>
    </w:p>
    <w:p>
      <w:pPr>
        <w:pStyle w:val="Compact"/>
        <w:numPr>
          <w:ilvl w:val="0"/>
          <w:numId w:val="1001"/>
        </w:numPr>
      </w:pPr>
      <w:r>
        <w:t xml:space="preserve">Converted from IMRD structure (Introduction, Methods, Results, Discussion) to descriptive thematic headers appropriate for Viewpoint articles</w:t>
      </w:r>
    </w:p>
    <w:p>
      <w:pPr>
        <w:pStyle w:val="Compact"/>
        <w:numPr>
          <w:ilvl w:val="0"/>
          <w:numId w:val="1001"/>
        </w:numPr>
      </w:pPr>
      <w:r>
        <w:t xml:space="preserve">Converted the structured abstract to an unstructured flowing narrative (302 words)</w:t>
      </w:r>
    </w:p>
    <w:p>
      <w:pPr>
        <w:pStyle w:val="FirstParagraph"/>
      </w:pPr>
      <w:r>
        <w:rPr>
          <w:i/>
          <w:iCs/>
        </w:rPr>
        <w:t xml:space="preserve">Content focus:</w:t>
      </w:r>
    </w:p>
    <w:p>
      <w:pPr>
        <w:pStyle w:val="BodyText"/>
      </w:pPr>
      <w:r>
        <w:t xml:space="preserve">The revised manuscript retains the core intellectual contributions while removing the exhaustive methodology and literature review sections appropriate for a full research paper: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Human-in-the-Loop Knowledge Governance (HITL-KG) framework:</w:t>
      </w:r>
      <w:r>
        <w:t xml:space="preserve"> </w:t>
      </w:r>
      <w:r>
        <w:t xml:space="preserve">The socio-technical architecture for converting tacit domain expertise into durable validated query triples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Theoretical grounding in Nonaka’s SECI model:</w:t>
      </w:r>
      <w:r>
        <w:t xml:space="preserve"> </w:t>
      </w:r>
      <w:r>
        <w:t xml:space="preserve">Reinterpretation of knowledge creation theory for the unstable healthcare workforce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 Validator Paradox:</w:t>
      </w:r>
      <w:r>
        <w:t xml:space="preserve"> </w:t>
      </w:r>
      <w:r>
        <w:t xml:space="preserve">Intellectually honest engagement with the circular objection to the framework, resolved through Lean</w:t>
      </w:r>
      <w:r>
        <w:t xml:space="preserve"> </w:t>
      </w:r>
      <w:r>
        <w:t xml:space="preserve">“Standard Work”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Three-Pillar Assessment Rubric:</w:t>
      </w:r>
      <w:r>
        <w:t xml:space="preserve"> </w:t>
      </w:r>
      <w:r>
        <w:t xml:space="preserve">A structured self-assessment tool with evidence-based indicators across analytics maturity, workforce agility, and technical enablement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Three pillars of evidence:</w:t>
      </w:r>
      <w:r>
        <w:t xml:space="preserve"> </w:t>
      </w:r>
      <w:r>
        <w:t xml:space="preserve">Synthesized evidence on analytics maturity, workforce agility, and technical enablement</w:t>
      </w:r>
    </w:p>
    <w:p>
      <w:pPr>
        <w:pStyle w:val="FirstParagraph"/>
      </w:pPr>
      <w:r>
        <w:rPr>
          <w:i/>
          <w:iCs/>
        </w:rPr>
        <w:t xml:space="preserve">Quality assurance:</w:t>
      </w:r>
    </w:p>
    <w:p>
      <w:pPr>
        <w:pStyle w:val="Compact"/>
        <w:numPr>
          <w:ilvl w:val="0"/>
          <w:numId w:val="1003"/>
        </w:numPr>
      </w:pPr>
      <w:r>
        <w:t xml:space="preserve">All citations updated to 2024-2026 data where available</w:t>
      </w:r>
    </w:p>
    <w:p>
      <w:pPr>
        <w:pStyle w:val="Compact"/>
        <w:numPr>
          <w:ilvl w:val="0"/>
          <w:numId w:val="1003"/>
        </w:numPr>
      </w:pPr>
      <w:r>
        <w:t xml:space="preserve">Framework advances a prescriptive Viewpoint position grounded in descriptive evidence; conversational AI framed as enabler, not solution</w:t>
      </w:r>
    </w:p>
    <w:p>
      <w:pPr>
        <w:pStyle w:val="Compact"/>
        <w:numPr>
          <w:ilvl w:val="0"/>
          <w:numId w:val="1003"/>
        </w:numPr>
      </w:pPr>
      <w:r>
        <w:t xml:space="preserve">Competing interests disclosed per JMIR requirements</w:t>
      </w:r>
    </w:p>
    <w:bookmarkEnd w:id="10"/>
    <w:bookmarkStart w:id="11" w:name="article-type"/>
    <w:p>
      <w:pPr>
        <w:pStyle w:val="Heading2"/>
      </w:pPr>
      <w:r>
        <w:t xml:space="preserve">Article Type</w:t>
      </w:r>
    </w:p>
    <w:p>
      <w:pPr>
        <w:pStyle w:val="FirstParagraph"/>
      </w:pPr>
      <w:r>
        <w:t xml:space="preserve">This submission is a</w:t>
      </w:r>
      <w:r>
        <w:t xml:space="preserve"> </w:t>
      </w:r>
      <w:r>
        <w:rPr>
          <w:i/>
          <w:iCs/>
        </w:rPr>
        <w:t xml:space="preserve">Viewpoint</w:t>
      </w:r>
      <w:r>
        <w:t xml:space="preserve"> </w:t>
      </w:r>
      <w:r>
        <w:t xml:space="preserve">article: an evidence-based scholarly perspective on mitigating institutional amnesia in healthcare analytics, grounded in peer-reviewed literature and knowledge management theory.</w:t>
      </w:r>
    </w:p>
    <w:p>
      <w:pPr>
        <w:pStyle w:val="BodyText"/>
      </w:pPr>
      <w:r>
        <w:t xml:space="preserve">Thank you for your continued consideration.</w:t>
      </w:r>
    </w:p>
    <w:p>
      <w:pPr>
        <w:pStyle w:val="BodyText"/>
      </w:pPr>
      <w:r>
        <w:t xml:space="preserve">Respectfully,</w:t>
      </w:r>
    </w:p>
    <w:p>
      <w:pPr>
        <w:pStyle w:val="BodyText"/>
      </w:pPr>
      <w:r>
        <w:t xml:space="preserve">Samuel T Harrold</w:t>
      </w:r>
      <w:r>
        <w:t xml:space="preserve"> </w:t>
      </w:r>
      <w:r>
        <w:t xml:space="preserve">Yuimedi, Inc.</w:t>
      </w:r>
      <w:r>
        <w:t xml:space="preserve"> </w:t>
      </w:r>
      <w:r>
        <w:t xml:space="preserve">samuel.harrold@yuimedi.com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theme="minorBidi" w:eastAsiaTheme="minorEastAsia" w:hAnsi="Times New Roma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pPr>
      <w:spacing w:after="0" w:line="480" w:lineRule="auto"/>
    </w:pPr>
    <w:name w:val="Normal"/>
    <w:qFormat/>
    <w:rPr>
      <w:rFonts w:ascii="Times New Roman" w:hAnsi="Times New Roman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theme="majorBidi" w:eastAsiaTheme="majorEastAsia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theme="majorBidi" w:eastAsiaTheme="majorEastAsia" w:hAnsi="Times New Roman"/>
      <w:sz w:val="28"/>
      <w:szCs w:val="28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theme="majorBidi" w:eastAsiaTheme="majorEastAsia" w:hAnsi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theme="majorBidi" w:eastAsiaTheme="majorEastAsia" w:hAnsi="Times New Roman"/>
      <w:color w:themeTint="A6"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cstheme="majorBidi" w:eastAsiaTheme="majorEastAsia" w:hAnsi="Times New Roman"/>
      <w:color w:val="000000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cstheme="majorBidi" w:eastAsiaTheme="majorEastAsia" w:hAnsi="Times New Roman"/>
      <w:color w:val="000000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theme="majorBidi" w:eastAsiaTheme="majorEastAsia" w:hAnsi="Times New Roman"/>
      <w:color w:val="000000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theme="majorBidi" w:eastAsiaTheme="majorEastAsia" w:hAnsi="Times New Roman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theme="majorBidi" w:eastAsiaTheme="majorEastAsia" w:hAnsi="Times New Roman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cstheme="majorBidi" w:eastAsiaTheme="majorEastAsia" w:hAnsi="Times New Roman"/>
      <w:i/>
      <w:iCs/>
      <w:color w:themeTint="A6"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theme="majorBidi" w:eastAsiaTheme="majorEastAsia" w:hAnsi="Times New Roman"/>
      <w:color w:themeTint="A6"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theme="majorBidi" w:eastAsiaTheme="majorEastAsia" w:hAnsi="Times New Roman"/>
      <w:i/>
      <w:iCs/>
      <w:color w:themeTint="D8"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theme="majorBidi" w:eastAsiaTheme="majorEastAsia" w:hAnsi="Times New Roman"/>
      <w:color w:themeTint="D8"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theme="majorBidi" w:eastAsiaTheme="majorEastAsia" w:hAnsi="Times New Roman"/>
      <w:color w:val="000000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theme="majorBidi" w:eastAsiaTheme="majorEastAsia" w:hAnsi="Times New Roman"/>
      <w:color w:val="000000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theme="majorBidi" w:eastAsiaTheme="majorEastAsia" w:hAnsi="Times New Roman"/>
      <w:color w:val="000000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theme="majorBidi" w:eastAsiaTheme="majorEastAsia" w:hAnsi="Times New Roman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theme="majorBidi" w:eastAsiaTheme="majorEastAsia" w:hAnsi="Times New Roman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theme="majorBidi" w:eastAsiaTheme="majorEastAsia" w:hAnsi="Times New Roman"/>
      <w:i/>
      <w:iCs/>
      <w:color w:themeTint="A6"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theme="majorBidi" w:eastAsiaTheme="majorEastAsia" w:hAnsi="Times New Roman"/>
      <w:color w:themeTint="A6"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theme="majorBidi" w:eastAsiaTheme="majorEastAsia" w:hAnsi="Times New Roman"/>
      <w:i/>
      <w:iCs/>
      <w:color w:themeTint="D8"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theme="majorBidi" w:eastAsiaTheme="majorEastAsia" w:hAnsi="Times New Roman"/>
      <w:color w:themeTint="D8"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theme="majorBidi" w:eastAsiaTheme="majorEastAsia" w:hAnsi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subject>Revised Manuscript Resubmission: ms#91493</dc:subject>
  <cp:keywords/>
  <dcterms:created xsi:type="dcterms:W3CDTF">2026-03-30T01:26:21Z</dcterms:created>
  <dcterms:modified xsi:type="dcterms:W3CDTF">2026-03-30T01:26:21Z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  <property fmtid="{D5CDD505-2E9C-101B-9397-08002B2CF9AE}" pid="3" name="from">
    <vt:lpwstr>Samuel T Harrold, Yuimedi, Inc.</vt:lpwstr>
  </property>
  <property fmtid="{D5CDD505-2E9C-101B-9397-08002B2CF9AE}" pid="4" name="to">
    <vt:lpwstr>Editor, JMIR Medical Informatics</vt:lpwstr>
  </property>
</Properties>
</file>