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that</w:t>
      </w:r>
      <w:r>
        <w:t xml:space="preserve"> </w:t>
      </w:r>
      <w:r>
        <w:t xml:space="preserve">form</w:t>
      </w:r>
      <w:r>
        <w:t xml:space="preserve"> </w:t>
      </w:r>
      <w:r>
        <w:t xml:space="preserve">a</w:t>
      </w:r>
      <w:r>
        <w:t xml:space="preserve"> </w:t>
      </w:r>
      <w:r>
        <w:t xml:space="preserve">compounding</w:t>
      </w:r>
      <w:r>
        <w:t xml:space="preserve"> </w:t>
      </w:r>
      <w:r>
        <w:t xml:space="preserve">cycle:</w:t>
      </w:r>
      <w:r>
        <w:t xml:space="preserve"> </w:t>
      </w:r>
      <w:r>
        <w:t xml:space="preserve">low</w:t>
      </w:r>
      <w:r>
        <w:t xml:space="preserve"> </w:t>
      </w:r>
      <w:r>
        <w:t xml:space="preserve">analytics</w:t>
      </w:r>
      <w:r>
        <w:t xml:space="preserve"> </w:t>
      </w:r>
      <w:r>
        <w:t xml:space="preserve">maturity</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have</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high</w:t>
      </w:r>
      <w:r>
        <w:t xml:space="preserve"> </w:t>
      </w:r>
      <w:r>
        <w:t xml:space="preserve">workforce</w:t>
      </w:r>
      <w:r>
        <w:t xml:space="preserve"> </w:t>
      </w:r>
      <w:r>
        <w:t xml:space="preserve">turnover</w:t>
      </w:r>
      <w:r>
        <w:t xml:space="preserve"> </w:t>
      </w:r>
      <w:r>
        <w:t xml:space="preserve">(34%</w:t>
      </w:r>
      <w:r>
        <w:t xml:space="preserve"> </w:t>
      </w:r>
      <w:r>
        <w:t xml:space="preserve">annually</w:t>
      </w:r>
      <w:r>
        <w:t xml:space="preserve"> </w:t>
      </w:r>
      <w:r>
        <w:t xml:space="preserve">for</w:t>
      </w:r>
      <w:r>
        <w:t xml:space="preserve"> </w:t>
      </w:r>
      <w:r>
        <w:t xml:space="preserve">healthcare</w:t>
      </w:r>
      <w:r>
        <w:t xml:space="preserve"> </w:t>
      </w:r>
      <w:r>
        <w:t xml:space="preserve">IT</w:t>
      </w:r>
      <w:r>
        <w:t xml:space="preserve"> </w:t>
      </w:r>
      <w:r>
        <w:t xml:space="preserve">staff</w:t>
      </w:r>
      <w:r>
        <w:t xml:space="preserve"> </w:t>
      </w:r>
      <w:r>
        <w:t xml:space="preserve">as</w:t>
      </w:r>
      <w:r>
        <w:t xml:space="preserve"> </w:t>
      </w:r>
      <w:r>
        <w:t xml:space="preserve">of</w:t>
      </w:r>
      <w:r>
        <w:t xml:space="preserve"> </w:t>
      </w:r>
      <w:r>
        <w:t xml:space="preserve">2004),</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as</w:t>
      </w:r>
      <w:r>
        <w:t xml:space="preserve"> </w:t>
      </w:r>
      <w:r>
        <w:t xml:space="preserve">knowledge</w:t>
      </w:r>
      <w:r>
        <w:t xml:space="preserve"> </w:t>
      </w:r>
      <w:r>
        <w:t xml:space="preserve">portals</w:t>
      </w:r>
      <w:r>
        <w:t xml:space="preserve"> </w:t>
      </w:r>
      <w:r>
        <w:t xml:space="preserve">to</w:t>
      </w:r>
      <w:r>
        <w:t xml:space="preserve"> </w:t>
      </w:r>
      <w:r>
        <w:t xml:space="preserve">break</w:t>
      </w:r>
      <w:r>
        <w:t xml:space="preserve"> </w:t>
      </w:r>
      <w:r>
        <w:t xml:space="preserve">this</w:t>
      </w:r>
      <w:r>
        <w:t xml:space="preserve"> </w:t>
      </w:r>
      <w:r>
        <w:t xml:space="preserve">compounding</w:t>
      </w:r>
      <w:r>
        <w:t xml:space="preserve"> </w:t>
      </w:r>
      <w:r>
        <w:t xml:space="preserve">cycle</w:t>
      </w:r>
      <w:r>
        <w:t xml:space="preserve"> </w:t>
      </w:r>
      <w:r>
        <w:t xml:space="preserve">by</w:t>
      </w:r>
      <w:r>
        <w:t xml:space="preserve"> </w:t>
      </w:r>
      <w:r>
        <w:t xml:space="preserve">preserving</w:t>
      </w:r>
      <w:r>
        <w:t xml:space="preserve"> </w:t>
      </w:r>
      <w:r>
        <w:t xml:space="preserve">institutional</w:t>
      </w:r>
      <w:r>
        <w:t xml:space="preserve"> </w:t>
      </w:r>
      <w:r>
        <w:t xml:space="preserve">analytics</w:t>
      </w:r>
      <w:r>
        <w:t xml:space="preserve"> </w:t>
      </w:r>
      <w:r>
        <w:t xml:space="preserve">expertise</w:t>
      </w:r>
      <w:r>
        <w:t xml:space="preserve"> </w:t>
      </w:r>
      <w:r>
        <w:t xml:space="preserve">independent</w:t>
      </w:r>
      <w:r>
        <w:t xml:space="preserve"> </w:t>
      </w:r>
      <w:r>
        <w:t xml:space="preserve">of</w:t>
      </w:r>
      <w:r>
        <w:t xml:space="preserve"> </w:t>
      </w:r>
      <w:r>
        <w:t xml:space="preserve">individual</w:t>
      </w:r>
      <w:r>
        <w:t xml:space="preserve"> </w:t>
      </w:r>
      <w:r>
        <w:t xml:space="preserve">staff</w:t>
      </w:r>
      <w:r>
        <w:t xml:space="preserve"> </w:t>
      </w:r>
      <w:r>
        <w:t xml:space="preserve">retention.</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sources</w:t>
      </w:r>
      <w:r>
        <w:t xml:space="preserve"> </w:t>
      </w:r>
      <w:r>
        <w:t xml:space="preserve">were</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examining</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(EHRSQL,</w:t>
      </w:r>
      <w:r>
        <w:t xml:space="preserve"> </w:t>
      </w:r>
      <w:r>
        <w:t xml:space="preserve">SM3-Text-to-Query)</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requiring</w:t>
      </w:r>
      <w:r>
        <w:t xml:space="preserve"> </w:t>
      </w:r>
      <w:r>
        <w:t xml:space="preserve">human</w:t>
      </w:r>
      <w:r>
        <w:t xml:space="preserve"> </w:t>
      </w:r>
      <w:r>
        <w:t xml:space="preserve">validation</w:t>
      </w:r>
      <w:r>
        <w:t xml:space="preserve"> </w:t>
      </w:r>
      <w:r>
        <w:t xml:space="preserve">through</w:t>
      </w:r>
      <w:r>
        <w:t xml:space="preserve"> </w:t>
      </w:r>
      <w:r>
        <w:t xml:space="preserve">the</w:t>
      </w:r>
      <w:r>
        <w:t xml:space="preserve"> </w:t>
      </w:r>
      <w:r>
        <w:t xml:space="preserve">validated</w:t>
      </w:r>
      <w:r>
        <w:t xml:space="preserve"> </w:t>
      </w:r>
      <w:r>
        <w:t xml:space="preserve">query</w:t>
      </w:r>
      <w:r>
        <w:t xml:space="preserve"> </w:t>
      </w:r>
      <w:r>
        <w:t xml:space="preserve">cycle.</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validated</w:t>
      </w:r>
      <w:r>
        <w:t xml:space="preserve"> </w:t>
      </w:r>
      <w:r>
        <w:t xml:space="preserve">query</w:t>
      </w:r>
      <w:r>
        <w:t xml:space="preserve"> </w:t>
      </w:r>
      <w:r>
        <w:t xml:space="preserve">cycle</w:t>
      </w:r>
      <w:r>
        <w:t xml:space="preserve"> </w:t>
      </w:r>
      <w:r>
        <w:t xml:space="preserve">addresses</w:t>
      </w:r>
      <w:r>
        <w:t xml:space="preserve"> </w:t>
      </w:r>
      <w:r>
        <w:t xml:space="preserve">this</w:t>
      </w:r>
      <w:r>
        <w:t xml:space="preserve"> </w:t>
      </w:r>
      <w:r>
        <w:t xml:space="preserve">through</w:t>
      </w:r>
      <w:r>
        <w:t xml:space="preserve"> </w:t>
      </w:r>
      <w:r>
        <w:t xml:space="preserve">six</w:t>
      </w:r>
      <w:r>
        <w:t xml:space="preserve"> </w:t>
      </w:r>
      <w:r>
        <w:t xml:space="preserve">steps:</w:t>
      </w:r>
      <w:r>
        <w:t xml:space="preserve"> </w:t>
      </w:r>
      <w:r>
        <w:t xml:space="preserve">domain</w:t>
      </w:r>
      <w:r>
        <w:t xml:space="preserve"> </w:t>
      </w:r>
      <w:r>
        <w:t xml:space="preserve">experts</w:t>
      </w:r>
      <w:r>
        <w:t xml:space="preserve"> </w:t>
      </w:r>
      <w:r>
        <w:t xml:space="preserve">ask</w:t>
      </w:r>
      <w:r>
        <w:t xml:space="preserve"> </w:t>
      </w:r>
      <w:r>
        <w:t xml:space="preserve">questions,</w:t>
      </w:r>
      <w:r>
        <w:t xml:space="preserve"> </w:t>
      </w:r>
      <w:r>
        <w:t xml:space="preserve">the</w:t>
      </w:r>
      <w:r>
        <w:t xml:space="preserve"> </w:t>
      </w:r>
      <w:r>
        <w:t xml:space="preserve">system</w:t>
      </w:r>
      <w:r>
        <w:t xml:space="preserve"> </w:t>
      </w:r>
      <w:r>
        <w:t xml:space="preserve">generates</w:t>
      </w:r>
      <w:r>
        <w:t xml:space="preserve"> </w:t>
      </w:r>
      <w:r>
        <w:t xml:space="preserve">candidate</w:t>
      </w:r>
      <w:r>
        <w:t xml:space="preserve"> </w:t>
      </w:r>
      <w:r>
        <w:t xml:space="preserve">SQL,</w:t>
      </w:r>
      <w:r>
        <w:t xml:space="preserve"> </w:t>
      </w:r>
      <w:r>
        <w:t xml:space="preserve">experts</w:t>
      </w:r>
      <w:r>
        <w:t xml:space="preserve"> </w:t>
      </w:r>
      <w:r>
        <w:t xml:space="preserve">validate</w:t>
      </w:r>
      <w:r>
        <w:t xml:space="preserve"> </w:t>
      </w:r>
      <w:r>
        <w:t xml:space="preserve">and</w:t>
      </w:r>
      <w:r>
        <w:t xml:space="preserve"> </w:t>
      </w:r>
      <w:r>
        <w:t xml:space="preserve">correct</w:t>
      </w:r>
      <w:r>
        <w:t xml:space="preserve"> </w:t>
      </w:r>
      <w:r>
        <w:t xml:space="preserve">the</w:t>
      </w:r>
      <w:r>
        <w:t xml:space="preserve"> </w:t>
      </w:r>
      <w:r>
        <w:t xml:space="preserve">SQL,</w:t>
      </w:r>
      <w:r>
        <w:t xml:space="preserve"> </w:t>
      </w:r>
      <w:r>
        <w:t xml:space="preserve">validated</w:t>
      </w:r>
      <w:r>
        <w:t xml:space="preserve"> </w:t>
      </w:r>
      <w:r>
        <w:t xml:space="preserve">pairs</w:t>
      </w:r>
      <w:r>
        <w:t xml:space="preserve"> </w:t>
      </w:r>
      <w:r>
        <w:t xml:space="preserve">are</w:t>
      </w:r>
      <w:r>
        <w:t xml:space="preserve"> </w:t>
      </w:r>
      <w:r>
        <w:t xml:space="preserve">stored</w:t>
      </w:r>
      <w:r>
        <w:t xml:space="preserve"> </w:t>
      </w:r>
      <w:r>
        <w:t xml:space="preserve">in</w:t>
      </w:r>
      <w:r>
        <w:t xml:space="preserve"> </w:t>
      </w:r>
      <w:r>
        <w:t xml:space="preserve">organizational</w:t>
      </w:r>
      <w:r>
        <w:t xml:space="preserve"> </w:t>
      </w:r>
      <w:r>
        <w:t xml:space="preserve">memory,</w:t>
      </w:r>
      <w:r>
        <w:t xml:space="preserve"> </w:t>
      </w:r>
      <w:r>
        <w:t xml:space="preserve">future</w:t>
      </w:r>
      <w:r>
        <w:t xml:space="preserve"> </w:t>
      </w:r>
      <w:r>
        <w:t xml:space="preserve">queries</w:t>
      </w:r>
      <w:r>
        <w:t xml:space="preserve"> </w:t>
      </w:r>
      <w:r>
        <w:t xml:space="preserve">retrieve</w:t>
      </w:r>
      <w:r>
        <w:t xml:space="preserve"> </w:t>
      </w:r>
      <w:r>
        <w:t xml:space="preserve">validated</w:t>
      </w:r>
      <w:r>
        <w:t xml:space="preserve"> </w:t>
      </w:r>
      <w:r>
        <w:t xml:space="preserve">pairs,</w:t>
      </w:r>
      <w:r>
        <w:t xml:space="preserve"> </w:t>
      </w:r>
      <w:r>
        <w:t xml:space="preserve">and</w:t>
      </w:r>
      <w:r>
        <w:t xml:space="preserve"> </w:t>
      </w:r>
      <w:r>
        <w:t xml:space="preserve">knowledge</w:t>
      </w:r>
      <w:r>
        <w:t xml:space="preserve"> </w:t>
      </w:r>
      <w:r>
        <w:t xml:space="preserve">persists</w:t>
      </w:r>
      <w:r>
        <w:t xml:space="preserve"> </w:t>
      </w:r>
      <w:r>
        <w:t xml:space="preserve">independent</w:t>
      </w:r>
      <w:r>
        <w:t xml:space="preserve"> </w:t>
      </w:r>
      <w:r>
        <w:t xml:space="preserve">of</w:t>
      </w:r>
      <w:r>
        <w:t xml:space="preserve"> </w:t>
      </w:r>
      <w:r>
        <w:t xml:space="preserve">staff</w:t>
      </w:r>
      <w:r>
        <w:t xml:space="preserve"> </w:t>
      </w:r>
      <w:r>
        <w:t xml:space="preserve">tenure.</w:t>
      </w:r>
    </w:p>
    <w:p>
      <w:pPr>
        <w:pStyle w:val="Abstract"/>
      </w:pPr>
      <w:r>
        <w:rPr>
          <w:b/>
          <w:bCs/>
        </w:rPr>
        <w:t xml:space="preserve">Conclusions:</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conditions</w:t>
      </w:r>
      <w:r>
        <w:t xml:space="preserve"> </w:t>
      </w:r>
      <w:r>
        <w:t xml:space="preserve">warranting</w:t>
      </w:r>
      <w:r>
        <w:t xml:space="preserve"> </w:t>
      </w:r>
      <w:r>
        <w:t xml:space="preserve">organizational</w:t>
      </w:r>
      <w:r>
        <w:t xml:space="preserve"> </w:t>
      </w:r>
      <w:r>
        <w:t xml:space="preserve">assessment</w:t>
      </w:r>
      <w:r>
        <w:t xml:space="preserve"> </w:t>
      </w:r>
      <w:r>
        <w:t xml:space="preserve">of</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r>
        <w:t xml:space="preserve"> </w:t>
      </w:r>
      <w:r>
        <w:t xml:space="preserve">This</w:t>
      </w:r>
      <w:r>
        <w:t xml:space="preserve"> </w:t>
      </w:r>
      <w:r>
        <w:t xml:space="preserve">paper</w:t>
      </w:r>
      <w:r>
        <w:t xml:space="preserve"> </w:t>
      </w:r>
      <w:r>
        <w:t xml:space="preserve">contributes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and</w:t>
      </w:r>
      <w:r>
        <w:t xml:space="preserve"> </w:t>
      </w:r>
      <w:r>
        <w:t xml:space="preserve">positions</w:t>
      </w:r>
      <w:r>
        <w:t xml:space="preserve"> </w:t>
      </w:r>
      <w:r>
        <w:t xml:space="preserve">healthcare</w:t>
      </w:r>
      <w:r>
        <w:t xml:space="preserve"> </w:t>
      </w:r>
      <w:r>
        <w:t xml:space="preserve">conversational</w:t>
      </w:r>
      <w:r>
        <w:t xml:space="preserve"> </w:t>
      </w:r>
      <w:r>
        <w:t xml:space="preserve">AI</w:t>
      </w:r>
      <w:r>
        <w:t xml:space="preserve"> </w:t>
      </w:r>
      <w:r>
        <w:t xml:space="preserve">as</w:t>
      </w:r>
      <w:r>
        <w:t xml:space="preserve"> </w:t>
      </w:r>
      <w:r>
        <w:t xml:space="preserve">a</w:t>
      </w:r>
      <w:r>
        <w:t xml:space="preserve"> </w:t>
      </w:r>
      <w:r>
        <w:t xml:space="preserve">knowledge</w:t>
      </w:r>
      <w:r>
        <w:t xml:space="preserve"> </w:t>
      </w:r>
      <w:r>
        <w:t xml:space="preserve">portal</w:t>
      </w:r>
      <w:r>
        <w:t xml:space="preserve"> </w:t>
      </w:r>
      <w:r>
        <w:t xml:space="preserve">architecture</w:t>
      </w:r>
      <w:r>
        <w:t xml:space="preserve"> </w:t>
      </w:r>
      <w:r>
        <w:t xml:space="preserve">with</w:t>
      </w:r>
      <w:r>
        <w:t xml:space="preserve"> </w:t>
      </w:r>
      <w:r>
        <w:t xml:space="preserve">a</w:t>
      </w:r>
      <w:r>
        <w:t xml:space="preserve"> </w:t>
      </w:r>
      <w:r>
        <w:t xml:space="preserve">validated</w:t>
      </w:r>
      <w:r>
        <w:t xml:space="preserve"> </w:t>
      </w:r>
      <w:r>
        <w:t xml:space="preserve">query</w:t>
      </w:r>
      <w:r>
        <w:t xml:space="preserve"> </w:t>
      </w:r>
      <w:r>
        <w:t xml:space="preserve">cycle</w:t>
      </w:r>
      <w:r>
        <w:t xml:space="preserve"> </w:t>
      </w:r>
      <w:r>
        <w:t xml:space="preserve">mechanism</w:t>
      </w:r>
      <w:r>
        <w:t xml:space="preserve"> </w:t>
      </w:r>
      <w:r>
        <w:t xml:space="preserve">for</w:t>
      </w:r>
      <w:r>
        <w:t xml:space="preserve"> </w:t>
      </w:r>
      <w:r>
        <w:t xml:space="preserve">institutional</w:t>
      </w:r>
      <w:r>
        <w:t xml:space="preserve"> </w:t>
      </w:r>
      <w:r>
        <w:t xml:space="preserve">memory</w:t>
      </w:r>
      <w:r>
        <w:t xml:space="preserve"> </w:t>
      </w:r>
      <w:r>
        <w:t xml:space="preserve">preservation.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w:t>
      </w:r>
      <w:r>
        <w:t xml:space="preserve"> </w:t>
      </w:r>
      <w:r>
        <w:t xml:space="preserve">(</w:t>
      </w:r>
      <w:hyperlink w:anchor="ref-himss2024">
        <w:r>
          <w:rPr>
            <w:rStyle w:val="Hyperlink"/>
          </w:rPr>
          <w:t xml:space="preserve">2</w:t>
        </w:r>
      </w:hyperlink>
      <w:r>
        <w:t xml:space="preserve">)</w:t>
      </w:r>
      <w:r>
        <w:t xml:space="preserve">.</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 2004 study found healthcare IT staff turnover of 34%</w:t>
      </w:r>
      <w:r>
        <w:t xml:space="preserve"> </w:t>
      </w:r>
      <w:r>
        <w:t xml:space="preserve">(</w:t>
      </w:r>
      <w:hyperlink w:anchor="ref-ang2004">
        <w:r>
          <w:rPr>
            <w:rStyle w:val="Hyperlink"/>
          </w:rPr>
          <w:t xml:space="preserve">3</w:t>
        </w:r>
      </w:hyperlink>
      <w:r>
        <w:t xml:space="preserve">)</w:t>
      </w:r>
      <w:r>
        <w:t xml:space="preserve">, the highest rate among all IT organization types studied at that time, 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often do not possess nor have time to develop. This creates a fundamental disconnect between those who understand the clinical questions and those who can access the data to answer them</w:t>
      </w:r>
      <w:r>
        <w:t xml:space="preserve"> </w:t>
      </w:r>
      <w:r>
        <w:t xml:space="preserve">(</w:t>
      </w:r>
      <w:hyperlink w:anchor="ref-wang2018">
        <w:r>
          <w:rPr>
            <w:rStyle w:val="Hyperlink"/>
          </w:rPr>
          <w:t xml:space="preserve">4</w:t>
        </w:r>
      </w:hyperlink>
      <w:r>
        <w:t xml:space="preserve">)</w:t>
      </w:r>
      <w:r>
        <w:t xml:space="preserve">,</w:t>
      </w:r>
      <w:r>
        <w:t xml:space="preserve"> </w:t>
      </w:r>
      <w:r>
        <w:t xml:space="preserve">(</w:t>
      </w:r>
      <w:hyperlink w:anchor="ref-bardsley2016">
        <w:r>
          <w:rPr>
            <w:rStyle w:val="Hyperlink"/>
          </w:rPr>
          <w:t xml:space="preserve">5</w:t>
        </w:r>
      </w:hyperlink>
      <w:r>
        <w:t xml:space="preserve">)</w:t>
      </w:r>
      <w:r>
        <w:t xml:space="preserve">,</w:t>
      </w:r>
      <w:r>
        <w:t xml:space="preserve"> </w:t>
      </w:r>
      <w:r>
        <w:t xml:space="preserve">(</w:t>
      </w:r>
      <w:hyperlink w:anchor="ref-pesqueira2020">
        <w:r>
          <w:rPr>
            <w:rStyle w:val="Hyperlink"/>
          </w:rPr>
          <w:t xml:space="preserve">6</w:t>
        </w:r>
      </w:hyperlink>
      <w:r>
        <w:t xml:space="preserve">)</w:t>
      </w:r>
      <w:r>
        <w:t xml:space="preserve">. Drawing on principles from code modernization, AI-assisted interfaces can bridge this gap by transforming legacy technical requirements into natural language interactions</w:t>
      </w:r>
      <w:r>
        <w:t xml:space="preserve"> </w:t>
      </w:r>
      <w:r>
        <w:t xml:space="preserve">(</w:t>
      </w:r>
      <w:hyperlink w:anchor="ref-anthropic2025">
        <w:r>
          <w:rPr>
            <w:rStyle w:val="Hyperlink"/>
          </w:rPr>
          <w:t xml:space="preserve">7</w:t>
        </w:r>
      </w:hyperlink>
      <w:r>
        <w:t xml:space="preserve">)</w:t>
      </w:r>
      <w:r>
        <w:t xml:space="preserve">. Foundational research on natural language interfaces to databases established that modular architecture principles enable effective bridging of legacy data access challenges</w:t>
      </w:r>
      <w:r>
        <w:t xml:space="preserve"> </w:t>
      </w:r>
      <w:r>
        <w:t xml:space="preserve">(</w:t>
      </w:r>
      <w:hyperlink w:anchor="ref-hendrix1978">
        <w:r>
          <w:rPr>
            <w:rStyle w:val="Hyperlink"/>
          </w:rPr>
          <w:t xml:space="preserve">8</w:t>
        </w:r>
      </w:hyperlink>
      <w:r>
        <w:t xml:space="preserve">)</w:t>
      </w:r>
      <w:r>
        <w:t xml:space="preserve">, with modern implementations demonstrating that the same large language models underlying code modernization can serve as natural language interfaces to legacy systems</w:t>
      </w:r>
      <w:r>
        <w:t xml:space="preserve"> </w:t>
      </w:r>
      <w:r>
        <w:t xml:space="preserve">(</w:t>
      </w:r>
      <w:hyperlink w:anchor="ref-ogunwole2023">
        <w:r>
          <w:rPr>
            <w:rStyle w:val="Hyperlink"/>
          </w:rPr>
          <w:t xml:space="preserve">9</w:t>
        </w:r>
      </w:hyperlink>
      <w:r>
        <w:t xml:space="preserve">)</w:t>
      </w:r>
      <w:r>
        <w:t xml:space="preserve">,</w:t>
      </w:r>
      <w:r>
        <w:t xml:space="preserve"> </w:t>
      </w:r>
      <w:r>
        <w:t xml:space="preserve">(</w:t>
      </w:r>
      <w:hyperlink w:anchor="ref-arora2025">
        <w:r>
          <w:rPr>
            <w:rStyle w:val="Hyperlink"/>
          </w:rPr>
          <w:t xml:space="preserve">10</w:t>
        </w:r>
      </w:hyperlink>
      <w:r>
        <w:t xml:space="preserve">)</w:t>
      </w:r>
      <w:r>
        <w:t xml:space="preserve">.</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A 2004 study found healthcare IT staff experienced the highest turnover among IT sectors at 34% annually (calculated as 1/2.9 years average tenure), with average tenure of only 2.9 years, the lowest among IT sectors studied at that time</w:t>
      </w:r>
      <w:r>
        <w:t xml:space="preserve"> </w:t>
      </w:r>
      <w:r>
        <w:t xml:space="preserve">(</w:t>
      </w:r>
      <w:hyperlink w:anchor="ref-ang2004">
        <w:r>
          <w:rPr>
            <w:rStyle w:val="Hyperlink"/>
          </w:rPr>
          <w:t xml:space="preserve">3</w:t>
        </w:r>
      </w:hyperlink>
      <w:r>
        <w:t xml:space="preserve">)</w:t>
      </w:r>
      <w:r>
        <w:t xml:space="preserve">. This creates significant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w:t>
      </w:r>
      <w:r>
        <w:t xml:space="preserve"> </w:t>
      </w:r>
      <w:r>
        <w:t xml:space="preserve">(</w:t>
      </w:r>
      <w:hyperlink w:anchor="ref-shen2023">
        <w:r>
          <w:rPr>
            <w:rStyle w:val="Hyperlink"/>
          </w:rPr>
          <w:t xml:space="preserve">11</w:t>
        </w:r>
      </w:hyperlink>
      <w:r>
        <w:t xml:space="preserve">)</w:t>
      </w:r>
      <w:r>
        <w:t xml:space="preserve">.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12</w:t>
        </w:r>
      </w:hyperlink>
      <w:r>
        <w:t xml:space="preserve">)</w:t>
      </w:r>
      <w:r>
        <w:t xml:space="preserve">. Technical barriers remain pervasive, with 68% of healthcare organizations citing data interoperability as the leading obstacle to analytics adoption, followed by privacy concerns (64%) and insufficient staff training (59%)</w:t>
      </w:r>
      <w:r>
        <w:t xml:space="preserve"> </w:t>
      </w:r>
      <w:r>
        <w:t xml:space="preserve">(</w:t>
      </w:r>
      <w:hyperlink w:anchor="ref-khan2023">
        <w:r>
          <w:rPr>
            <w:rStyle w:val="Hyperlink"/>
          </w:rPr>
          <w:t xml:space="preserve">13</w:t>
        </w:r>
      </w:hyperlink>
      <w:r>
        <w:t xml:space="preserve">)</w:t>
      </w:r>
      <w:r>
        <w:t xml:space="preserve">. Physician technology adoption faces empirically validated barriers including perceived threat and inequity from workflow changes, directly impacting behavioral intentions toward analytics tools</w:t>
      </w:r>
      <w:r>
        <w:t xml:space="preserve"> </w:t>
      </w:r>
      <w:r>
        <w:t xml:space="preserve">(</w:t>
      </w:r>
      <w:hyperlink w:anchor="ref-lin2012">
        <w:r>
          <w:rPr>
            <w:rStyle w:val="Hyperlink"/>
          </w:rPr>
          <w:t xml:space="preserve">14</w:t>
        </w:r>
      </w:hyperlink>
      <w:r>
        <w:t xml:space="preserve">)</w:t>
      </w:r>
      <w:r>
        <w:t xml:space="preserve">.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30" w:name="contributions"/>
    <w:p>
      <w:pPr>
        <w:pStyle w:val="Heading2"/>
      </w:pPr>
      <w:r>
        <w:rPr>
          <w:rStyle w:val="SectionNumber"/>
        </w:rPr>
        <w:t xml:space="preserve">1.4</w:t>
      </w:r>
      <w:r>
        <w:tab/>
      </w:r>
      <w:r>
        <w:t xml:space="preserve">Contributions</w:t>
      </w:r>
    </w:p>
    <w:p>
      <w:pPr>
        <w:pStyle w:val="FirstParagraph"/>
      </w:pPr>
      <w:r>
        <w:t xml:space="preserve">This paper makes three contributions to the healthcare informatics literature:</w:t>
      </w:r>
    </w:p>
    <w:p>
      <w:pPr>
        <w:numPr>
          <w:ilvl w:val="0"/>
          <w:numId w:val="1003"/>
        </w:numPr>
      </w:pPr>
      <w:r>
        <w:rPr>
          <w:b/>
          <w:bCs/>
        </w:rPr>
        <w:t xml:space="preserve">Three-Pillar Analytical Framework</w:t>
      </w:r>
      <w:r>
        <w:t xml:space="preserve">: We synthesize evidence from three previously disconnected research domains (healthcare analytics maturity, workforce turnover, and natural language processing) into a unified analytical framework that reveals how these challenges interconnect and compound each other: low maturity accelerates turnover, turnover degrades maturity, and technical barriers prevent recovery from either.</w:t>
      </w:r>
    </w:p>
    <w:p>
      <w:pPr>
        <w:numPr>
          <w:ilvl w:val="0"/>
          <w:numId w:val="1003"/>
        </w:numPr>
      </w:pPr>
      <w:r>
        <w:rPr>
          <w:b/>
          <w:bCs/>
        </w:rPr>
        <w:t xml:space="preserve">Healthcare Knowledge Portal Architecture</w:t>
      </w:r>
      <w:r>
        <w:t xml:space="preserve">: Drawing on established knowledge management literature</w:t>
      </w:r>
      <w:r>
        <w:t xml:space="preserve"> </w:t>
      </w:r>
      <w:r>
        <w:t xml:space="preserve">(</w:t>
      </w:r>
      <w:hyperlink w:anchor="ref-benbya2004">
        <w:r>
          <w:rPr>
            <w:rStyle w:val="Hyperlink"/>
          </w:rPr>
          <w:t xml:space="preserve">15</w:t>
        </w:r>
      </w:hyperlink>
      <w:r>
        <w:t xml:space="preserve">,</w:t>
      </w:r>
      <w:hyperlink w:anchor="ref-richesson2007">
        <w:r>
          <w:rPr>
            <w:rStyle w:val="Hyperlink"/>
          </w:rPr>
          <w:t xml:space="preserve">16</w:t>
        </w:r>
      </w:hyperlink>
      <w:r>
        <w:t xml:space="preserve">)</w:t>
      </w:r>
      <w:r>
        <w:t xml:space="preserve">, we position conversational AI platforms as healthcare knowledge portals that preserve institutional expertise through a validated query cycle. This architecture addresses institutional memory loss through six steps: (1) domain experts ask natural language questions, (2) the system generates candidate SQL, (3) experts validate and correct the SQL, (4) validated NL+SQL pairs are stored in organizational memory, (5) future queries retrieve validated pairs, and (6) knowledge persists independent of staff tenure. Figure 1 illustrates this architecture, and Figure 2 details the validated query cycle.</w:t>
      </w:r>
    </w:p>
    <w:p>
      <w:pPr>
        <w:pStyle w:val="Compact"/>
        <w:numPr>
          <w:ilvl w:val="0"/>
          <w:numId w:val="1004"/>
        </w:numPr>
      </w:pPr>
      <w:r>
        <w:rPr>
          <w:b/>
          <w:bCs/>
        </w:rPr>
        <w:t xml:space="preserve">Convergence Thesis</w:t>
      </w:r>
      <w:r>
        <w:t xml:space="preserve">: The simultaneous occurrence of technical advances in NL2SQL, low analytics maturity, and high workforce turnover enables conversational AI to break the compounding cycle by capturing validated analytical knowledge at the point of expert interaction. Unlike traditional documentation that becomes stale, validated query pairs represent executable, tested knowledge that new staff can immediately use. This positions conversational AI not merely as a query interface but as an institutional memory preservation mechanism.</w:t>
      </w:r>
    </w:p>
    <w:bookmarkStart w:id="29" w:name="the-validated-query-cycle"/>
    <w:p>
      <w:pPr>
        <w:pStyle w:val="Heading3"/>
      </w:pPr>
      <w:r>
        <w:rPr>
          <w:rStyle w:val="SectionNumber"/>
        </w:rPr>
        <w:t xml:space="preserve">1.4.1</w:t>
      </w:r>
      <w:r>
        <w:tab/>
      </w:r>
      <w:r>
        <w:t xml:space="preserve">The Validated Query Cycle</w:t>
      </w:r>
    </w:p>
    <w:p>
      <w:pPr>
        <w:pStyle w:val="FirstParagraph"/>
      </w:pPr>
      <w:r>
        <w:t xml:space="preserve">The knowledge portal architecture preserves institutional expertise through a six-step validated query cycle (Figure 2):</w:t>
      </w:r>
    </w:p>
    <w:p>
      <w:pPr>
        <w:numPr>
          <w:ilvl w:val="0"/>
          <w:numId w:val="1005"/>
        </w:numPr>
      </w:pPr>
      <w:r>
        <w:rPr>
          <w:b/>
          <w:bCs/>
        </w:rPr>
        <w:t xml:space="preserve">Query</w:t>
      </w:r>
      <w:r>
        <w:t xml:space="preserve">: A domain expert (clinician, analyst, or administrator) asks a natural language question about organizational data, such as</w:t>
      </w:r>
      <w:r>
        <w:t xml:space="preserve"> </w:t>
      </w:r>
      <w:r>
        <w:t xml:space="preserve">“</w:t>
      </w:r>
      <w:r>
        <w:t xml:space="preserve">What was our 30-day readmission rate for heart failure patients last quarter?</w:t>
      </w:r>
      <w:r>
        <w:t xml:space="preserve">”</w:t>
      </w:r>
    </w:p>
    <w:p>
      <w:pPr>
        <w:numPr>
          <w:ilvl w:val="0"/>
          <w:numId w:val="1005"/>
        </w:numPr>
      </w:pPr>
      <w:r>
        <w:rPr>
          <w:b/>
          <w:bCs/>
        </w:rPr>
        <w:t xml:space="preserve">Generation</w:t>
      </w:r>
      <w:r>
        <w:t xml:space="preserve">: The conversational AI system generates candidate SQL code from the natural language input, leveraging healthcare ontologies and organizational schema knowledge to produce syntactically correct queries.</w:t>
      </w:r>
    </w:p>
    <w:p>
      <w:pPr>
        <w:numPr>
          <w:ilvl w:val="0"/>
          <w:numId w:val="1005"/>
        </w:numPr>
      </w:pPr>
      <w:r>
        <w:rPr>
          <w:b/>
          <w:bCs/>
        </w:rPr>
        <w:t xml:space="preserve">Validation</w:t>
      </w:r>
      <w:r>
        <w:t xml:space="preserve">: The domain expert reviews the generated SQL and its results, confirming correctness or providing corrections. This human-in-the-loop step is essential because current NL2SQL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wu2024">
        <w:r>
          <w:rPr>
            <w:rStyle w:val="Hyperlink"/>
          </w:rPr>
          <w:t xml:space="preserve">17</w:t>
        </w:r>
      </w:hyperlink>
      <w:r>
        <w:t xml:space="preserve">)</w:t>
      </w:r>
      <w:r>
        <w:t xml:space="preserve">.</w:t>
      </w:r>
    </w:p>
    <w:p>
      <w:pPr>
        <w:numPr>
          <w:ilvl w:val="0"/>
          <w:numId w:val="1005"/>
        </w:numPr>
      </w:pPr>
      <w:r>
        <w:rPr>
          <w:b/>
          <w:bCs/>
        </w:rPr>
        <w:t xml:space="preserve">Storage</w:t>
      </w:r>
      <w:r>
        <w:t xml:space="preserve">: Once validated, the NL+SQL pair is stored in organizational memory as a durable knowledge artifact. This pair represents tested, executable knowledge: a verified mapping from a business question to the correct data retrieval logic.</w:t>
      </w:r>
    </w:p>
    <w:p>
      <w:pPr>
        <w:numPr>
          <w:ilvl w:val="0"/>
          <w:numId w:val="1005"/>
        </w:numPr>
      </w:pPr>
      <w:r>
        <w:rPr>
          <w:b/>
          <w:bCs/>
        </w:rPr>
        <w:t xml:space="preserve">Retrieval</w:t>
      </w:r>
      <w:r>
        <w:t xml:space="preserve">: When future users ask similar questions, the system retrieves relevant validated pairs, either returning exact matches or using them to inform new query generation. This reduces dependence on individual expertise.</w:t>
      </w:r>
    </w:p>
    <w:p>
      <w:pPr>
        <w:numPr>
          <w:ilvl w:val="0"/>
          <w:numId w:val="1005"/>
        </w:numPr>
      </w:pPr>
      <w:r>
        <w:rPr>
          <w:b/>
          <w:bCs/>
        </w:rPr>
        <w:t xml:space="preserve">Persistence</w:t>
      </w:r>
      <w:r>
        <w:t xml:space="preserve">: When the original expert leaves the organization, their analytical knowledge remains embedded in validated query pairs. New staff inherit executable knowledge rather than starting from scratch or relying on incomplete documentation.</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9"/>
    <w:bookmarkEnd w:id="30"/>
    <w:bookmarkStart w:id="31"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four main sections. The Methodology section describes the narrative review approach, literature search strategy, and source selection criteria. The Literature Review synthesizes evidence across the three challenge domains, establishing the current state of natural language processing in healthcare, analytics maturity research, and workforce turnover impacts. The Discussion examines implications, limitations, and future research directions. Finally, the Conclusion summarizes the three-pillar analytical framework as this paper’s primary contribution to healthcare informatics literature.</w:t>
      </w:r>
    </w:p>
    <w:bookmarkEnd w:id="31"/>
    <w:bookmarkEnd w:id="32"/>
    <w:bookmarkStart w:id="39" w:name="methodology"/>
    <w:p>
      <w:pPr>
        <w:pStyle w:val="Heading1"/>
      </w:pPr>
      <w:r>
        <w:rPr>
          <w:rStyle w:val="SectionNumber"/>
        </w:rPr>
        <w:t xml:space="preserve">2</w:t>
      </w:r>
      <w:r>
        <w:tab/>
      </w:r>
      <w:r>
        <w:t xml:space="preserve">Methodology</w:t>
      </w:r>
    </w:p>
    <w:bookmarkStart w:id="33"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6"/>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6"/>
        </w:numPr>
      </w:pPr>
      <w:r>
        <w:rPr>
          <w:b/>
          <w:bCs/>
        </w:rPr>
        <w:t xml:space="preserve">Original analytical framework</w:t>
      </w:r>
      <w:r>
        <w:t xml:space="preserve">: The three-pillar framework emerged iteratively from the literature rather than being pre-specified</w:t>
      </w:r>
    </w:p>
    <w:p>
      <w:pPr>
        <w:pStyle w:val="Compact"/>
        <w:numPr>
          <w:ilvl w:val="0"/>
          <w:numId w:val="1006"/>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7"/>
        </w:numPr>
      </w:pPr>
      <w:r>
        <w:t xml:space="preserve">Crossref: Cross-disciplinary academic literature, citation metadata</w:t>
      </w:r>
    </w:p>
    <w:p>
      <w:pPr>
        <w:pStyle w:val="Compact"/>
        <w:numPr>
          <w:ilvl w:val="0"/>
          <w:numId w:val="1007"/>
        </w:numPr>
      </w:pPr>
      <w:r>
        <w:t xml:space="preserve">PubMed: Clinical informatics, healthcare workforce, medical administration</w:t>
      </w:r>
    </w:p>
    <w:p>
      <w:pPr>
        <w:pStyle w:val="Compact"/>
        <w:numPr>
          <w:ilvl w:val="0"/>
          <w:numId w:val="1007"/>
        </w:numPr>
      </w:pPr>
      <w:r>
        <w:t xml:space="preserve">arXiv: Machine learning and NLP preprints, benchmark studies</w:t>
      </w:r>
    </w:p>
    <w:p>
      <w:pPr>
        <w:pStyle w:val="Compact"/>
        <w:numPr>
          <w:ilvl w:val="0"/>
          <w:numId w:val="1007"/>
        </w:numPr>
      </w:pPr>
      <w:r>
        <w:t xml:space="preserve">Semantic Scholar: AI and computer science papers, citation analysis</w:t>
      </w:r>
    </w:p>
    <w:p>
      <w:pPr>
        <w:pStyle w:val="FirstParagraph"/>
      </w:pPr>
      <w:r>
        <w:rPr>
          <w:b/>
          <w:bCs/>
        </w:rPr>
        <w:t xml:space="preserve">Industry Sources:</w:t>
      </w:r>
    </w:p>
    <w:p>
      <w:pPr>
        <w:pStyle w:val="Compact"/>
        <w:numPr>
          <w:ilvl w:val="0"/>
          <w:numId w:val="1008"/>
        </w:numPr>
      </w:pPr>
      <w:r>
        <w:t xml:space="preserve">HIMSS: Analytics Maturity Model documentation and industry standards</w:t>
      </w:r>
    </w:p>
    <w:p>
      <w:pPr>
        <w:pStyle w:val="Compact"/>
        <w:numPr>
          <w:ilvl w:val="0"/>
          <w:numId w:val="1008"/>
        </w:numPr>
      </w:pPr>
      <w:r>
        <w:t xml:space="preserve">Healthcare providers: NHS Trust implementation case studies</w:t>
      </w:r>
    </w:p>
    <w:p>
      <w:pPr>
        <w:pStyle w:val="Compact"/>
        <w:numPr>
          <w:ilvl w:val="0"/>
          <w:numId w:val="1008"/>
        </w:numPr>
      </w:pPr>
      <w:r>
        <w:t xml:space="preserve">Market research: Precedence Research, Forrester analyst reports</w:t>
      </w:r>
    </w:p>
    <w:p>
      <w:pPr>
        <w:pStyle w:val="Compact"/>
        <w:numPr>
          <w:ilvl w:val="0"/>
          <w:numId w:val="1008"/>
        </w:numPr>
      </w:pPr>
      <w:r>
        <w:t xml:space="preserve">Technology vendors: Health Catalyst, Oracle, Anthropic technical documentation</w:t>
      </w:r>
    </w:p>
    <w:p>
      <w:pPr>
        <w:pStyle w:val="Compact"/>
        <w:numPr>
          <w:ilvl w:val="0"/>
          <w:numId w:val="1008"/>
        </w:numPr>
      </w:pPr>
      <w:r>
        <w:t xml:space="preserve">Professional associations: AHIMA/NORC workforce surveys</w:t>
      </w:r>
    </w:p>
    <w:p>
      <w:pPr>
        <w:pStyle w:val="Compact"/>
        <w:numPr>
          <w:ilvl w:val="0"/>
          <w:numId w:val="1008"/>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9"/>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9"/>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9"/>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81 academic and 11 industry sources (92 total).</w:t>
      </w:r>
    </w:p>
    <w:p>
      <w:pPr>
        <w:pStyle w:val="BodyText"/>
      </w:pPr>
      <w:r>
        <w:t xml:space="preserve">Figure 2 illustrates the literature selection process, showing progression from initial database search through screening and quality assessment to the final corpus of 92 sources.</w:t>
      </w:r>
    </w:p>
    <w:bookmarkEnd w:id="34"/>
    <w:bookmarkStart w:id="35"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5"/>
    <w:bookmarkStart w:id="36"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18</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7"/>
    <w:bookmarkStart w:id="38"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annually) derives from Ang and Slaughter’s 2004 study</w:t>
      </w:r>
      <w:r>
        <w:t xml:space="preserve"> </w:t>
      </w:r>
      <w:r>
        <w:t xml:space="preserve">(</w:t>
      </w:r>
      <w:hyperlink w:anchor="ref-ang2004">
        <w:r>
          <w:rPr>
            <w:rStyle w:val="Hyperlink"/>
          </w:rPr>
          <w:t xml:space="preserve">3</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19</w:t>
        </w:r>
      </w:hyperlink>
      <w:r>
        <w:t xml:space="preserve">)</w:t>
      </w:r>
      <w:r>
        <w:t xml:space="preserve">), no study has directly replicated the 2004 tenure measurement methodology.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43"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gaps, (2) workforce turnover and institutional memory loss, and (3) technical barriers in natural language to SQL generation. This section documents the framework’s development process and theoretical grounding.</w:t>
      </w:r>
    </w:p>
    <w:bookmarkStart w:id="40"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Dynamics</w:t>
      </w:r>
      <w:r>
        <w:t xml:space="preserve">: Human capital retention and tacit knowledge preservation</w:t>
      </w:r>
    </w:p>
    <w:p>
      <w:pPr>
        <w:pStyle w:val="Compact"/>
        <w:numPr>
          <w:ilvl w:val="1"/>
          <w:numId w:val="1015"/>
        </w:numPr>
      </w:pPr>
      <w:r>
        <w:rPr>
          <w:b/>
          <w:bCs/>
        </w:rPr>
        <w:t xml:space="preserve">Technical Barriers</w:t>
      </w:r>
      <w:r>
        <w:t xml:space="preserve">: NL2SQL capabilities and healthcare-specific implementation challenges</w:t>
      </w:r>
    </w:p>
    <w:p>
      <w:pPr>
        <w:pStyle w:val="Compact"/>
        <w:numPr>
          <w:ilvl w:val="0"/>
          <w:numId w:val="1014"/>
        </w:numPr>
      </w:pPr>
      <w:r>
        <w:rPr>
          <w:b/>
          <w:bCs/>
        </w:rPr>
        <w:t xml:space="preserve">Framework Validation</w:t>
      </w:r>
      <w:r>
        <w:t xml:space="preserve">: Pillar structure tested against all 92 sources to confirm comprehensive coverage without significant gaps</w:t>
      </w:r>
    </w:p>
    <w:bookmarkEnd w:id="40"/>
    <w:bookmarkStart w:id="41"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1"/>
    <w:bookmarkStart w:id="42"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2"/>
    <w:bookmarkEnd w:id="43"/>
    <w:bookmarkStart w:id="70" w:name="X85f1c6778b7ce1289d057c0d7f7b4fecbd614f8"/>
    <w:p>
      <w:pPr>
        <w:pStyle w:val="Heading1"/>
      </w:pPr>
      <w:r>
        <w:rPr>
          <w:rStyle w:val="SectionNumber"/>
        </w:rPr>
        <w:t xml:space="preserve">4</w:t>
      </w:r>
      <w:r>
        <w:tab/>
      </w:r>
      <w:r>
        <w:t xml:space="preserve">Literature Review: Natural Language Analytics in Healthcare - Evidence for Institutional Memory Preservation</w:t>
      </w:r>
    </w:p>
    <w:p>
      <w:pPr>
        <w:pStyle w:val="FirstParagraph"/>
      </w:pPr>
      <w:r>
        <w:t xml:space="preserve">This narrative review examines evidence supporting the implementation of natural language analytics platforms in healthcare systems. Drawing from peer-reviewed research, industry reports, and benchmark datasets identified through the methodology described in Section 2 (Methodology), we synthesize findings across three domains: natural language to SQL generation, healthcare analytics maturity, and workforce dynamics.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48" w:name="X79e53be5adb6b9863f8ca49c43cb7059ea634a1"/>
    <w:p>
      <w:pPr>
        <w:pStyle w:val="Heading2"/>
      </w:pPr>
      <w:r>
        <w:rPr>
          <w:rStyle w:val="SectionNumber"/>
        </w:rPr>
        <w:t xml:space="preserve">4.1</w:t>
      </w:r>
      <w:r>
        <w:tab/>
      </w:r>
      <w:r>
        <w:t xml:space="preserve">Current State of Natural Language to SQL Generation</w:t>
      </w:r>
    </w:p>
    <w:bookmarkStart w:id="44"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21</w:t>
        </w:r>
      </w:hyperlink>
      <w:r>
        <w:t xml:space="preserve">)</w:t>
      </w:r>
      <w:r>
        <w:t xml:space="preserve">,</w:t>
      </w:r>
      <w:r>
        <w:t xml:space="preserve"> </w:t>
      </w:r>
      <w:r>
        <w:t xml:space="preserve">(</w:t>
      </w:r>
      <w:hyperlink w:anchor="ref-openai2025">
        <w:r>
          <w:rPr>
            <w:rStyle w:val="Hyperlink"/>
          </w:rPr>
          <w:t xml:space="preserve">22</w:t>
        </w:r>
      </w:hyperlink>
      <w:r>
        <w:t xml:space="preserve">)</w:t>
      </w:r>
      <w:r>
        <w:t xml:space="preserve">, though human oversight remains recommended for clinical safety. Their work on the MIMIC-3 dataset shows that integrating medical coding steps into the text-to-SQL process improves performance over simple prompting approaches.</w:t>
      </w:r>
    </w:p>
    <w:p>
      <w:pPr>
        <w:pStyle w:val="BodyText"/>
      </w:pPr>
      <w:r>
        <w:t xml:space="preserve">Benchmarking studies from 2024</w:t>
      </w:r>
      <w:r>
        <w:t xml:space="preserve"> </w:t>
      </w:r>
      <w:r>
        <w:t xml:space="preserve">(</w:t>
      </w:r>
      <w:hyperlink w:anchor="ref-medagentbench2024">
        <w:r>
          <w:rPr>
            <w:rStyle w:val="Hyperlink"/>
          </w:rPr>
          <w:t xml:space="preserve">23</w:t>
        </w:r>
      </w:hyperlink>
      <w:r>
        <w:t xml:space="preserve">)</w:t>
      </w:r>
      <w:r>
        <w:t xml:space="preserve">,</w:t>
      </w:r>
      <w:r>
        <w:t xml:space="preserve"> </w:t>
      </w:r>
      <w:r>
        <w:t xml:space="preserve">(</w:t>
      </w:r>
      <w:hyperlink w:anchor="ref-chen2024">
        <w:r>
          <w:rPr>
            <w:rStyle w:val="Hyperlink"/>
          </w:rPr>
          <w:t xml:space="preserve">24</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69-73% accuracy on clinical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rPr>
          <w:t xml:space="preserve">21</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rPr>
          <w:t xml:space="preserve">25</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rPr>
          <w:t xml:space="preserve">22</w:t>
        </w:r>
      </w:hyperlink>
      <w:r>
        <w:t xml:space="preserve">)</w:t>
      </w:r>
      <w:r>
        <w:t xml:space="preserve">.</w:t>
      </w:r>
    </w:p>
    <w:bookmarkEnd w:id="44"/>
    <w:bookmarkStart w:id="45"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26</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27</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5"/>
    <w:bookmarkStart w:id="46"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27</w:t>
        </w:r>
      </w:hyperlink>
      <w:r>
        <w:t xml:space="preserve">)</w:t>
      </w:r>
      <w:r>
        <w:t xml:space="preserve"> </w:t>
      </w:r>
      <w:r>
        <w:t xml:space="preserve">and EHRSQL benchmark</w:t>
      </w:r>
      <w:r>
        <w:t xml:space="preserve"> </w:t>
      </w:r>
      <w:r>
        <w:t xml:space="preserve">(</w:t>
      </w:r>
      <w:hyperlink w:anchor="ref-lee2023">
        <w:r>
          <w:rPr>
            <w:rStyle w:val="Hyperlink"/>
          </w:rPr>
          <w:t xml:space="preserve">28</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29</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23</w:t>
        </w:r>
      </w:hyperlink>
      <w:r>
        <w:t xml:space="preserve">)</w:t>
      </w:r>
      <w:r>
        <w:t xml:space="preserve">,</w:t>
      </w:r>
      <w:r>
        <w:t xml:space="preserve"> </w:t>
      </w:r>
      <w:r>
        <w:t xml:space="preserve">(</w:t>
      </w:r>
      <w:hyperlink w:anchor="ref-chen2024">
        <w:r>
          <w:rPr>
            <w:rStyle w:val="Hyperlink"/>
          </w:rPr>
          <w:t xml:space="preserve">24</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30</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31</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46"/>
    <w:bookmarkStart w:id="47"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32</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32</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33</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33</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34</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35</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36</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37</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38</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39</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8</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40</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41</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9</w:t>
        </w:r>
      </w:hyperlink>
      <w:r>
        <w:t xml:space="preserve">)</w:t>
      </w:r>
      <w:r>
        <w:t xml:space="preserve">,</w:t>
      </w:r>
      <w:r>
        <w:t xml:space="preserve"> </w:t>
      </w:r>
      <w:r>
        <w:t xml:space="preserve">(</w:t>
      </w:r>
      <w:hyperlink w:anchor="ref-arora2025">
        <w:r>
          <w:rPr>
            <w:rStyle w:val="Hyperlink"/>
          </w:rPr>
          <w:t xml:space="preserve">10</w:t>
        </w:r>
      </w:hyperlink>
      <w:r>
        <w:t xml:space="preserve">)</w:t>
      </w:r>
      <w:r>
        <w:t xml:space="preserve">, suggesting that organizations investing in either capability simultaneously advance both.</w:t>
      </w:r>
    </w:p>
    <w:bookmarkEnd w:id="47"/>
    <w:bookmarkEnd w:id="48"/>
    <w:bookmarkStart w:id="53" w:name="state-of-healthcare-analytics-maturity"/>
    <w:p>
      <w:pPr>
        <w:pStyle w:val="Heading2"/>
      </w:pPr>
      <w:r>
        <w:rPr>
          <w:rStyle w:val="SectionNumber"/>
        </w:rPr>
        <w:t xml:space="preserve">4.2</w:t>
      </w:r>
      <w:r>
        <w:tab/>
      </w:r>
      <w:r>
        <w:t xml:space="preserve">State of Healthcare Analytics Maturity</w:t>
      </w:r>
    </w:p>
    <w:bookmarkStart w:id="49"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42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4</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4</w:t>
        </w:r>
      </w:hyperlink>
      <w:r>
        <w:t xml:space="preserve">)</w:t>
      </w:r>
      <w:r>
        <w:t xml:space="preserve">,</w:t>
      </w:r>
      <w:r>
        <w:t xml:space="preserve"> </w:t>
      </w:r>
      <w:r>
        <w:t xml:space="preserve">(</w:t>
      </w:r>
      <w:hyperlink w:anchor="ref-wang2017">
        <w:r>
          <w:rPr>
            <w:rStyle w:val="Hyperlink"/>
          </w:rPr>
          <w:t xml:space="preserve">43</w:t>
        </w:r>
      </w:hyperlink>
      <w:r>
        <w:t xml:space="preserve">)</w:t>
      </w:r>
      <w:r>
        <w:t xml:space="preserve">. The newly revised AMAM model shifts focus from technical capabilities to outcomes, measuring the real impact of analytics on patient care, system-wide operations, and governance.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44</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45</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w:t>
      </w:r>
    </w:p>
    <w:bookmarkEnd w:id="49"/>
    <w:bookmarkStart w:id="50"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48</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49</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50"/>
    <w:bookmarkStart w:id="51"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26</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6</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1"/>
    <w:bookmarkStart w:id="52" w:name="Xd7b008f104e4adb67a8cd8ff8bcb71d09bb7612"/>
    <w:p>
      <w:pPr>
        <w:pStyle w:val="Heading3"/>
      </w:pPr>
      <w:r>
        <w:rPr>
          <w:rStyle w:val="SectionNumber"/>
        </w:rPr>
        <w:t xml:space="preserve">4.2.4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50</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51</w:t>
        </w:r>
      </w:hyperlink>
      <w:r>
        <w:t xml:space="preserve">,</w:t>
      </w:r>
      <w:hyperlink w:anchor="ref-gokalp2023">
        <w:r>
          <w:rPr>
            <w:rStyle w:val="Hyperlink"/>
          </w:rPr>
          <w:t xml:space="preserve">52</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53</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54</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55</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56</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57</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58</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59</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60</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61</w:t>
        </w:r>
      </w:hyperlink>
      <w:r>
        <w:t xml:space="preserve">,</w:t>
      </w:r>
      <w:hyperlink w:anchor="ref-bokov2017">
        <w:r>
          <w:rPr>
            <w:rStyle w:val="Hyperlink"/>
          </w:rPr>
          <w:t xml:space="preserve">62</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63</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64</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65</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w:t>
      </w:r>
    </w:p>
    <w:bookmarkEnd w:id="52"/>
    <w:bookmarkEnd w:id="53"/>
    <w:bookmarkStart w:id="57" w:name="X033aaa01add75caa19416ed7b909f71ff5bd76d"/>
    <w:p>
      <w:pPr>
        <w:pStyle w:val="Heading2"/>
      </w:pPr>
      <w:r>
        <w:rPr>
          <w:rStyle w:val="SectionNumber"/>
        </w:rPr>
        <w:t xml:space="preserve">4.3</w:t>
      </w:r>
      <w:r>
        <w:tab/>
      </w:r>
      <w:r>
        <w:t xml:space="preserve">Healthcare Workforce Turnover and Knowledge Loss</w:t>
      </w:r>
    </w:p>
    <w:bookmarkStart w:id="54"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w:t>
      </w:r>
      <w:r>
        <w:t xml:space="preserve"> </w:t>
      </w:r>
      <w:r>
        <w:t xml:space="preserve">(</w:t>
      </w:r>
      <w:hyperlink w:anchor="ref-wu2024">
        <w:r>
          <w:rPr>
            <w:rStyle w:val="Hyperlink"/>
          </w:rPr>
          <w:t xml:space="preserve">17</w:t>
        </w:r>
      </w:hyperlink>
      <w:r>
        <w:t xml:space="preserve">)</w:t>
      </w:r>
      <w:r>
        <w:t xml:space="preserve"> </w:t>
      </w:r>
      <w:r>
        <w:t xml:space="preserve">found a pooled prevalence of nurse turnover at 18% (95% CI: 11-26%), with rates varying from 11.7% to 46.7% across different countries and settings. Ren et al.</w:t>
      </w:r>
      <w:r>
        <w:t xml:space="preserve"> </w:t>
      </w:r>
      <w:r>
        <w:t xml:space="preserve">(</w:t>
      </w:r>
      <w:hyperlink w:anchor="ref-ren2024">
        <w:r>
          <w:rPr>
            <w:rStyle w:val="Hyperlink"/>
          </w:rPr>
          <w:t xml:space="preserve">66</w:t>
        </w:r>
      </w:hyperlink>
      <w:r>
        <w:t xml:space="preserve">)</w:t>
      </w:r>
      <w:r>
        <w:t xml:space="preserve"> </w:t>
      </w:r>
      <w:r>
        <w:t xml:space="preserve">corroborated these findings with a global nurse turnover rate ranging from 8% to 36.6%, with a pooled rate of 16% (95% CI: 14-17%).</w:t>
      </w:r>
    </w:p>
    <w:p>
      <w:pPr>
        <w:pStyle w:val="BodyText"/>
      </w:pPr>
      <w:r>
        <w:t xml:space="preserve">The financial implications are substantial. Massingham</w:t>
      </w:r>
      <w:r>
        <w:t xml:space="preserve"> </w:t>
      </w:r>
      <w:r>
        <w:t xml:space="preserve">(</w:t>
      </w:r>
      <w:hyperlink w:anchor="ref-massingham2018">
        <w:r>
          <w:rPr>
            <w:rStyle w:val="Hyperlink"/>
          </w:rPr>
          <w:t xml:space="preserve">67</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rPr>
          <w:t xml:space="preserve">68</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rPr>
          <w:t xml:space="preserve">69</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rPr>
          <w:t xml:space="preserve">70</w:t>
        </w:r>
      </w:hyperlink>
      <w:r>
        <w:t xml:space="preserve">)</w:t>
      </w:r>
      <w:r>
        <w:t xml:space="preserve">. Vendor analysis from Oracle</w:t>
      </w:r>
      <w:r>
        <w:t xml:space="preserve"> </w:t>
      </w:r>
      <w:r>
        <w:t xml:space="preserve">(</w:t>
      </w:r>
      <w:hyperlink w:anchor="ref-oracle2024">
        <w:r>
          <w:rPr>
            <w:rStyle w:val="Hyperlink"/>
          </w:rPr>
          <w:t xml:space="preserve">71</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even more severe turnover challenges. In their 2004 study, Ang and Slaughter</w:t>
      </w:r>
      <w:r>
        <w:t xml:space="preserve"> </w:t>
      </w:r>
      <w:r>
        <w:t xml:space="preserve">(</w:t>
      </w:r>
      <w:hyperlink w:anchor="ref-ang2004">
        <w:r>
          <w:rPr>
            <w:rStyle w:val="Hyperlink"/>
          </w:rPr>
          <w:t xml:space="preserve">3</w:t>
        </w:r>
      </w:hyperlink>
      <w:r>
        <w:t xml:space="preserve">)</w:t>
      </w:r>
      <w:r>
        <w:t xml:space="preserve"> </w:t>
      </w:r>
      <w:r>
        <w:t xml:space="preserve">found that IT professionals at healthcare provider institutions (where IT serves as a support function rather than core business) had average tenure of just 2.9 years, implying annual turnover of 34% (calculated as 1/2.9 years), the highest rate among all IT organization types studied at that time. This compared unfavorably to the 9.68-year average for IT managerial positions overall. While this data is now two decades old, contemporary evidence suggests the turnover challenge persists or has worsened. A 2025 analysis of nationally representative US survey data (n=44,732) found that 55% of public health informatics specialists intended to leave their positions</w:t>
      </w:r>
      <w:r>
        <w:t xml:space="preserve"> </w:t>
      </w:r>
      <w:r>
        <w:t xml:space="preserve">(</w:t>
      </w:r>
      <w:hyperlink w:anchor="ref-rajamani2025">
        <w:r>
          <w:rPr>
            <w:rStyle w:val="Hyperlink"/>
          </w:rPr>
          <w:t xml:space="preserve">19</w:t>
        </w:r>
      </w:hyperlink>
      <w:r>
        <w:t xml:space="preserve">)</w:t>
      </w:r>
      <w:r>
        <w:t xml:space="preserve">. The 2023 AHIMA/NORC workforce survey found that 66% of health information professionals report persistent staffing shortages, with 83% witnessing increased unfilled positions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72</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73</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74</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75</w:t>
        </w:r>
      </w:hyperlink>
      <w:r>
        <w:t xml:space="preserve">)</w:t>
      </w:r>
      <w:r>
        <w:t xml:space="preserve">. Combined with the 2.9-year average tenure, healthcare IT professionals may operate at full productivity for only approximately two years before departing,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w:t>
      </w:r>
      <w:r>
        <w:t xml:space="preserve"> </w:t>
      </w:r>
      <w:r>
        <w:t xml:space="preserve">(</w:t>
      </w:r>
      <w:hyperlink w:anchor="ref-rangachari2020">
        <w:r>
          <w:rPr>
            <w:rStyle w:val="Hyperlink"/>
          </w:rPr>
          <w:t xml:space="preserve">76</w:t>
        </w:r>
      </w:hyperlink>
      <w:r>
        <w:t xml:space="preserve">)</w:t>
      </w:r>
      <w:r>
        <w:t xml:space="preserve">. Empirical studies demonstrate that nursing unit turnover reduces workgroup learning and is associated with increased patient falls, medication errors, and reduced patient satisfaction</w:t>
      </w:r>
      <w:r>
        <w:t xml:space="preserve"> </w:t>
      </w:r>
      <w:r>
        <w:t xml:space="preserve">(</w:t>
      </w:r>
      <w:hyperlink w:anchor="ref-bae2010">
        <w:r>
          <w:rPr>
            <w:rStyle w:val="Hyperlink"/>
          </w:rPr>
          <w:t xml:space="preserve">77</w:t>
        </w:r>
      </w:hyperlink>
      <w:r>
        <w:t xml:space="preserve">)</w:t>
      </w:r>
      <w:r>
        <w:t xml:space="preserve">. International evidence links high workforce turnover to poorer continuity of care, particularly in remote health services, with measurable outcomes including increased hospitalizations and years of life lost</w:t>
      </w:r>
      <w:r>
        <w:t xml:space="preserve"> </w:t>
      </w:r>
      <w:r>
        <w:t xml:space="preserve">(</w:t>
      </w:r>
      <w:hyperlink w:anchor="ref-wakerman2019">
        <w:r>
          <w:rPr>
            <w:rStyle w:val="Hyperlink"/>
          </w:rPr>
          <w:t xml:space="preserve">78</w:t>
        </w:r>
      </w:hyperlink>
      <w:r>
        <w:t xml:space="preserve">)</w:t>
      </w:r>
      <w:r>
        <w:t xml:space="preserve">.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w:t>
      </w:r>
      <w:r>
        <w:t xml:space="preserve"> </w:t>
      </w:r>
      <w:r>
        <w:t xml:space="preserve">(</w:t>
      </w:r>
      <w:hyperlink w:anchor="ref-lahaie2005">
        <w:r>
          <w:rPr>
            <w:rStyle w:val="Hyperlink"/>
          </w:rPr>
          <w:t xml:space="preserve">79</w:t>
        </w:r>
      </w:hyperlink>
      <w:r>
        <w:t xml:space="preserve">)</w:t>
      </w:r>
      <w:r>
        <w:t xml:space="preserve">.</w:t>
      </w:r>
    </w:p>
    <w:bookmarkEnd w:id="54"/>
    <w:bookmarkStart w:id="55"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80</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81</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82</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83</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84</w:t>
        </w:r>
      </w:hyperlink>
      <w:r>
        <w:t xml:space="preserve">)</w:t>
      </w:r>
      <w:r>
        <w:t xml:space="preserve">.</w:t>
      </w:r>
    </w:p>
    <w:bookmarkEnd w:id="55"/>
    <w:bookmarkStart w:id="56"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mayo2016">
        <w:r>
          <w:rPr>
            <w:rStyle w:val="Hyperlink"/>
          </w:rPr>
          <w:t xml:space="preserve">80</w:t>
        </w:r>
      </w:hyperlink>
      <w:r>
        <w:t xml:space="preserve">,</w:t>
      </w:r>
      <w:hyperlink w:anchor="ref-shahbaz2019">
        <w:r>
          <w:rPr>
            <w:rStyle w:val="Hyperlink"/>
          </w:rPr>
          <w:t xml:space="preserve">85</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85</w:t>
        </w:r>
      </w:hyperlink>
      <w:r>
        <w:t xml:space="preserve">)</w:t>
      </w:r>
    </w:p>
    <w:p>
      <w:pPr>
        <w:pStyle w:val="Compact"/>
        <w:numPr>
          <w:ilvl w:val="0"/>
          <w:numId w:val="1017"/>
        </w:numPr>
      </w:pPr>
      <w:r>
        <w:t xml:space="preserve">Person-to-person knowledge transfer fails during rapid turnover cycles</w:t>
      </w:r>
    </w:p>
    <w:bookmarkEnd w:id="56"/>
    <w:bookmarkEnd w:id="57"/>
    <w:bookmarkStart w:id="61" w:name="X4fcdb465b5d130fc136a191f4ad96d06b004362"/>
    <w:p>
      <w:pPr>
        <w:pStyle w:val="Heading2"/>
      </w:pPr>
      <w:r>
        <w:rPr>
          <w:rStyle w:val="SectionNumber"/>
        </w:rPr>
        <w:t xml:space="preserve">4.4</w:t>
      </w:r>
      <w:r>
        <w:tab/>
      </w:r>
      <w:r>
        <w:t xml:space="preserve">Integration of Evidence: The Case for Conversational AI</w:t>
      </w:r>
    </w:p>
    <w:bookmarkStart w:id="58"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8"/>
    <w:bookmarkStart w:id="59" w:name="knowledge-preservation-mechanisms"/>
    <w:p>
      <w:pPr>
        <w:pStyle w:val="Heading3"/>
      </w:pPr>
      <w:r>
        <w:rPr>
          <w:rStyle w:val="SectionNumber"/>
        </w:rPr>
        <w:t xml:space="preserve">4.4.2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9"/>
    <w:bookmarkStart w:id="60"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w:t>
      </w:r>
      <w:r>
        <w:t xml:space="preserve"> </w:t>
      </w:r>
      <w:r>
        <w:t xml:space="preserve">(</w:t>
      </w:r>
      <w:hyperlink w:anchor="ref-milneives2020">
        <w:r>
          <w:rPr>
            <w:rStyle w:val="Hyperlink"/>
          </w:rPr>
          <w:t xml:space="preserve">86</w:t>
        </w:r>
      </w:hyperlink>
      <w:r>
        <w:t xml:space="preserve">)</w:t>
      </w:r>
      <w:r>
        <w:t xml:space="preserve"> </w:t>
      </w:r>
      <w:r>
        <w:t xml:space="preserve">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87</w:t>
        </w:r>
      </w:hyperlink>
      <w:r>
        <w:t xml:space="preserve">)</w:t>
      </w:r>
      <w:r>
        <w:t xml:space="preserve">. Real-world validation at scale comes from a study of conversational AI across nine NHS mental health services involving 64,862 patients, demonstrating reduced clinician assessment time, shorter patient wait times, and lower dropout rates</w:t>
      </w:r>
      <w:r>
        <w:t xml:space="preserve"> </w:t>
      </w:r>
      <w:r>
        <w:t xml:space="preserve">(</w:t>
      </w:r>
      <w:hyperlink w:anchor="ref-rollwage2023">
        <w:r>
          <w:rPr>
            <w:rStyle w:val="Hyperlink"/>
          </w:rPr>
          <w:t xml:space="preserve">88</w:t>
        </w:r>
      </w:hyperlink>
      <w:r>
        <w:t xml:space="preserve">)</w:t>
      </w:r>
      <w:r>
        <w:t xml:space="preserve">. On the clinical AI side, Sezgin et al.</w:t>
      </w:r>
      <w:r>
        <w:t xml:space="preserve"> </w:t>
      </w:r>
      <w:r>
        <w:t xml:space="preserve">(</w:t>
      </w:r>
      <w:hyperlink w:anchor="ref-sezgin2022">
        <w:r>
          <w:rPr>
            <w:rStyle w:val="Hyperlink"/>
          </w:rPr>
          <w:t xml:space="preserve">89</w:t>
        </w:r>
      </w:hyperlink>
      <w:r>
        <w:t xml:space="preserve">)</w:t>
      </w:r>
      <w:r>
        <w:t xml:space="preserve"> </w:t>
      </w:r>
      <w:r>
        <w:t xml:space="preserve">demonstrated that GPT-3-powered chatbots can reduce overhead at clinics, while Jiao et al.</w:t>
      </w:r>
      <w:r>
        <w:t xml:space="preserve"> </w:t>
      </w:r>
      <w:r>
        <w:t xml:space="preserve">(</w:t>
      </w:r>
      <w:hyperlink w:anchor="ref-jiao2023">
        <w:r>
          <w:rPr>
            <w:rStyle w:val="Hyperlink"/>
          </w:rPr>
          <w:t xml:space="preserve">90</w:t>
        </w:r>
      </w:hyperlink>
      <w:r>
        <w:t xml:space="preserve">)</w:t>
      </w:r>
      <w:r>
        <w:t xml:space="preserve"> </w:t>
      </w:r>
      <w:r>
        <w:t xml:space="preserve">found AI adoption leads to cost savings through improved service delivery and shorter hospitalization lengths. Dai and Abramoff</w:t>
      </w:r>
      <w:r>
        <w:t xml:space="preserve"> </w:t>
      </w:r>
      <w:r>
        <w:t xml:space="preserve">(</w:t>
      </w:r>
      <w:hyperlink w:anchor="ref-dai2023">
        <w:r>
          <w:rPr>
            <w:rStyle w:val="Hyperlink"/>
          </w:rPr>
          <w:t xml:space="preserve">91</w:t>
        </w:r>
      </w:hyperlink>
      <w:r>
        <w:t xml:space="preserve">)</w:t>
      </w:r>
      <w:r>
        <w:t xml:space="preserve"> </w:t>
      </w:r>
      <w:r>
        <w:t xml:space="preserve">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w:t>
      </w:r>
      <w:r>
        <w:t xml:space="preserve"> </w:t>
      </w:r>
      <w:r>
        <w:t xml:space="preserve">(</w:t>
      </w:r>
      <w:hyperlink w:anchor="ref-berkshire2024">
        <w:r>
          <w:rPr>
            <w:rStyle w:val="Hyperlink"/>
          </w:rPr>
          <w:t xml:space="preserve">92</w:t>
        </w:r>
      </w:hyperlink>
      <w:r>
        <w:t xml:space="preserve">)</w:t>
      </w:r>
      <w:r>
        <w:t xml:space="preserve"> </w:t>
      </w:r>
      <w:r>
        <w:t xml:space="preserve">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w:t>
      </w:r>
      <w:r>
        <w:t xml:space="preserve"> </w:t>
      </w:r>
      <w:r>
        <w:t xml:space="preserve">(</w:t>
      </w:r>
      <w:hyperlink w:anchor="ref-elkamouchi2023">
        <w:r>
          <w:rPr>
            <w:rStyle w:val="Hyperlink"/>
          </w:rPr>
          <w:t xml:space="preserve">93</w:t>
        </w:r>
      </w:hyperlink>
      <w:r>
        <w:t xml:space="preserve">)</w:t>
      </w:r>
      <w:r>
        <w:t xml:space="preserve">. Controlled experiments quantify these benefits: a comparative study of traditional versus low-code development for a healthcare cognitive rehabilitation system found low-code required 47.5 hours versus 888 hours for traditional development, representing a 94.63% reduction in effort</w:t>
      </w:r>
      <w:r>
        <w:t xml:space="preserve"> </w:t>
      </w:r>
      <w:r>
        <w:t xml:space="preserve">(</w:t>
      </w:r>
      <w:hyperlink w:anchor="ref-aveiro2023">
        <w:r>
          <w:rPr>
            <w:rStyle w:val="Hyperlink"/>
          </w:rPr>
          <w:t xml:space="preserve">94</w:t>
        </w:r>
      </w:hyperlink>
      <w:r>
        <w:t xml:space="preserve">)</w:t>
      </w:r>
      <w:r>
        <w:t xml:space="preserve">. Industry-sponsored research from Forrester</w:t>
      </w:r>
      <w:r>
        <w:t xml:space="preserve"> </w:t>
      </w:r>
      <w:r>
        <w:t xml:space="preserve">(</w:t>
      </w:r>
      <w:hyperlink w:anchor="ref-forrester2024">
        <w:r>
          <w:rPr>
            <w:rStyle w:val="Hyperlink"/>
          </w:rPr>
          <w:t xml:space="preserve">95</w:t>
        </w:r>
      </w:hyperlink>
      <w:r>
        <w:t xml:space="preserve">)</w:t>
      </w:r>
      <w:r>
        <w:t xml:space="preserve"> </w:t>
      </w:r>
      <w:r>
        <w:t xml:space="preserve">projects 206% three-year ROI from low-code implementations; peer-reviewed studies report similar findings, with healthcare institutions achieving 177% ROI over 36 months while reducing development time by 67% and technical resource requirements by 58%</w:t>
      </w:r>
      <w:r>
        <w:t xml:space="preserve"> </w:t>
      </w:r>
      <w:r>
        <w:t xml:space="preserve">(</w:t>
      </w:r>
      <w:hyperlink w:anchor="ref-mogili2025">
        <w:r>
          <w:rPr>
            <w:rStyle w:val="Hyperlink"/>
          </w:rPr>
          <w:t xml:space="preserve">96</w:t>
        </w:r>
      </w:hyperlink>
      <w:r>
        <w:t xml:space="preserve">)</w:t>
      </w:r>
      <w:r>
        <w:t xml:space="preserve">, and small healthcare clinics achieving 250% cumulative ROI over three years</w:t>
      </w:r>
      <w:r>
        <w:t xml:space="preserve"> </w:t>
      </w:r>
      <w:r>
        <w:t xml:space="preserve">(</w:t>
      </w:r>
      <w:hyperlink w:anchor="ref-pervaiz2025">
        <w:r>
          <w:rPr>
            <w:rStyle w:val="Hyperlink"/>
          </w:rPr>
          <w:t xml:space="preserve">97</w:t>
        </w:r>
      </w:hyperlink>
      <w:r>
        <w:t xml:space="preserve">)</w:t>
      </w:r>
      <w:r>
        <w:t xml:space="preserve">.</w:t>
      </w:r>
    </w:p>
    <w:p>
      <w:pPr>
        <w:pStyle w:val="BodyText"/>
      </w:pPr>
      <w:r>
        <w:t xml:space="preserve">Healthcare-specific studies show concrete benefits across both approaches: Pennington</w:t>
      </w:r>
      <w:r>
        <w:t xml:space="preserve"> </w:t>
      </w:r>
      <w:r>
        <w:t xml:space="preserve">(</w:t>
      </w:r>
      <w:hyperlink w:anchor="ref-pennington2023">
        <w:r>
          <w:rPr>
            <w:rStyle w:val="Hyperlink"/>
          </w:rPr>
          <w:t xml:space="preserve">98</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99</w:t>
        </w:r>
      </w:hyperlink>
      <w:r>
        <w:t xml:space="preserve">)</w:t>
      </w:r>
      <w:r>
        <w:t xml:space="preserve"> </w:t>
      </w:r>
      <w:r>
        <w:t xml:space="preserve">documented how low-code platforms enable non-technical staff to build applications, leading to efficiency gains. Rapid application development using low-code characteristics enabled an mHealth app for COVID-19 remote care that saved 2,822 hospital bed-days for 400 enrolled patients</w:t>
      </w:r>
      <w:r>
        <w:t xml:space="preserve"> </w:t>
      </w:r>
      <w:r>
        <w:t xml:space="preserve">(</w:t>
      </w:r>
      <w:hyperlink w:anchor="ref-tan2023">
        <w:r>
          <w:rPr>
            <w:rStyle w:val="Hyperlink"/>
          </w:rPr>
          <w:t xml:space="preserve">100</w:t>
        </w:r>
      </w:hyperlink>
      <w:r>
        <w:t xml:space="preserve">)</w:t>
      </w:r>
      <w:r>
        <w:t xml:space="preserve">. These findings collectively demonstrate that technologies enabling non-technical users to interact with complex systems, whether through visual interfaces or natural language, produce measurable organizational benefits.</w:t>
      </w:r>
    </w:p>
    <w:bookmarkEnd w:id="60"/>
    <w:bookmarkEnd w:id="61"/>
    <w:bookmarkStart w:id="65" w:name="Xe532debb859e62ad2038db373f15ff8608a8c3a"/>
    <w:p>
      <w:pPr>
        <w:pStyle w:val="Heading2"/>
      </w:pPr>
      <w:r>
        <w:rPr>
          <w:rStyle w:val="SectionNumber"/>
        </w:rPr>
        <w:t xml:space="preserve">4.5</w:t>
      </w:r>
      <w:r>
        <w:tab/>
      </w:r>
      <w:r>
        <w:t xml:space="preserve">Implications for Healthcare Organizations</w:t>
      </w:r>
    </w:p>
    <w:bookmarkStart w:id="62" w:name="strategic-alignment-with-industry-trends"/>
    <w:p>
      <w:pPr>
        <w:pStyle w:val="Heading3"/>
      </w:pPr>
      <w:r>
        <w:rPr>
          <w:rStyle w:val="SectionNumber"/>
        </w:rPr>
        <w:t xml:space="preserve">4.5.1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62"/>
    <w:bookmarkStart w:id="63" w:name="return-on-investment-evidence"/>
    <w:p>
      <w:pPr>
        <w:pStyle w:val="Heading3"/>
      </w:pPr>
      <w:r>
        <w:rPr>
          <w:rStyle w:val="SectionNumber"/>
        </w:rPr>
        <w:t xml:space="preserve">4.5.2</w:t>
      </w:r>
      <w:r>
        <w:tab/>
      </w:r>
      <w:r>
        <w:t xml:space="preserve">Return on Investment Evidence</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90</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98</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89</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95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93</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96</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97</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101</w:t>
        </w:r>
      </w:hyperlink>
      <w:r>
        <w:t xml:space="preserve">)</w:t>
      </w:r>
      <w:r>
        <w:t xml:space="preserve"> </w:t>
      </w:r>
      <w:r>
        <w:t xml:space="preserve">projects the healthcare analytics market to grow from $64.49 billion in 2025 to $369.66 billion by 2034 (21.41% CAGR).</w:t>
      </w:r>
    </w:p>
    <w:bookmarkEnd w:id="63"/>
    <w:bookmarkStart w:id="64" w:name="Xe6fa002d43c62898b44d68560b42a19c9fcb56d"/>
    <w:p>
      <w:pPr>
        <w:pStyle w:val="Heading3"/>
      </w:pPr>
      <w:r>
        <w:rPr>
          <w:rStyle w:val="SectionNumber"/>
        </w:rPr>
        <w:t xml:space="preserve">4.5.3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102</w:t>
        </w:r>
      </w:hyperlink>
      <w:r>
        <w:t xml:space="preserve">)</w:t>
      </w:r>
      <w:r>
        <w:t xml:space="preserve">. Recent research demonstrates that AI tools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103</w:t>
        </w:r>
      </w:hyperlink>
      <w:r>
        <w:t xml:space="preserve">)</w:t>
      </w:r>
      <w:r>
        <w:t xml:space="preserve">. This theoretical foundation supports embedding organizational knowledge in systems rather than individuals, ensuring continuity despite workforce turnover.</w:t>
      </w:r>
    </w:p>
    <w:bookmarkEnd w:id="64"/>
    <w:bookmarkEnd w:id="65"/>
    <w:bookmarkStart w:id="66"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33</w:t>
        </w:r>
      </w:hyperlink>
      <w:r>
        <w:t xml:space="preserve">)</w:t>
      </w:r>
      <w:r>
        <w:t xml:space="preserve">,</w:t>
      </w:r>
      <w:r>
        <w:t xml:space="preserve"> </w:t>
      </w:r>
      <w:r>
        <w:t xml:space="preserve">(</w:t>
      </w:r>
      <w:hyperlink w:anchor="ref-dadi2025">
        <w:r>
          <w:rPr>
            <w:rStyle w:val="Hyperlink"/>
          </w:rPr>
          <w:t xml:space="preserve">32</w:t>
        </w:r>
      </w:hyperlink>
      <w:r>
        <w:t xml:space="preserve">)</w:t>
      </w:r>
      <w:r>
        <w:t xml:space="preserve">,</w:t>
      </w:r>
      <w:r>
        <w:t xml:space="preserve"> </w:t>
      </w:r>
      <w:r>
        <w:t xml:space="preserve">(</w:t>
      </w:r>
      <w:hyperlink w:anchor="ref-shah2020">
        <w:r>
          <w:rPr>
            <w:rStyle w:val="Hyperlink"/>
          </w:rPr>
          <w:t xml:space="preserve">36</w:t>
        </w:r>
      </w:hyperlink>
      <w:r>
        <w:t xml:space="preserve">)</w:t>
      </w:r>
      <w:r>
        <w:t xml:space="preserve">,</w:t>
      </w:r>
      <w:r>
        <w:t xml:space="preserve"> </w:t>
      </w:r>
      <w:r>
        <w:t xml:space="preserve">(</w:t>
      </w:r>
      <w:hyperlink w:anchor="ref-ipeirotis2025">
        <w:r>
          <w:rPr>
            <w:rStyle w:val="Hyperlink"/>
          </w:rPr>
          <w:t xml:space="preserve">35</w:t>
        </w:r>
      </w:hyperlink>
      <w:r>
        <w:t xml:space="preserve">)</w:t>
      </w:r>
      <w:r>
        <w:t xml:space="preserve">), longitudinal studies tracking sustained productivity improvements over multiple years remain limited</w:t>
      </w:r>
    </w:p>
    <w:bookmarkEnd w:id="66"/>
    <w:bookmarkStart w:id="69"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7"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16</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104</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105</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106</w:t>
        </w:r>
      </w:hyperlink>
      <w:r>
        <w:t xml:space="preserve">)</w:t>
      </w:r>
      <w:r>
        <w:t xml:space="preserve">.</w:t>
      </w:r>
    </w:p>
    <w:p>
      <w:pPr>
        <w:pStyle w:val="BodyText"/>
      </w:pPr>
      <w:r>
        <w:t xml:space="preserve">High-profile industry events illustrate these documented challenges. IBM divested its Watson Health data and analytics assets in 2022</w:t>
      </w:r>
      <w:r>
        <w:t xml:space="preserve"> </w:t>
      </w:r>
      <w:r>
        <w:t xml:space="preserve">(</w:t>
      </w:r>
      <w:hyperlink w:anchor="ref-ibm2022">
        <w:r>
          <w:rPr>
            <w:rStyle w:val="Hyperlink"/>
          </w:rPr>
          <w:t xml:space="preserve">107</w:t>
        </w:r>
      </w:hyperlink>
      <w:r>
        <w:t xml:space="preserve">)</w:t>
      </w:r>
      <w:r>
        <w:t xml:space="preserve">, and the Haven healthcare venture (backed by Amazon, Berkshire Hathaway, and JPMorgan Chase) disbanded in 2021 after three years</w:t>
      </w:r>
      <w:r>
        <w:t xml:space="preserve"> </w:t>
      </w:r>
      <w:r>
        <w:t xml:space="preserve">(</w:t>
      </w:r>
      <w:hyperlink w:anchor="ref-lavito2021">
        <w:r>
          <w:rPr>
            <w:rStyle w:val="Hyperlink"/>
          </w:rPr>
          <w:t xml:space="preserve">108</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7"/>
    <w:bookmarkStart w:id="68"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8"/>
    <w:bookmarkEnd w:id="69"/>
    <w:bookmarkEnd w:id="70"/>
    <w:bookmarkStart w:id="93" w:name="discussion"/>
    <w:p>
      <w:pPr>
        <w:pStyle w:val="Heading1"/>
      </w:pPr>
      <w:r>
        <w:rPr>
          <w:rStyle w:val="SectionNumber"/>
        </w:rPr>
        <w:t xml:space="preserve">5</w:t>
      </w:r>
      <w:r>
        <w:tab/>
      </w:r>
      <w:r>
        <w:t xml:space="preserve">Discussion</w:t>
      </w:r>
    </w:p>
    <w:bookmarkStart w:id="76" w:name="strengths-of-the-evidence-base"/>
    <w:p>
      <w:pPr>
        <w:pStyle w:val="Heading2"/>
      </w:pPr>
      <w:r>
        <w:rPr>
          <w:rStyle w:val="SectionNumber"/>
        </w:rPr>
        <w:t xml:space="preserve">5.1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71"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23</w:t>
        </w:r>
      </w:hyperlink>
      <w:r>
        <w:t xml:space="preserve">)</w:t>
      </w:r>
      <w:r>
        <w:t xml:space="preserve"> </w:t>
      </w:r>
      <w:r>
        <w:t xml:space="preserve">and comprehensive medical LLM evaluations</w:t>
      </w:r>
      <w:r>
        <w:t xml:space="preserve"> </w:t>
      </w:r>
      <w:r>
        <w:t xml:space="preserve">(</w:t>
      </w:r>
      <w:hyperlink w:anchor="ref-chen2024">
        <w:r>
          <w:rPr>
            <w:rStyle w:val="Hyperlink"/>
          </w:rPr>
          <w:t xml:space="preserve">24</w:t>
        </w:r>
      </w:hyperlink>
      <w:r>
        <w:t xml:space="preserve">)</w:t>
      </w:r>
      <w:r>
        <w:t xml:space="preserve"> </w:t>
      </w:r>
      <w:r>
        <w:t xml:space="preserve">offer reproducible, quantitative performance metrics.</w:t>
      </w:r>
    </w:p>
    <w:bookmarkEnd w:id="71"/>
    <w:bookmarkStart w:id="72"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w:t>
      </w:r>
      <w:r>
        <w:t xml:space="preserve"> </w:t>
      </w:r>
      <w:r>
        <w:t xml:space="preserve">(</w:t>
      </w:r>
      <w:hyperlink w:anchor="ref-berkshire2024">
        <w:r>
          <w:rPr>
            <w:rStyle w:val="Hyperlink"/>
          </w:rPr>
          <w:t xml:space="preserve">92</w:t>
        </w:r>
      </w:hyperlink>
      <w:r>
        <w:t xml:space="preserve">)</w:t>
      </w:r>
      <w:r>
        <w:t xml:space="preserve"> </w:t>
      </w:r>
      <w:r>
        <w:t xml:space="preserve">demonstrates successful low-code adoption in healthcare, with over 800 citizen developers creating solutions. This provides concrete evidence that non-technical healthcare professionals can effectively use these platforms.</w:t>
      </w:r>
    </w:p>
    <w:bookmarkEnd w:id="72"/>
    <w:bookmarkStart w:id="73" w:name="X4bdb3f96981e95785fd307c52a030d26fb6f97c"/>
    <w:p>
      <w:pPr>
        <w:pStyle w:val="Heading3"/>
      </w:pPr>
      <w:r>
        <w:rPr>
          <w:rStyle w:val="SectionNumber"/>
        </w:rPr>
        <w:t xml:space="preserve">5.1.3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73"/>
    <w:bookmarkStart w:id="74"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95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101</w:t>
        </w:r>
      </w:hyperlink>
      <w:r>
        <w:t xml:space="preserve">)</w:t>
      </w:r>
      <w:r>
        <w:t xml:space="preserve"> </w:t>
      </w:r>
      <w:r>
        <w:t xml:space="preserve">showing the healthcare analytics market expanding from $64.49B to $369.66B by 2034 indicate sustained investment demand.</w:t>
      </w:r>
    </w:p>
    <w:bookmarkEnd w:id="74"/>
    <w:bookmarkStart w:id="75"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3</w:t>
        </w:r>
      </w:hyperlink>
      <w:r>
        <w:t xml:space="preserve">,</w:t>
      </w:r>
      <w:hyperlink w:anchor="ref-chen2024">
        <w:r>
          <w:rPr>
            <w:rStyle w:val="Hyperlink"/>
          </w:rPr>
          <w:t xml:space="preserve">24</w:t>
        </w:r>
      </w:hyperlink>
      <w:r>
        <w:t xml:space="preserve">)</w:t>
      </w:r>
      <w:r>
        <w:t xml:space="preserve"> </w:t>
      </w:r>
      <w:r>
        <w:t xml:space="preserve">show significant gaps between benchmark performance and clinical readiness. This honest assessment enables appropriate implementation strategies.</w:t>
      </w:r>
    </w:p>
    <w:bookmarkEnd w:id="75"/>
    <w:bookmarkEnd w:id="76"/>
    <w:bookmarkStart w:id="83"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7"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7</w:t>
        </w:r>
      </w:hyperlink>
      <w:r>
        <w:t xml:space="preserve">)</w:t>
      </w:r>
      <w:r>
        <w:t xml:space="preserve">.</w:t>
      </w:r>
    </w:p>
    <w:bookmarkEnd w:id="77"/>
    <w:bookmarkStart w:id="78"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8"/>
    <w:bookmarkStart w:id="79"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9"/>
    <w:bookmarkStart w:id="80"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80"/>
    <w:bookmarkStart w:id="81"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1"/>
    <w:bookmarkStart w:id="82"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2"/>
    <w:bookmarkEnd w:id="83"/>
    <w:bookmarkStart w:id="87"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4"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bookmarkEnd w:id="84"/>
    <w:bookmarkStart w:id="85"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5"/>
    <w:bookmarkStart w:id="86"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6"/>
    <w:bookmarkEnd w:id="87"/>
    <w:bookmarkStart w:id="88" w:name="Xb28db599795f81a8c1159f5d4e6c41f02ee90f6"/>
    <w:p>
      <w:pPr>
        <w:pStyle w:val="Heading2"/>
      </w:pPr>
      <w:r>
        <w:rPr>
          <w:rStyle w:val="SectionNumber"/>
        </w:rPr>
        <w:t xml:space="preserve">5.4</w:t>
      </w:r>
      <w:r>
        <w:tab/>
      </w:r>
      <w:r>
        <w:t xml:space="preserve">The Validated Query Cycle as Knowledge Preservation</w:t>
      </w:r>
    </w:p>
    <w:p>
      <w:pPr>
        <w:pStyle w:val="FirstParagraph"/>
      </w:pPr>
      <w:r>
        <w:t xml:space="preserve">The validated query cycle introduced in this paper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End w:id="88"/>
    <w:bookmarkStart w:id="92" w:name="X655f7faf8ada965dcdcaa0e7f463cb4a3ee5bd1"/>
    <w:p>
      <w:pPr>
        <w:pStyle w:val="Heading2"/>
      </w:pPr>
      <w:r>
        <w:rPr>
          <w:rStyle w:val="SectionNumber"/>
        </w:rPr>
        <w:t xml:space="preserve">5.5</w:t>
      </w:r>
      <w:r>
        <w:tab/>
      </w:r>
      <w:r>
        <w:t xml:space="preserve">Implications for Healthcare Organizations</w:t>
      </w:r>
    </w:p>
    <w:p>
      <w:pPr>
        <w:pStyle w:val="FirstParagraph"/>
      </w:pPr>
      <w:r>
        <w:t xml:space="preserve">The evidence has implications for healthcare leaders considering analytics strategy:</w:t>
      </w:r>
    </w:p>
    <w:bookmarkStart w:id="89" w:name="X2f23efe7d260cae22651f913590ba1e30f02493"/>
    <w:p>
      <w:pPr>
        <w:pStyle w:val="Heading3"/>
      </w:pPr>
      <w:r>
        <w:rPr>
          <w:rStyle w:val="SectionNumber"/>
        </w:rPr>
        <w:t xml:space="preserve">5.5.1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3"/>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3"/>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3"/>
        </w:numPr>
      </w:pPr>
      <w:r>
        <w:rPr>
          <w:b/>
          <w:bCs/>
        </w:rPr>
        <w:t xml:space="preserve">Technical Barrier Inventory</w:t>
      </w:r>
      <w:r>
        <w:t xml:space="preserve">: What technical skills are currently required for data access? Which clinical questions go unanswered due to technical barriers?</w:t>
      </w:r>
    </w:p>
    <w:bookmarkEnd w:id="89"/>
    <w:bookmarkStart w:id="90"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4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Convergence Assessment and NL2SQL Indication:</w:t>
      </w:r>
    </w:p>
    <w:tbl>
      <w:tblPr>
        <w:tblStyle w:val="Table"/>
        <w:tblW w:type="pct" w:w="5000"/>
        <w:jc w:val="left"/>
        <w:tblLayout w:type="fixed"/>
        <w:tblLook w:firstRow="1" w:lastRow="0" w:firstColumn="0" w:lastColumn="0" w:noHBand="0" w:noVBand="0" w:val="0020"/>
      </w:tblPr>
      <w:tblGrid>
        <w:gridCol w:w="2603"/>
        <w:gridCol w:w="1301"/>
        <w:gridCol w:w="4014"/>
      </w:tblGrid>
      <w:tr>
        <w:trPr>
          <w:tblHeader w:val="on"/>
        </w:trPr>
        <w:tc>
          <w:tcPr/>
          <w:p>
            <w:pPr>
              <w:pStyle w:val="Compact"/>
              <w:jc w:val="left"/>
            </w:pPr>
            <w:r>
              <w:t xml:space="preserve">Organizational Profile</w:t>
            </w:r>
          </w:p>
        </w:tc>
        <w:tc>
          <w:tcPr/>
          <w:p>
            <w:pPr>
              <w:pStyle w:val="Compact"/>
              <w:jc w:val="left"/>
            </w:pPr>
            <w:r>
              <w:t xml:space="preserve">Assessment</w:t>
            </w:r>
          </w:p>
        </w:tc>
        <w:tc>
          <w:tcPr/>
          <w:p>
            <w:pPr>
              <w:pStyle w:val="Compact"/>
              <w:jc w:val="left"/>
            </w:pPr>
            <w:r>
              <w:t xml:space="preserve">NL2SQL/Conversational AI Relevance</w:t>
            </w:r>
          </w:p>
        </w:tc>
      </w:tr>
      <w:tr>
        <w:tc>
          <w:tcPr/>
          <w:p>
            <w:pPr>
              <w:pStyle w:val="Compact"/>
              <w:jc w:val="left"/>
            </w:pPr>
            <w:r>
              <w:t xml:space="preserve">All pillars Lower Risk</w:t>
            </w:r>
          </w:p>
        </w:tc>
        <w:tc>
          <w:tcPr/>
          <w:p>
            <w:pPr>
              <w:pStyle w:val="Compact"/>
              <w:jc w:val="left"/>
            </w:pPr>
            <w:r>
              <w:t xml:space="preserve">Continuous improvement stance</w:t>
            </w:r>
          </w:p>
        </w:tc>
        <w:tc>
          <w:tcPr/>
          <w:p>
            <w:pPr>
              <w:pStyle w:val="Compact"/>
              <w:jc w:val="left"/>
            </w:pPr>
            <w:r>
              <w:t xml:space="preserve">Opportunistic; enhancement rather than necessity</w:t>
            </w:r>
          </w:p>
        </w:tc>
      </w:tr>
      <w:tr>
        <w:tc>
          <w:tcPr/>
          <w:p>
            <w:pPr>
              <w:pStyle w:val="Compact"/>
              <w:jc w:val="left"/>
            </w:pPr>
            <w:r>
              <w:t xml:space="preserve">1 pillar Higher Risk</w:t>
            </w:r>
          </w:p>
        </w:tc>
        <w:tc>
          <w:tcPr/>
          <w:p>
            <w:pPr>
              <w:pStyle w:val="Compact"/>
              <w:jc w:val="left"/>
            </w:pPr>
            <w:r>
              <w:t xml:space="preserve">Targeted intervention needed</w:t>
            </w:r>
          </w:p>
        </w:tc>
        <w:tc>
          <w:tcPr/>
          <w:p>
            <w:pPr>
              <w:pStyle w:val="Compact"/>
              <w:jc w:val="left"/>
            </w:pPr>
            <w:r>
              <w:t xml:space="preserve">Address specific pillar; monitor for spillover</w:t>
            </w:r>
          </w:p>
        </w:tc>
      </w:tr>
      <w:tr>
        <w:tc>
          <w:tcPr/>
          <w:p>
            <w:pPr>
              <w:pStyle w:val="Compact"/>
              <w:jc w:val="left"/>
            </w:pPr>
            <w:r>
              <w:t xml:space="preserve">2 pillars Higher Risk</w:t>
            </w:r>
          </w:p>
        </w:tc>
        <w:tc>
          <w:tcPr/>
          <w:p>
            <w:pPr>
              <w:pStyle w:val="Compact"/>
              <w:jc w:val="left"/>
            </w:pPr>
            <w:r>
              <w:t xml:space="preserve">Compounding effects likely</w:t>
            </w:r>
          </w:p>
        </w:tc>
        <w:tc>
          <w:tcPr/>
          <w:p>
            <w:pPr>
              <w:pStyle w:val="Compact"/>
              <w:jc w:val="left"/>
            </w:pPr>
            <w:r>
              <w:t xml:space="preserve">Strong indication for comprehensive assessment</w:t>
            </w:r>
          </w:p>
        </w:tc>
      </w:tr>
      <w:tr>
        <w:tc>
          <w:tcPr/>
          <w:p>
            <w:pPr>
              <w:pStyle w:val="Compact"/>
              <w:jc w:val="left"/>
            </w:pPr>
            <w:r>
              <w:t xml:space="preserve">All 3 pillars Higher Risk</w:t>
            </w:r>
          </w:p>
        </w:tc>
        <w:tc>
          <w:tcPr/>
          <w:p>
            <w:pPr>
              <w:pStyle w:val="Compact"/>
              <w:jc w:val="left"/>
            </w:pPr>
            <w:r>
              <w:t xml:space="preserve">Self-reinforcing degradation cycle</w:t>
            </w:r>
          </w:p>
        </w:tc>
        <w:tc>
          <w:tcPr/>
          <w:p>
            <w:pPr>
              <w:pStyle w:val="Compact"/>
              <w:jc w:val="left"/>
            </w:pPr>
            <w:r>
              <w:t xml:space="preserve">Urgent evaluation warranted; NL2SQL addresses all three dimensions simultaneously</w:t>
            </w:r>
          </w:p>
        </w:tc>
      </w:tr>
    </w:tbl>
    <w:p>
      <w:pPr>
        <w:pStyle w:val="BodyText"/>
      </w:pPr>
      <w:r>
        <w:t xml:space="preserve">NL2SQL platforms specifically target the convergence condition: they reduce Technical Barriers by eliminating SQL requirements, mitigate Workforce Dynamics risks by encoding expertise in queryable systems, and accelerate Analytics Maturity by enabling citizen developer participation</w:t>
      </w:r>
      <w:r>
        <w:t xml:space="preserve"> </w:t>
      </w:r>
      <w:r>
        <w:t xml:space="preserve">(</w:t>
      </w:r>
      <w:hyperlink w:anchor="ref-berkshire2024">
        <w:r>
          <w:rPr>
            <w:rStyle w:val="Hyperlink"/>
          </w:rPr>
          <w:t xml:space="preserve">92</w:t>
        </w:r>
      </w:hyperlink>
      <w:r>
        <w:t xml:space="preserve">)</w:t>
      </w:r>
      <w:r>
        <w:t xml:space="preserve">. Organizations at Higher Risk across multiple pillars represent the primary use case for conversational AI adoption.</w:t>
      </w:r>
    </w:p>
    <w:bookmarkEnd w:id="90"/>
    <w:bookmarkStart w:id="91" w:name="implementation-considerations"/>
    <w:p>
      <w:pPr>
        <w:pStyle w:val="Heading3"/>
      </w:pPr>
      <w:r>
        <w:rPr>
          <w:rStyle w:val="SectionNumber"/>
        </w:rPr>
        <w:t xml:space="preserve">5.5.3</w:t>
      </w:r>
      <w:r>
        <w:tab/>
      </w:r>
      <w:r>
        <w:t xml:space="preserve">Implementation Considerations</w:t>
      </w:r>
    </w:p>
    <w:p>
      <w:pPr>
        <w:pStyle w:val="FirstParagraph"/>
      </w:pPr>
      <w:r>
        <w:t xml:space="preserve">Evidence from healthcare implementations suggests several factors influence success: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1"/>
    <w:bookmarkEnd w:id="92"/>
    <w:bookmarkEnd w:id="93"/>
    <w:bookmarkStart w:id="100"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findings illuminate a tension central to healthcare’s approach to emerging technologies, captured in the ancient principle</w:t>
      </w:r>
      <w:r>
        <w:t xml:space="preserve"> </w:t>
      </w:r>
      <w:r>
        <w:rPr>
          <w:i/>
          <w:iCs/>
        </w:rPr>
        <w:t xml:space="preserve">primum non nocere</w:t>
      </w:r>
      <w:r>
        <w:t xml:space="preserve">:</w:t>
      </w:r>
      <w:r>
        <w:t xml:space="preserve"> </w:t>
      </w:r>
      <w:r>
        <w:t xml:space="preserve">“</w:t>
      </w:r>
      <w:r>
        <w:t xml:space="preserve">First, do no harm.</w:t>
      </w:r>
      <w:r>
        <w:t xml:space="preserve">”</w:t>
      </w:r>
    </w:p>
    <w:bookmarkStart w:id="94" w:name="the-dual-dimensions-of-harm"/>
    <w:p>
      <w:pPr>
        <w:pStyle w:val="Heading2"/>
      </w:pPr>
      <w:r>
        <w:rPr>
          <w:rStyle w:val="SectionNumber"/>
        </w:rPr>
        <w:t xml:space="preserve">6.1</w:t>
      </w:r>
      <w:r>
        <w:tab/>
      </w:r>
      <w:r>
        <w:t xml:space="preserve">The Dual Dimensions of Harm</w:t>
      </w:r>
    </w:p>
    <w:p>
      <w:pPr>
        <w:pStyle w:val="FirstParagraph"/>
      </w:pPr>
      <w:r>
        <w:t xml:space="preserve">Healthcare’s traditional interpretation of</w:t>
      </w:r>
      <w:r>
        <w:t xml:space="preserve"> </w:t>
      </w:r>
      <w:r>
        <w:rPr>
          <w:i/>
          <w:iCs/>
        </w:rPr>
        <w:t xml:space="preserve">primum non nocere</w:t>
      </w:r>
      <w:r>
        <w:t xml:space="preserve"> </w:t>
      </w:r>
      <w:r>
        <w:t xml:space="preserve">counsels caution: new technologies should be thoroughly validated before clinical deployment, and governance frameworks should default to rejection until safety is established. This principle has served healthcare well, protecting patients from unproven interventions and maintaining professional standards.</w:t>
      </w:r>
    </w:p>
    <w:p>
      <w:pPr>
        <w:pStyle w:val="BodyText"/>
      </w:pPr>
      <w:r>
        <w:t xml:space="preserve">However, the evidence reviewed in this paper suggests that</w:t>
      </w:r>
      <w:r>
        <w:t xml:space="preserve"> </w:t>
      </w:r>
      <w:r>
        <w:rPr>
          <w:i/>
          <w:iCs/>
        </w:rPr>
        <w:t xml:space="preserve">primum non nocere</w:t>
      </w:r>
      <w:r>
        <w:t xml:space="preserve"> </w:t>
      </w:r>
      <w:r>
        <w:t xml:space="preserve">must be applied bidirectionally. The three-pillar analysis reveals substantial harms from</w:t>
      </w:r>
      <w:r>
        <w:t xml:space="preserve"> </w:t>
      </w:r>
      <w:r>
        <w:rPr>
          <w:b/>
          <w:bCs/>
        </w:rPr>
        <w:t xml:space="preserve">inaction</w:t>
      </w:r>
      <w:r>
        <w:t xml:space="preserve">:</w:t>
      </w:r>
    </w:p>
    <w:p>
      <w:pPr>
        <w:pStyle w:val="Compact"/>
        <w:numPr>
          <w:ilvl w:val="0"/>
          <w:numId w:val="1025"/>
        </w:numPr>
      </w:pPr>
      <w:r>
        <w:rPr>
          <w:b/>
          <w:bCs/>
        </w:rPr>
        <w:t xml:space="preserve">Analytics maturity gaps</w:t>
      </w:r>
      <w:r>
        <w:t xml:space="preserve"> </w:t>
      </w:r>
      <w:r>
        <w:t xml:space="preserve">leave clinical decisions unsupported by available data, directly impacting patient care quality and safety</w:t>
      </w:r>
    </w:p>
    <w:p>
      <w:pPr>
        <w:pStyle w:val="Compact"/>
        <w:numPr>
          <w:ilvl w:val="0"/>
          <w:numId w:val="1025"/>
        </w:numPr>
      </w:pPr>
      <w:r>
        <w:rPr>
          <w:b/>
          <w:bCs/>
        </w:rPr>
        <w:t xml:space="preserve">Workforce turnover</w:t>
      </w:r>
      <w:r>
        <w:t xml:space="preserve"> </w:t>
      </w:r>
      <w:r>
        <w:t xml:space="preserve">(34% annually for healthcare IT staff as of 2004</w:t>
      </w:r>
      <w:r>
        <w:t xml:space="preserve"> </w:t>
      </w:r>
      <w:r>
        <w:t xml:space="preserve">(</w:t>
      </w:r>
      <w:hyperlink w:anchor="ref-ang2004">
        <w:r>
          <w:rPr>
            <w:rStyle w:val="Hyperlink"/>
          </w:rPr>
          <w:t xml:space="preserve">3</w:t>
        </w:r>
      </w:hyperlink>
      <w:r>
        <w:t xml:space="preserve">)</w:t>
      </w:r>
      <w:r>
        <w:t xml:space="preserve">) causes institutional memory loss that disrupts care continuity and erodes the knowledge base essential for quality improvement</w:t>
      </w:r>
    </w:p>
    <w:p>
      <w:pPr>
        <w:pStyle w:val="Compact"/>
        <w:numPr>
          <w:ilvl w:val="0"/>
          <w:numId w:val="1025"/>
        </w:numPr>
      </w:pPr>
      <w:r>
        <w:rPr>
          <w:b/>
          <w:bCs/>
        </w:rPr>
        <w:t xml:space="preserve">Technical barriers</w:t>
      </w:r>
      <w:r>
        <w:t xml:space="preserve"> </w:t>
      </w:r>
      <w:r>
        <w:t xml:space="preserve">disconnect clinical experts from data insights, preventing evidence-based practice improvements that could benefit patients</w:t>
      </w:r>
    </w:p>
    <w:p>
      <w:pPr>
        <w:pStyle w:val="FirstParagraph"/>
      </w:pPr>
      <w:r>
        <w:t xml:space="preserve">These findings do not argue that healthcare organizations should abandon caution. Rather, they suggest that a complete application of</w:t>
      </w:r>
      <w:r>
        <w:t xml:space="preserve"> </w:t>
      </w:r>
      <w:r>
        <w:rPr>
          <w:i/>
          <w:iCs/>
        </w:rPr>
        <w:t xml:space="preserve">primum non nocere</w:t>
      </w:r>
      <w:r>
        <w:t xml:space="preserve"> </w:t>
      </w:r>
      <w:r>
        <w:t xml:space="preserve">requires evaluating</w:t>
      </w:r>
      <w:r>
        <w:t xml:space="preserve"> </w:t>
      </w:r>
      <w:r>
        <w:rPr>
          <w:b/>
          <w:bCs/>
        </w:rPr>
        <w:t xml:space="preserve">both</w:t>
      </w:r>
      <w:r>
        <w:t xml:space="preserve"> </w:t>
      </w:r>
      <w:r>
        <w:t xml:space="preserve">the risks of premature technology adoption</w:t>
      </w:r>
      <w:r>
        <w:t xml:space="preserve"> </w:t>
      </w:r>
      <w:r>
        <w:rPr>
          <w:b/>
          <w:bCs/>
        </w:rPr>
        <w:t xml:space="preserve">and</w:t>
      </w:r>
      <w:r>
        <w:t xml:space="preserve"> </w:t>
      </w:r>
      <w:r>
        <w:t xml:space="preserve">the ongoing harms of maintaining current approaches. The three-pillar framework presented in this review provides a structured approach for this dual evaluation.</w:t>
      </w:r>
    </w:p>
    <w:bookmarkEnd w:id="94"/>
    <w:bookmarkStart w:id="95"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Novel Analytical Framework</w:t>
      </w:r>
      <w:r>
        <w:t xml:space="preserve">: The three-pillar framework synthesizes previously disconnected evidence from healthcare analytics maturity, workforce management, and natural language processing research, revealing how these challenges interconnect and compound each other: low maturity accelerates turnover, turnover degrades maturity, and technical barriers prevent recovery from either.</w:t>
      </w:r>
    </w:p>
    <w:p>
      <w:pPr>
        <w:numPr>
          <w:ilvl w:val="0"/>
          <w:numId w:val="1026"/>
        </w:numPr>
      </w:pPr>
      <w:r>
        <w:rPr>
          <w:b/>
          <w:bCs/>
        </w:rPr>
        <w:t xml:space="preserve">Knowledge Portal Application</w:t>
      </w:r>
      <w:r>
        <w:t xml:space="preserve">: By applying established knowledge portal theory</w:t>
      </w:r>
      <w:r>
        <w:t xml:space="preserve"> </w:t>
      </w:r>
      <w:r>
        <w:t xml:space="preserve">(</w:t>
      </w:r>
      <w:hyperlink w:anchor="ref-benbya2004">
        <w:r>
          <w:rPr>
            <w:rStyle w:val="Hyperlink"/>
          </w:rPr>
          <w:t xml:space="preserve">15</w:t>
        </w:r>
      </w:hyperlink>
      <w:r>
        <w:t xml:space="preserve">,</w:t>
      </w:r>
      <w:hyperlink w:anchor="ref-richesson2007">
        <w:r>
          <w:rPr>
            <w:rStyle w:val="Hyperlink"/>
          </w:rPr>
          <w:t xml:space="preserve">16</w:t>
        </w:r>
      </w:hyperlink>
      <w:r>
        <w:t xml:space="preserve">)</w:t>
      </w:r>
      <w:r>
        <w:t xml:space="preserve"> </w:t>
      </w:r>
      <w:r>
        <w:t xml:space="preserve">to healthcare conversational AI, we provide a conceptual foundation for institutional memory preservation systems that embed organizational expertise within AI platforms rather than individual staff.</w:t>
      </w:r>
    </w:p>
    <w:p>
      <w:pPr>
        <w:numPr>
          <w:ilvl w:val="0"/>
          <w:numId w:val="1026"/>
        </w:numPr>
      </w:pPr>
      <w:r>
        <w:rPr>
          <w:b/>
          <w:bCs/>
        </w:rPr>
        <w:t xml:space="preserve">Convergence Thesis</w:t>
      </w:r>
      <w:r>
        <w:t xml:space="preserve">: The simultaneous occurrence of technical advances in NL2SQL, organizational analytics challenges, and workforce dynamics creates conditions requiring active organizational assessment. This convergence transforms the technology adoption question from a matter of preference to one with institutional knowledge preservation implications, warranting structured evaluation using frameworks such as the three-pillar model.</w:t>
      </w:r>
    </w:p>
    <w:bookmarkEnd w:id="95"/>
    <w:bookmarkStart w:id="96"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27</w:t>
        </w:r>
      </w:hyperlink>
      <w:r>
        <w:t xml:space="preserve">,</w:t>
      </w:r>
      <w:hyperlink w:anchor="ref-lee2023">
        <w:r>
          <w:rPr>
            <w:rStyle w:val="Hyperlink"/>
          </w:rPr>
          <w:t xml:space="preserve">28</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turnover was measured at 34% in 2004</w:t>
      </w:r>
      <w:r>
        <w:t xml:space="preserve"> </w:t>
      </w:r>
      <w:r>
        <w:t xml:space="preserve">(</w:t>
      </w:r>
      <w:hyperlink w:anchor="ref-ang2004">
        <w:r>
          <w:rPr>
            <w:rStyle w:val="Hyperlink"/>
          </w:rPr>
          <w:t xml:space="preserve">3</w:t>
        </w:r>
      </w:hyperlink>
      <w:r>
        <w:t xml:space="preserve">)</w:t>
      </w:r>
      <w:r>
        <w:t xml:space="preserve">, the highest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67</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92</w:t>
        </w:r>
      </w:hyperlink>
      <w:r>
        <w:t xml:space="preserve">)</w:t>
      </w:r>
      <w:r>
        <w:t xml:space="preserve"> </w:t>
      </w:r>
      <w:r>
        <w:t xml:space="preserve">demonstrate that low-code platforms can enable 800+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89</w:t>
        </w:r>
      </w:hyperlink>
      <w:r>
        <w:t xml:space="preserve">,</w:t>
      </w:r>
      <w:hyperlink w:anchor="ref-jiao2023">
        <w:r>
          <w:rPr>
            <w:rStyle w:val="Hyperlink"/>
          </w:rPr>
          <w:t xml:space="preserve">90</w:t>
        </w:r>
      </w:hyperlink>
      <w:r>
        <w:t xml:space="preserve">)</w:t>
      </w:r>
      <w:r>
        <w:t xml:space="preserve">.</w:t>
      </w:r>
    </w:p>
    <w:bookmarkEnd w:id="96"/>
    <w:bookmarkStart w:id="97"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7"/>
    <w:bookmarkStart w:id="98" w:name="future-research-directions-1"/>
    <w:p>
      <w:pPr>
        <w:pStyle w:val="Heading2"/>
      </w:pPr>
      <w:r>
        <w:rPr>
          <w:rStyle w:val="SectionNumber"/>
        </w:rPr>
        <w:t xml:space="preserve">6.5</w:t>
      </w:r>
      <w:r>
        <w:tab/>
      </w:r>
      <w:r>
        <w:t xml:space="preserve">Future Research Directions</w:t>
      </w:r>
    </w:p>
    <w:p>
      <w:pPr>
        <w:pStyle w:val="FirstParagraph"/>
      </w:pPr>
      <w:r>
        <w:t xml:space="preserve">Several research gaps limit the ability to provide definitive organizational guidance:</w:t>
      </w:r>
    </w:p>
    <w:p>
      <w:pPr>
        <w:numPr>
          <w:ilvl w:val="0"/>
          <w:numId w:val="1029"/>
        </w:numPr>
      </w:pPr>
      <w:r>
        <w:rPr>
          <w:b/>
          <w:bCs/>
        </w:rPr>
        <w:t xml:space="preserve">Reference implementation validation</w:t>
      </w:r>
      <w:r>
        <w:t xml:space="preserve">: Empirical validation using synthetic data (Synthea) and healthcare-specific benchmarks (EHRSQL, MIMICSQL) would establish reproducible baselines for NL2SQL accuracy in clinical contexts</w:t>
      </w:r>
    </w:p>
    <w:p>
      <w:pPr>
        <w:numPr>
          <w:ilvl w:val="0"/>
          <w:numId w:val="1029"/>
        </w:numPr>
      </w:pPr>
      <w:r>
        <w:rPr>
          <w:b/>
          <w:bCs/>
        </w:rPr>
        <w:t xml:space="preserve">Healthcare terminology and schema mapping</w:t>
      </w:r>
      <w:r>
        <w:t xml:space="preserve">: Programmatic integration with standardized vocabularies (SNOMED CT, LOINC, RxNorm) and interoperability standards (FHIR, OMOP CDM) requires systematic investigation to reduce implementation burden</w:t>
      </w:r>
    </w:p>
    <w:p>
      <w:pPr>
        <w:numPr>
          <w:ilvl w:val="0"/>
          <w:numId w:val="1029"/>
        </w:numPr>
      </w:pPr>
      <w:r>
        <w:rPr>
          <w:b/>
          <w:bCs/>
        </w:rPr>
        <w:t xml:space="preserve">Longitudinal outcomes</w:t>
      </w:r>
      <w:r>
        <w:t xml:space="preserve">: Most implementation studies span 6-24 months; multi-year institutional knowledge preservation effects remain understudied</w:t>
      </w:r>
    </w:p>
    <w:p>
      <w:pPr>
        <w:numPr>
          <w:ilvl w:val="0"/>
          <w:numId w:val="1029"/>
        </w:numPr>
      </w:pPr>
      <w:r>
        <w:rPr>
          <w:b/>
          <w:bCs/>
        </w:rPr>
        <w:t xml:space="preserve">Governance frameworks</w:t>
      </w:r>
      <w:r>
        <w:t xml:space="preserve">: Optimal approaches for balancing analytics democratization with data quality and clinical safety standards need development</w:t>
      </w:r>
    </w:p>
    <w:bookmarkEnd w:id="98"/>
    <w:bookmarkStart w:id="99" w:name="closing-reflection"/>
    <w:p>
      <w:pPr>
        <w:pStyle w:val="Heading2"/>
      </w:pPr>
      <w:r>
        <w:rPr>
          <w:rStyle w:val="SectionNumber"/>
        </w:rPr>
        <w:t xml:space="preserve">6.6</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99"/>
    <w:bookmarkEnd w:id="100"/>
    <w:bookmarkStart w:id="101"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Claude Code (Claude Opus 4.5, Anthropic) assisted with manuscript editing and refinement.</w:t>
      </w:r>
    </w:p>
    <w:bookmarkEnd w:id="101"/>
    <w:bookmarkStart w:id="102"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2"/>
    <w:bookmarkStart w:id="103"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 This research was conducted independently without funding from any affiliated organization.</w:t>
      </w:r>
    </w:p>
    <w:bookmarkEnd w:id="103"/>
    <w:bookmarkStart w:id="104"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4"/>
    <w:bookmarkStart w:id="105"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5"/>
    <w:bookmarkStart w:id="106"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6"/>
    <w:bookmarkStart w:id="107"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07"/>
    <w:bookmarkStart w:id="316" w:name="appendices"/>
    <w:p>
      <w:pPr>
        <w:pStyle w:val="Heading1"/>
      </w:pPr>
      <w:r>
        <w:rPr>
          <w:rStyle w:val="SectionNumber"/>
        </w:rPr>
        <w:t xml:space="preserve">14</w:t>
      </w:r>
      <w:r>
        <w:tab/>
      </w:r>
      <w:r>
        <w:t xml:space="preserve">Appendices</w:t>
      </w:r>
    </w:p>
    <w:bookmarkStart w:id="108"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8"/>
    <w:bookmarkStart w:id="109"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9"/>
    <w:bookmarkStart w:id="315" w:name="Xbfd30549e6247e2f3e5132a039875af0e2849bb"/>
    <w:p>
      <w:pPr>
        <w:pStyle w:val="Heading2"/>
      </w:pPr>
      <w:r>
        <w:rPr>
          <w:rStyle w:val="SectionNumber"/>
        </w:rPr>
        <w:t xml:space="preserve">14.3</w:t>
      </w:r>
      <w:r>
        <w:tab/>
      </w:r>
      <w:r>
        <w:t xml:space="preserve">Appendix C: Healthcare NL2SQL Query Examples</w:t>
      </w:r>
    </w:p>
    <w:bookmarkStart w:id="110"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10"/>
    <w:bookmarkStart w:id="111" w:name="operational-metrics"/>
    <w:p>
      <w:pPr>
        <w:pStyle w:val="Heading3"/>
      </w:pPr>
      <w:r>
        <w:rPr>
          <w:rStyle w:val="SectionNumber"/>
        </w:rPr>
        <w:t xml:space="preserve">14.3.2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11"/>
    <w:bookmarkStart w:id="314"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https://us.yuimedi.com/contact-us/ (include</w:t>
      </w:r>
      <w:r>
        <w:rPr>
          <w:i/>
          <w:iCs/>
        </w:rPr>
        <w:t xml:space="preserve"> </w:t>
      </w:r>
      <w:r>
        <w:rPr>
          <w:i/>
          <w:iCs/>
        </w:rPr>
        <w:t xml:space="preserve">“</w:t>
      </w:r>
      <w:r>
        <w:rPr>
          <w:i/>
          <w:iCs/>
        </w:rPr>
        <w:t xml:space="preserve">NL2SQL paper</w:t>
      </w:r>
      <w:r>
        <w:rPr>
          <w:i/>
          <w:iCs/>
        </w:rPr>
        <w:t xml:space="preserve">”</w:t>
      </w:r>
      <w:r>
        <w:rPr>
          <w:i/>
          <w:iCs/>
        </w:rPr>
        <w:t xml:space="preserve"> </w:t>
      </w:r>
      <w:r>
        <w:rPr>
          <w:i/>
          <w:iCs/>
        </w:rPr>
        <w:t xml:space="preserve">in message)</w:t>
      </w:r>
    </w:p>
    <w:bookmarkStart w:id="313" w:name="refs"/>
    <w:bookmarkStart w:id="113"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2">
        <w:r>
          <w:rPr>
            <w:rStyle w:val="Hyperlink"/>
          </w:rPr>
          <w:t xml:space="preserve">https://www.ahima.org/news-publications/press-room-press-releases/2023-press-releases/health-information-workforce-shortages-persist-as-ai-shows-promise-ahima-survey-reveals/</w:t>
        </w:r>
      </w:hyperlink>
    </w:p>
    <w:bookmarkEnd w:id="113"/>
    <w:bookmarkStart w:id="115"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4">
        <w:r>
          <w:rPr>
            <w:rStyle w:val="Hyperlink"/>
          </w:rPr>
          <w:t xml:space="preserve">https://www.himss.org/maturity-models/amam/</w:t>
        </w:r>
      </w:hyperlink>
    </w:p>
    <w:bookmarkEnd w:id="115"/>
    <w:bookmarkStart w:id="117" w:name="ref-ang2004"/>
    <w:p>
      <w:pPr>
        <w:pStyle w:val="Bibliography"/>
      </w:pPr>
      <w:r>
        <w:t xml:space="preserve">3.</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16">
        <w:r>
          <w:rPr>
            <w:rStyle w:val="Hyperlink"/>
          </w:rPr>
          <w:t xml:space="preserve">https://dl.acm.org/doi/10.1145/1017114.1017118</w:t>
        </w:r>
      </w:hyperlink>
    </w:p>
    <w:bookmarkEnd w:id="117"/>
    <w:bookmarkStart w:id="119" w:name="ref-wang2018"/>
    <w:p>
      <w:pPr>
        <w:pStyle w:val="Bibliography"/>
      </w:pPr>
      <w:r>
        <w:t xml:space="preserve">4.</w:t>
      </w:r>
      <w:r>
        <w:t xml:space="preserve"> </w:t>
      </w:r>
      <w:r>
        <w:t xml:space="preserve">	</w:t>
      </w:r>
      <w:r>
        <w:t xml:space="preserve">Wang K Y.</w:t>
      </w:r>
      <w:r>
        <w:t xml:space="preserve"> </w:t>
      </w:r>
      <w:r>
        <w:t xml:space="preserve">Big data analytics: Understanding its capabilities and potential benefits for healthcare organizations</w:t>
      </w:r>
      <w:r>
        <w:t xml:space="preserve">. Technological Forecasting and Social Change [Internet]. 2018; Available from:</w:t>
      </w:r>
      <w:r>
        <w:t xml:space="preserve"> </w:t>
      </w:r>
      <w:hyperlink r:id="rId118">
        <w:r>
          <w:rPr>
            <w:rStyle w:val="Hyperlink"/>
          </w:rPr>
          <w:t xml:space="preserve">https://www.sciencedirect.com/science/article/pii/S0040162516302244</w:t>
        </w:r>
      </w:hyperlink>
    </w:p>
    <w:bookmarkEnd w:id="119"/>
    <w:bookmarkStart w:id="121" w:name="ref-bardsley2016"/>
    <w:p>
      <w:pPr>
        <w:pStyle w:val="Bibliography"/>
      </w:pPr>
      <w:r>
        <w:t xml:space="preserve">5.</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20">
        <w:r>
          <w:rPr>
            <w:rStyle w:val="Hyperlink"/>
          </w:rPr>
          <w:t xml:space="preserve">https://www.health.org.uk/publications/understanding-analytical-capability-in-health-care</w:t>
        </w:r>
      </w:hyperlink>
    </w:p>
    <w:bookmarkEnd w:id="121"/>
    <w:bookmarkStart w:id="123" w:name="ref-pesqueira2020"/>
    <w:p>
      <w:pPr>
        <w:pStyle w:val="Bibliography"/>
      </w:pPr>
      <w:r>
        <w:t xml:space="preserve">6.</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22">
        <w:r>
          <w:rPr>
            <w:rStyle w:val="Hyperlink"/>
          </w:rPr>
          <w:t xml:space="preserve">https://link.springer.com/article/10.1007/s10916-020-01665-9</w:t>
        </w:r>
      </w:hyperlink>
    </w:p>
    <w:bookmarkEnd w:id="123"/>
    <w:bookmarkStart w:id="125" w:name="ref-anthropic2025"/>
    <w:p>
      <w:pPr>
        <w:pStyle w:val="Bibliography"/>
      </w:pPr>
      <w:r>
        <w:t xml:space="preserve">7.</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4">
        <w:r>
          <w:rPr>
            <w:rStyle w:val="Hyperlink"/>
          </w:rPr>
          <w:t xml:space="preserve">https://resources.anthropic.com/code-modernization-playbook</w:t>
        </w:r>
      </w:hyperlink>
    </w:p>
    <w:bookmarkEnd w:id="125"/>
    <w:bookmarkStart w:id="127" w:name="ref-hendrix1978"/>
    <w:p>
      <w:pPr>
        <w:pStyle w:val="Bibliography"/>
      </w:pPr>
      <w:r>
        <w:t xml:space="preserve">8.</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26">
        <w:r>
          <w:rPr>
            <w:rStyle w:val="Hyperlink"/>
          </w:rPr>
          <w:t xml:space="preserve">https://dl.acm.org/doi/abs/10.1145/320251.320253</w:t>
        </w:r>
      </w:hyperlink>
    </w:p>
    <w:bookmarkEnd w:id="127"/>
    <w:bookmarkStart w:id="129" w:name="ref-ogunwole2023"/>
    <w:p>
      <w:pPr>
        <w:pStyle w:val="Bibliography"/>
      </w:pPr>
      <w:r>
        <w:t xml:space="preserve">9.</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28">
        <w:r>
          <w:rPr>
            <w:rStyle w:val="Hyperlink"/>
          </w:rPr>
          <w:t xml:space="preserve">https://www.allmultidisciplinaryjournal.com/uploads/archives/20250306182550_MGE-2025-2-018.1.pdf</w:t>
        </w:r>
      </w:hyperlink>
    </w:p>
    <w:bookmarkEnd w:id="129"/>
    <w:bookmarkStart w:id="131" w:name="ref-arora2025"/>
    <w:p>
      <w:pPr>
        <w:pStyle w:val="Bibliography"/>
      </w:pPr>
      <w:r>
        <w:t xml:space="preserve">10.</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0">
        <w:r>
          <w:rPr>
            <w:rStyle w:val="Hyperlink"/>
          </w:rPr>
          <w:t xml:space="preserve">https://papers.ssrn.com/sol3/papers.cfm?abstract_id=5268176</w:t>
        </w:r>
      </w:hyperlink>
    </w:p>
    <w:bookmarkEnd w:id="131"/>
    <w:bookmarkStart w:id="133" w:name="ref-shen2023"/>
    <w:p>
      <w:pPr>
        <w:pStyle w:val="Bibliography"/>
      </w:pPr>
      <w:r>
        <w:t xml:space="preserve">11.</w:t>
      </w:r>
      <w:r>
        <w:t xml:space="preserve"> </w:t>
      </w:r>
      <w:r>
        <w:t xml:space="preserve">	</w:t>
      </w:r>
      <w:r>
        <w:t xml:space="preserve">Shen M K.</w:t>
      </w:r>
      <w:r>
        <w:t xml:space="preserve"> </w:t>
      </w:r>
      <w:r>
        <w:t xml:space="preserve">Health care staff turnover and quality of care at nursing homes</w:t>
      </w:r>
      <w:r>
        <w:t xml:space="preserve">.</w:t>
      </w:r>
      <w:r>
        <w:t xml:space="preserve"> </w:t>
      </w:r>
      <w:r>
        <w:t xml:space="preserve">JAMA</w:t>
      </w:r>
      <w:r>
        <w:t xml:space="preserve"> </w:t>
      </w:r>
      <w:r>
        <w:t xml:space="preserve">Internal Medicine [Internet]. 2023; Available from:</w:t>
      </w:r>
      <w:r>
        <w:t xml:space="preserve"> </w:t>
      </w:r>
      <w:hyperlink r:id="rId132">
        <w:r>
          <w:rPr>
            <w:rStyle w:val="Hyperlink"/>
          </w:rPr>
          <w:t xml:space="preserve">https://jamanetwork.com/journals/jamainternalmedicine/fullarticle/2807501</w:t>
        </w:r>
      </w:hyperlink>
    </w:p>
    <w:bookmarkEnd w:id="133"/>
    <w:bookmarkStart w:id="135" w:name="ref-latrella2024"/>
    <w:p>
      <w:pPr>
        <w:pStyle w:val="Bibliography"/>
      </w:pPr>
      <w:r>
        <w:t xml:space="preserve">12.</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4">
        <w:r>
          <w:rPr>
            <w:rStyle w:val="Hyperlink"/>
          </w:rPr>
          <w:t xml:space="preserve">https://www.ingentaconnect.com/content/hsp/mih/2024/00000008/00000004/art00006</w:t>
        </w:r>
      </w:hyperlink>
    </w:p>
    <w:bookmarkEnd w:id="135"/>
    <w:bookmarkStart w:id="137" w:name="ref-khan2023"/>
    <w:p>
      <w:pPr>
        <w:pStyle w:val="Bibliography"/>
      </w:pPr>
      <w:r>
        <w:t xml:space="preserve">13.</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Business and Economics [Internet]. 2023; Available from:</w:t>
      </w:r>
      <w:r>
        <w:t xml:space="preserve"> </w:t>
      </w:r>
      <w:hyperlink r:id="rId136">
        <w:r>
          <w:rPr>
            <w:rStyle w:val="Hyperlink"/>
          </w:rPr>
          <w:t xml:space="preserve">https://publishing.emanresearch.org/index.php/bej/article/view/1136</w:t>
        </w:r>
      </w:hyperlink>
    </w:p>
    <w:bookmarkEnd w:id="137"/>
    <w:bookmarkStart w:id="139" w:name="ref-lin2012"/>
    <w:p>
      <w:pPr>
        <w:pStyle w:val="Bibliography"/>
      </w:pPr>
      <w:r>
        <w:t xml:space="preserve">14.</w:t>
      </w:r>
      <w:r>
        <w:t xml:space="preserve"> </w:t>
      </w:r>
      <w:r>
        <w:t xml:space="preserve">	</w:t>
      </w:r>
      <w:r>
        <w:t xml:space="preserve">Lin L C.</w:t>
      </w:r>
      <w:r>
        <w:t xml:space="preserve"> </w:t>
      </w:r>
      <w:r>
        <w:t xml:space="preserve">Barriers to physicians’ adoption of healthcare information technology: An empirical study on multiple hospitals</w:t>
      </w:r>
      <w:r>
        <w:t xml:space="preserve">. Journal of Medical Systems [Internet]. 2012; Available from:</w:t>
      </w:r>
      <w:r>
        <w:t xml:space="preserve"> </w:t>
      </w:r>
      <w:hyperlink r:id="rId138">
        <w:r>
          <w:rPr>
            <w:rStyle w:val="Hyperlink"/>
          </w:rPr>
          <w:t xml:space="preserve">https://link.springer.com/article/10.1007/s10916-011-9656-7</w:t>
        </w:r>
      </w:hyperlink>
    </w:p>
    <w:bookmarkEnd w:id="139"/>
    <w:bookmarkStart w:id="141" w:name="ref-benbya2004"/>
    <w:p>
      <w:pPr>
        <w:pStyle w:val="Bibliography"/>
      </w:pPr>
      <w:r>
        <w:t xml:space="preserve">15.</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40">
        <w:r>
          <w:rPr>
            <w:rStyle w:val="Hyperlink"/>
          </w:rPr>
          <w:t xml:space="preserve">https://doi.org/10.1016/j.ijinfomgt.2003.12.012</w:t>
        </w:r>
      </w:hyperlink>
    </w:p>
    <w:bookmarkEnd w:id="141"/>
    <w:bookmarkStart w:id="143" w:name="ref-richesson2007"/>
    <w:p>
      <w:pPr>
        <w:pStyle w:val="Bibliography"/>
      </w:pPr>
      <w:r>
        <w:t xml:space="preserve">16.</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142">
        <w:r>
          <w:rPr>
            <w:rStyle w:val="Hyperlink"/>
          </w:rPr>
          <w:t xml:space="preserve">https://academic.oup.com/jamia/article/14/6/687/750453</w:t>
        </w:r>
      </w:hyperlink>
    </w:p>
    <w:bookmarkEnd w:id="143"/>
    <w:bookmarkStart w:id="145" w:name="ref-wu2024"/>
    <w:p>
      <w:pPr>
        <w:pStyle w:val="Bibliography"/>
      </w:pPr>
      <w:r>
        <w:t xml:space="preserve">17.</w:t>
      </w:r>
      <w:r>
        <w:t xml:space="preserve"> </w:t>
      </w:r>
      <w:r>
        <w:t xml:space="preserve">	</w:t>
      </w:r>
      <w:r>
        <w:t xml:space="preserve">Wu L Y.</w:t>
      </w:r>
      <w:r>
        <w:t xml:space="preserve"> </w:t>
      </w:r>
      <w:r>
        <w:t xml:space="preserve">Worldwide prevalence and associated factors of nursing staff turnover: A systematic review and meta-analysis</w:t>
      </w:r>
      <w:r>
        <w:t xml:space="preserve">. International Journal of Nursing Studies [Internet]. 2024; Available from:</w:t>
      </w:r>
      <w:r>
        <w:t xml:space="preserve"> </w:t>
      </w:r>
      <w:hyperlink r:id="rId144">
        <w:r>
          <w:rPr>
            <w:rStyle w:val="Hyperlink"/>
          </w:rPr>
          <w:t xml:space="preserve">https://pmc.ncbi.nlm.nih.gov/articles/PMC10802134/</w:t>
        </w:r>
      </w:hyperlink>
    </w:p>
    <w:bookmarkEnd w:id="145"/>
    <w:bookmarkStart w:id="147" w:name="ref-tyndall2010"/>
    <w:p>
      <w:pPr>
        <w:pStyle w:val="Bibliography"/>
      </w:pPr>
      <w:r>
        <w:t xml:space="preserve">18.</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46">
        <w:r>
          <w:rPr>
            <w:rStyle w:val="Hyperlink"/>
          </w:rPr>
          <w:t xml:space="preserve">https://dspace.flinders.edu.au/jspui/bitstream/2328/3326/4/AACODS_Checklist.pdf</w:t>
        </w:r>
      </w:hyperlink>
    </w:p>
    <w:bookmarkEnd w:id="147"/>
    <w:bookmarkStart w:id="149" w:name="ref-rajamani2025"/>
    <w:p>
      <w:pPr>
        <w:pStyle w:val="Bibliography"/>
      </w:pPr>
      <w:r>
        <w:t xml:space="preserve">19.</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48">
        <w:r>
          <w:rPr>
            <w:rStyle w:val="Hyperlink"/>
          </w:rPr>
          <w:t xml:space="preserve">https://academic.oup.com/jpubhealth</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wang2025"/>
    <w:p>
      <w:pPr>
        <w:pStyle w:val="Bibliography"/>
      </w:pPr>
      <w:r>
        <w:t xml:space="preserve">21.</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152">
        <w:r>
          <w:rPr>
            <w:rStyle w:val="Hyperlink"/>
          </w:rPr>
          <w:t xml:space="preserve">https://arxiv.org/abs/2508.08224</w:t>
        </w:r>
      </w:hyperlink>
    </w:p>
    <w:bookmarkEnd w:id="153"/>
    <w:bookmarkStart w:id="155" w:name="ref-openai2025"/>
    <w:p>
      <w:pPr>
        <w:pStyle w:val="Bibliography"/>
      </w:pPr>
      <w:r>
        <w:t xml:space="preserve">22.</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154">
        <w:r>
          <w:rPr>
            <w:rStyle w:val="Hyperlink"/>
          </w:rPr>
          <w:t xml:space="preserve">https://arxiv.org/abs/2505.08775</w:t>
        </w:r>
      </w:hyperlink>
    </w:p>
    <w:bookmarkEnd w:id="155"/>
    <w:bookmarkStart w:id="157" w:name="ref-medagentbench2024"/>
    <w:p>
      <w:pPr>
        <w:pStyle w:val="Bibliography"/>
      </w:pPr>
      <w:r>
        <w:t xml:space="preserve">23.</w:t>
      </w:r>
      <w:r>
        <w:t xml:space="preserve"> </w:t>
      </w:r>
      <w:r>
        <w:t xml:space="preserve">	</w:t>
      </w:r>
      <w:r>
        <w:t xml:space="preserve">Study M.</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2024; Available from:</w:t>
      </w:r>
      <w:r>
        <w:t xml:space="preserve"> </w:t>
      </w:r>
      <w:hyperlink r:id="rId156">
        <w:r>
          <w:rPr>
            <w:rStyle w:val="Hyperlink"/>
          </w:rPr>
          <w:t xml:space="preserve">https://ai.nejm.org/doi/full/10.1056/AIdbp2500144</w:t>
        </w:r>
      </w:hyperlink>
    </w:p>
    <w:bookmarkEnd w:id="157"/>
    <w:bookmarkStart w:id="159" w:name="ref-chen2024"/>
    <w:p>
      <w:pPr>
        <w:pStyle w:val="Bibliography"/>
      </w:pPr>
      <w:r>
        <w:t xml:space="preserve">24.</w:t>
      </w:r>
      <w:r>
        <w:t xml:space="preserve"> </w:t>
      </w:r>
      <w:r>
        <w:t xml:space="preserve">	</w:t>
      </w:r>
      <w:r>
        <w:t xml:space="preserve">Chen et al Z.</w:t>
      </w:r>
      <w:r>
        <w:t xml:space="preserve"> </w:t>
      </w:r>
      <w:r>
        <w:t xml:space="preserve">Towards evaluating and building versatile large language models for medicine</w:t>
      </w:r>
      <w:r>
        <w:t xml:space="preserve">. npj Digital Medicine [Internet]. 2024; Available from:</w:t>
      </w:r>
      <w:r>
        <w:t xml:space="preserve"> </w:t>
      </w:r>
      <w:hyperlink r:id="rId158">
        <w:r>
          <w:rPr>
            <w:rStyle w:val="Hyperlink"/>
          </w:rPr>
          <w:t xml:space="preserve">https://www.nature.com/articles/s41746-024-01390-4</w:t>
        </w:r>
      </w:hyperlink>
    </w:p>
    <w:bookmarkEnd w:id="159"/>
    <w:bookmarkStart w:id="161" w:name="ref-blaskovic2025"/>
    <w:p>
      <w:pPr>
        <w:pStyle w:val="Bibliography"/>
      </w:pPr>
      <w:r>
        <w:t xml:space="preserve">25.</w:t>
      </w:r>
      <w:r>
        <w:t xml:space="preserve"> </w:t>
      </w:r>
      <w:r>
        <w:t xml:space="preserve">	</w:t>
      </w:r>
      <w:r>
        <w:t xml:space="preserve">Blašković T L.</w:t>
      </w:r>
      <w:r>
        <w:t xml:space="preserve"> </w:t>
      </w:r>
      <w:r>
        <w:t xml:space="preserve">Robust clinical querying with local LLMs: Lexical challenges in NL2SQL and RAG-QA on EHRs</w:t>
      </w:r>
      <w:r>
        <w:t xml:space="preserve">. Big Data and Cognitive Computing [Internet]. 2025; Available from:</w:t>
      </w:r>
      <w:r>
        <w:t xml:space="preserve"> </w:t>
      </w:r>
      <w:hyperlink r:id="rId160">
        <w:r>
          <w:rPr>
            <w:rStyle w:val="Hyperlink"/>
          </w:rPr>
          <w:t xml:space="preserve">https://www.mdpi.com/2504-2289/9/3/124</w:t>
        </w:r>
      </w:hyperlink>
    </w:p>
    <w:bookmarkEnd w:id="161"/>
    <w:bookmarkStart w:id="163" w:name="ref-navarro2023"/>
    <w:p>
      <w:pPr>
        <w:pStyle w:val="Bibliography"/>
      </w:pPr>
      <w:r>
        <w:t xml:space="preserve">26.</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62">
        <w:r>
          <w:rPr>
            <w:rStyle w:val="Hyperlink"/>
          </w:rPr>
          <w:t xml:space="preserve">https://www.sciencedirect.com/science/article/pii/S1386505623001405</w:t>
        </w:r>
      </w:hyperlink>
    </w:p>
    <w:bookmarkEnd w:id="163"/>
    <w:bookmarkStart w:id="165" w:name="ref-wang2020"/>
    <w:p>
      <w:pPr>
        <w:pStyle w:val="Bibliography"/>
      </w:pPr>
      <w:r>
        <w:t xml:space="preserve">27.</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164">
        <w:r>
          <w:rPr>
            <w:rStyle w:val="Hyperlink"/>
          </w:rPr>
          <w:t xml:space="preserve">https://arxiv.org/abs/1908.01839</w:t>
        </w:r>
      </w:hyperlink>
    </w:p>
    <w:bookmarkEnd w:id="165"/>
    <w:bookmarkStart w:id="167" w:name="ref-lee2023"/>
    <w:p>
      <w:pPr>
        <w:pStyle w:val="Bibliography"/>
      </w:pPr>
      <w:r>
        <w:t xml:space="preserve">28.</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166">
        <w:r>
          <w:rPr>
            <w:rStyle w:val="Hyperlink"/>
          </w:rPr>
          <w:t xml:space="preserve">https://arxiv.org/abs/2301.07695</w:t>
        </w:r>
      </w:hyperlink>
    </w:p>
    <w:bookmarkEnd w:id="167"/>
    <w:bookmarkStart w:id="169" w:name="ref-sivasubramaniam2024"/>
    <w:p>
      <w:pPr>
        <w:pStyle w:val="Bibliography"/>
      </w:pPr>
      <w:r>
        <w:t xml:space="preserve">29.</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168">
        <w:r>
          <w:rPr>
            <w:rStyle w:val="Hyperlink"/>
          </w:rPr>
          <w:t xml:space="preserve">https://arxiv.org/abs/2411.05521</w:t>
        </w:r>
      </w:hyperlink>
    </w:p>
    <w:bookmarkEnd w:id="169"/>
    <w:bookmarkStart w:id="171" w:name="ref-lee2025"/>
    <w:p>
      <w:pPr>
        <w:pStyle w:val="Bibliography"/>
      </w:pPr>
      <w:r>
        <w:t xml:space="preserve">30.</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170">
        <w:r>
          <w:rPr>
            <w:rStyle w:val="Hyperlink"/>
          </w:rPr>
          <w:t xml:space="preserve">https://arxiv.org/abs/2511.17559</w:t>
        </w:r>
      </w:hyperlink>
    </w:p>
    <w:bookmarkEnd w:id="171"/>
    <w:bookmarkStart w:id="173" w:name="ref-chen2025"/>
    <w:p>
      <w:pPr>
        <w:pStyle w:val="Bibliography"/>
      </w:pPr>
      <w:r>
        <w:t xml:space="preserve">31.</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172">
        <w:r>
          <w:rPr>
            <w:rStyle w:val="Hyperlink"/>
          </w:rPr>
          <w:t xml:space="preserve">https://www.sciencedirect.com/science/article/pii/S0031320324008197</w:t>
        </w:r>
      </w:hyperlink>
    </w:p>
    <w:bookmarkEnd w:id="173"/>
    <w:bookmarkStart w:id="175" w:name="ref-dadi2025"/>
    <w:p>
      <w:pPr>
        <w:pStyle w:val="Bibliography"/>
      </w:pPr>
      <w:r>
        <w:t xml:space="preserve">32.</w:t>
      </w:r>
      <w:r>
        <w:t xml:space="preserve"> </w:t>
      </w:r>
      <w:r>
        <w:t xml:space="preserve">	</w:t>
      </w:r>
      <w:r>
        <w:t xml:space="preserve">Dadi CB.</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 Available from:</w:t>
      </w:r>
      <w:r>
        <w:t xml:space="preserve"> </w:t>
      </w:r>
      <w:hyperlink r:id="rId174">
        <w:r>
          <w:rPr>
            <w:rStyle w:val="Hyperlink"/>
          </w:rPr>
          <w:t xml:space="preserve">https://al-kindipublishers.org/index.php/jcsts/article/view/8823</w:t>
        </w:r>
      </w:hyperlink>
    </w:p>
    <w:bookmarkEnd w:id="175"/>
    <w:bookmarkStart w:id="177" w:name="ref-yuan2019"/>
    <w:p>
      <w:pPr>
        <w:pStyle w:val="Bibliography"/>
      </w:pPr>
      <w:r>
        <w:t xml:space="preserve">33.</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176">
        <w:r>
          <w:rPr>
            <w:rStyle w:val="Hyperlink"/>
          </w:rPr>
          <w:t xml:space="preserve">https://academic.oup.com/jamia/article-abstract/26/4/294/5308980</w:t>
        </w:r>
      </w:hyperlink>
    </w:p>
    <w:bookmarkEnd w:id="177"/>
    <w:bookmarkStart w:id="179" w:name="ref-park2024"/>
    <w:p>
      <w:pPr>
        <w:pStyle w:val="Bibliography"/>
      </w:pPr>
      <w:r>
        <w:t xml:space="preserve">34.</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178">
        <w:r>
          <w:rPr>
            <w:rStyle w:val="Hyperlink"/>
          </w:rPr>
          <w:t xml:space="preserve">https://www.sciencedirect.com/science/article/pii/S1532046424000650</w:t>
        </w:r>
      </w:hyperlink>
    </w:p>
    <w:bookmarkEnd w:id="179"/>
    <w:bookmarkStart w:id="181" w:name="ref-ipeirotis2025"/>
    <w:p>
      <w:pPr>
        <w:pStyle w:val="Bibliography"/>
      </w:pPr>
      <w:r>
        <w:t xml:space="preserve">35.</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180">
        <w:r>
          <w:rPr>
            <w:rStyle w:val="Hyperlink"/>
          </w:rPr>
          <w:t xml:space="preserve">https://arxiv.org/abs/2511.14718</w:t>
        </w:r>
      </w:hyperlink>
    </w:p>
    <w:bookmarkEnd w:id="181"/>
    <w:bookmarkStart w:id="183" w:name="ref-shah2020"/>
    <w:p>
      <w:pPr>
        <w:pStyle w:val="Bibliography"/>
      </w:pPr>
      <w:r>
        <w:t xml:space="preserve">36.</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182">
        <w:r>
          <w:rPr>
            <w:rStyle w:val="Hyperlink"/>
          </w:rPr>
          <w:t xml:space="preserve">https://dl.acm.org/doi/abs/10.1145/3318464.3389777</w:t>
        </w:r>
      </w:hyperlink>
    </w:p>
    <w:bookmarkEnd w:id="183"/>
    <w:bookmarkStart w:id="185" w:name="ref-safari2014"/>
    <w:p>
      <w:pPr>
        <w:pStyle w:val="Bibliography"/>
      </w:pPr>
      <w:r>
        <w:t xml:space="preserve">37.</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184">
        <w:r>
          <w:rPr>
            <w:rStyle w:val="Hyperlink"/>
          </w:rPr>
          <w:t xml:space="preserve">https://www.sciencedirect.com/science/article/pii/S1532046414001592</w:t>
        </w:r>
      </w:hyperlink>
    </w:p>
    <w:bookmarkEnd w:id="185"/>
    <w:bookmarkStart w:id="187" w:name="ref-han2019"/>
    <w:p>
      <w:pPr>
        <w:pStyle w:val="Bibliography"/>
      </w:pPr>
      <w:r>
        <w:t xml:space="preserve">38.</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186">
        <w:r>
          <w:rPr>
            <w:rStyle w:val="Hyperlink"/>
          </w:rPr>
          <w:t xml:space="preserve">https://medinform.jmir.org/2019/2/e13331</w:t>
        </w:r>
      </w:hyperlink>
    </w:p>
    <w:bookmarkEnd w:id="187"/>
    <w:bookmarkStart w:id="189" w:name="ref-marshan2024"/>
    <w:p>
      <w:pPr>
        <w:pStyle w:val="Bibliography"/>
      </w:pPr>
      <w:r>
        <w:t xml:space="preserve">39.</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188">
        <w:r>
          <w:rPr>
            <w:rStyle w:val="Hyperlink"/>
          </w:rPr>
          <w:t xml:space="preserve">https://www.frontiersin.org/articles/10.3389/fdata.2024.1371680</w:t>
        </w:r>
      </w:hyperlink>
    </w:p>
    <w:bookmarkEnd w:id="189"/>
    <w:bookmarkStart w:id="191" w:name="ref-saha2023"/>
    <w:p>
      <w:pPr>
        <w:pStyle w:val="Bibliography"/>
      </w:pPr>
      <w:r>
        <w:t xml:space="preserve">40.</w:t>
      </w:r>
      <w:r>
        <w:t xml:space="preserve"> </w:t>
      </w:r>
      <w:r>
        <w:t xml:space="preserve">	</w:t>
      </w:r>
      <w:r>
        <w:t xml:space="preserve">Saha G B. K.</w:t>
      </w:r>
      <w:r>
        <w:t xml:space="preserve"> </w:t>
      </w:r>
      <w:r>
        <w:t xml:space="preserve">NLINQ: A natural language interface for querying network performance</w:t>
      </w:r>
      <w:r>
        <w:t xml:space="preserve">. Applied Intelligence [Internet]. 2023; Available from:</w:t>
      </w:r>
      <w:r>
        <w:t xml:space="preserve"> </w:t>
      </w:r>
      <w:hyperlink r:id="rId190">
        <w:r>
          <w:rPr>
            <w:rStyle w:val="Hyperlink"/>
          </w:rPr>
          <w:t xml:space="preserve">https://link.springer.com/article/10.1007/s10489-023-04567-2</w:t>
        </w:r>
      </w:hyperlink>
    </w:p>
    <w:bookmarkEnd w:id="191"/>
    <w:bookmarkStart w:id="193" w:name="ref-khandelwal2025"/>
    <w:p>
      <w:pPr>
        <w:pStyle w:val="Bibliography"/>
      </w:pPr>
      <w:r>
        <w:t xml:space="preserve">41.</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192">
        <w:r>
          <w:rPr>
            <w:rStyle w:val="Hyperlink"/>
          </w:rPr>
          <w:t xml:space="preserve">https://sarcouncil.com/2025/06/ai-driven-mainframe-modernization-unlocking-legacy-data-for-cloud-analytics</w:t>
        </w:r>
      </w:hyperlink>
    </w:p>
    <w:bookmarkEnd w:id="193"/>
    <w:bookmarkStart w:id="195" w:name="ref-snowdon2024b"/>
    <w:p>
      <w:pPr>
        <w:pStyle w:val="Bibliography"/>
      </w:pPr>
      <w:r>
        <w:t xml:space="preserve">42.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94">
        <w:r>
          <w:rPr>
            <w:rStyle w:val="Hyperlink"/>
          </w:rPr>
          <w:t xml:space="preserve">https://legacy.himss.org/news/new-analytics-maturity-adoption-model-pushes-digital-transformation-and-data-driven-decisions</w:t>
        </w:r>
      </w:hyperlink>
    </w:p>
    <w:bookmarkEnd w:id="195"/>
    <w:bookmarkStart w:id="197" w:name="ref-wang2017"/>
    <w:p>
      <w:pPr>
        <w:pStyle w:val="Bibliography"/>
      </w:pPr>
      <w:r>
        <w:t xml:space="preserve">43.</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96">
        <w:r>
          <w:rPr>
            <w:rStyle w:val="Hyperlink"/>
          </w:rPr>
          <w:t xml:space="preserve">https://www.sciencedirect.com/science/article/abs/pii/S0148296316304891</w:t>
        </w:r>
      </w:hyperlink>
    </w:p>
    <w:bookmarkEnd w:id="197"/>
    <w:bookmarkStart w:id="199" w:name="ref-snowdon2024"/>
    <w:p>
      <w:pPr>
        <w:pStyle w:val="Bibliography"/>
      </w:pPr>
      <w:r>
        <w:t xml:space="preserve">44.</w:t>
      </w:r>
      <w:r>
        <w:t xml:space="preserve"> </w:t>
      </w:r>
      <w:r>
        <w:t xml:space="preserve">	</w:t>
      </w:r>
      <w:r>
        <w:t xml:space="preserve">Snowdon H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 Available from:</w:t>
      </w:r>
      <w:r>
        <w:t xml:space="preserve"> </w:t>
      </w:r>
      <w:hyperlink r:id="rId198">
        <w:r>
          <w:rPr>
            <w:rStyle w:val="Hyperlink"/>
          </w:rPr>
          <w:t xml:space="preserve">https://www.jmir.org/2024/1/e52224</w:t>
        </w:r>
      </w:hyperlink>
    </w:p>
    <w:bookmarkEnd w:id="199"/>
    <w:bookmarkStart w:id="201" w:name="ref-snowdon2024a"/>
    <w:p>
      <w:pPr>
        <w:pStyle w:val="Bibliography"/>
      </w:pPr>
      <w:r>
        <w:t xml:space="preserve">45.</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200">
        <w:r>
          <w:rPr>
            <w:rStyle w:val="Hyperlink"/>
          </w:rPr>
          <w:t xml:space="preserve">https://journals.sagepub.com/doi/full/10.1177/23743735241253785</w:t>
        </w:r>
      </w:hyperlink>
    </w:p>
    <w:bookmarkEnd w:id="201"/>
    <w:bookmarkStart w:id="203"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2">
        <w:r>
          <w:rPr>
            <w:rStyle w:val="Hyperlink"/>
          </w:rPr>
          <w:t xml:space="preserve">https://onlinelibrary.wiley.com/doi/abs/10.1111/1467-8551.12332</w:t>
        </w:r>
      </w:hyperlink>
    </w:p>
    <w:bookmarkEnd w:id="203"/>
    <w:bookmarkStart w:id="205"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4">
        <w:r>
          <w:rPr>
            <w:rStyle w:val="Hyperlink"/>
          </w:rPr>
          <w:t xml:space="preserve">https://www.mdpi.com/2227-9032/13/1/1</w:t>
        </w:r>
      </w:hyperlink>
    </w:p>
    <w:bookmarkEnd w:id="205"/>
    <w:bookmarkStart w:id="207" w:name="ref-kamble2019"/>
    <w:p>
      <w:pPr>
        <w:pStyle w:val="Bibliography"/>
      </w:pPr>
      <w:r>
        <w:t xml:space="preserve">48.</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206">
        <w:r>
          <w:rPr>
            <w:rStyle w:val="Hyperlink"/>
          </w:rPr>
          <w:t xml:space="preserve">https://www.tandfonline.com/doi/full/10.1080/20479700.2018.1531606</w:t>
        </w:r>
      </w:hyperlink>
    </w:p>
    <w:bookmarkEnd w:id="207"/>
    <w:bookmarkStart w:id="209" w:name="ref-health2020"/>
    <w:p>
      <w:pPr>
        <w:pStyle w:val="Bibliography"/>
      </w:pPr>
      <w:r>
        <w:t xml:space="preserve">49.</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208">
        <w:r>
          <w:rPr>
            <w:rStyle w:val="Hyperlink"/>
          </w:rPr>
          <w:t xml:space="preserve">https://www.healthcatalyst.com/learn/insights/healthcare-analytics-adoption-model-roadmap-analytic-maturity</w:t>
        </w:r>
      </w:hyperlink>
    </w:p>
    <w:bookmarkEnd w:id="209"/>
    <w:bookmarkStart w:id="211" w:name="ref-carvalho2019"/>
    <w:p>
      <w:pPr>
        <w:pStyle w:val="Bibliography"/>
      </w:pPr>
      <w:r>
        <w:t xml:space="preserve">50.</w:t>
      </w:r>
      <w:r>
        <w:t xml:space="preserve"> </w:t>
      </w:r>
      <w:r>
        <w:t xml:space="preserve">	</w:t>
      </w:r>
      <w:r>
        <w:t xml:space="preserve">Carvalho JV, Rocha Á, Vasconcelos J.</w:t>
      </w:r>
      <w:r>
        <w:t xml:space="preserve"> </w:t>
      </w:r>
      <w:hyperlink r:id="rId210">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1"/>
    <w:bookmarkStart w:id="212" w:name="ref-pintovalverde2013"/>
    <w:p>
      <w:pPr>
        <w:pStyle w:val="Bibliography"/>
      </w:pPr>
      <w:r>
        <w:t xml:space="preserve">51.</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2"/>
    <w:bookmarkStart w:id="213" w:name="ref-gokalp2023"/>
    <w:p>
      <w:pPr>
        <w:pStyle w:val="Bibliography"/>
      </w:pPr>
      <w:r>
        <w:t xml:space="preserve">52.</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213"/>
    <w:bookmarkStart w:id="214" w:name="ref-lismont2017"/>
    <w:p>
      <w:pPr>
        <w:pStyle w:val="Bibliography"/>
      </w:pPr>
      <w:r>
        <w:t xml:space="preserve">53.</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14"/>
    <w:bookmarkStart w:id="215" w:name="ref-yang2021"/>
    <w:p>
      <w:pPr>
        <w:pStyle w:val="Bibliography"/>
      </w:pPr>
      <w:r>
        <w:t xml:space="preserve">54.</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15"/>
    <w:bookmarkStart w:id="216" w:name="ref-arts2002"/>
    <w:p>
      <w:pPr>
        <w:pStyle w:val="Bibliography"/>
      </w:pPr>
      <w:r>
        <w:t xml:space="preserve">55.</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16"/>
    <w:bookmarkStart w:id="217" w:name="ref-mccoy2013"/>
    <w:p>
      <w:pPr>
        <w:pStyle w:val="Bibliography"/>
      </w:pPr>
      <w:r>
        <w:t xml:space="preserve">56.</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17"/>
    <w:bookmarkStart w:id="218" w:name="ref-zhang2024"/>
    <w:p>
      <w:pPr>
        <w:pStyle w:val="Bibliography"/>
      </w:pPr>
      <w:r>
        <w:t xml:space="preserve">57.</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218"/>
    <w:bookmarkStart w:id="219" w:name="ref-rahman2020"/>
    <w:p>
      <w:pPr>
        <w:pStyle w:val="Bibliography"/>
      </w:pPr>
      <w:r>
        <w:t xml:space="preserve">58.</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19"/>
    <w:bookmarkStart w:id="220" w:name="ref-sirgo2018"/>
    <w:p>
      <w:pPr>
        <w:pStyle w:val="Bibliography"/>
      </w:pPr>
      <w:r>
        <w:t xml:space="preserve">59.</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0"/>
    <w:bookmarkStart w:id="221" w:name="ref-shi2021"/>
    <w:p>
      <w:pPr>
        <w:pStyle w:val="Bibliography"/>
      </w:pPr>
      <w:r>
        <w:t xml:space="preserve">60.</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1"/>
    <w:bookmarkStart w:id="222" w:name="ref-dugas2016"/>
    <w:p>
      <w:pPr>
        <w:pStyle w:val="Bibliography"/>
      </w:pPr>
      <w:r>
        <w:t xml:space="preserve">61.</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2"/>
    <w:bookmarkStart w:id="223" w:name="ref-bokov2017"/>
    <w:p>
      <w:pPr>
        <w:pStyle w:val="Bibliography"/>
      </w:pPr>
      <w:r>
        <w:t xml:space="preserve">62.</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3"/>
    <w:bookmarkStart w:id="224" w:name="ref-ulrich2022"/>
    <w:p>
      <w:pPr>
        <w:pStyle w:val="Bibliography"/>
      </w:pPr>
      <w:r>
        <w:t xml:space="preserve">63.</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24"/>
    <w:bookmarkStart w:id="225" w:name="ref-lucyk2017"/>
    <w:p>
      <w:pPr>
        <w:pStyle w:val="Bibliography"/>
      </w:pPr>
      <w:r>
        <w:t xml:space="preserve">64.</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25"/>
    <w:bookmarkStart w:id="226" w:name="ref-hovenga2013"/>
    <w:p>
      <w:pPr>
        <w:pStyle w:val="Bibliography"/>
      </w:pPr>
      <w:r>
        <w:t xml:space="preserve">65.</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26"/>
    <w:bookmarkStart w:id="228" w:name="ref-ren2024"/>
    <w:p>
      <w:pPr>
        <w:pStyle w:val="Bibliography"/>
      </w:pPr>
      <w:r>
        <w:t xml:space="preserve">66.</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27">
        <w:r>
          <w:rPr>
            <w:rStyle w:val="Hyperlink"/>
          </w:rPr>
          <w:t xml:space="preserve">https://pmc.ncbi.nlm.nih.gov/articles/PMC11919231/</w:t>
        </w:r>
      </w:hyperlink>
    </w:p>
    <w:bookmarkEnd w:id="228"/>
    <w:bookmarkStart w:id="230" w:name="ref-massingham2018"/>
    <w:p>
      <w:pPr>
        <w:pStyle w:val="Bibliography"/>
      </w:pPr>
      <w:r>
        <w:t xml:space="preserve">67.</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29">
        <w:r>
          <w:rPr>
            <w:rStyle w:val="Hyperlink"/>
          </w:rPr>
          <w:t xml:space="preserve">https://doi.org/10.1108/JKM-08-2016-0338</w:t>
        </w:r>
      </w:hyperlink>
    </w:p>
    <w:bookmarkEnd w:id="230"/>
    <w:bookmarkStart w:id="232" w:name="ref-jones2005"/>
    <w:p>
      <w:pPr>
        <w:pStyle w:val="Bibliography"/>
      </w:pPr>
      <w:r>
        <w:t xml:space="preserve">68.</w:t>
      </w:r>
      <w:r>
        <w:t xml:space="preserve"> </w:t>
      </w:r>
      <w:r>
        <w:t xml:space="preserve">	</w:t>
      </w:r>
      <w:r>
        <w:t xml:space="preserve">Jones CB.</w:t>
      </w:r>
      <w:r>
        <w:t xml:space="preserve"> </w:t>
      </w:r>
      <w:r>
        <w:t xml:space="preserve">The costs of nurse turnover, Part 2: Application of the nursing turnover cost calculation methodology</w:t>
      </w:r>
      <w:r>
        <w:t xml:space="preserve">. Journal of Nursing Administration [Internet]. 2005; Available from:</w:t>
      </w:r>
      <w:r>
        <w:t xml:space="preserve"> </w:t>
      </w:r>
      <w:hyperlink r:id="rId231">
        <w:r>
          <w:rPr>
            <w:rStyle w:val="Hyperlink"/>
          </w:rPr>
          <w:t xml:space="preserve">https://journals.lww.com/jonajournal/abstract/2005/01000/the_costs_of_nurse_turnover__part_2__application.14.aspx</w:t>
        </w:r>
      </w:hyperlink>
    </w:p>
    <w:bookmarkEnd w:id="232"/>
    <w:bookmarkStart w:id="234" w:name="ref-willardgrace2019"/>
    <w:p>
      <w:pPr>
        <w:pStyle w:val="Bibliography"/>
      </w:pPr>
      <w:r>
        <w:t xml:space="preserve">69.</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3">
        <w:r>
          <w:rPr>
            <w:rStyle w:val="Hyperlink"/>
          </w:rPr>
          <w:t xml:space="preserve">https://www.annfammed.org/content/17/1/36</w:t>
        </w:r>
      </w:hyperlink>
    </w:p>
    <w:bookmarkEnd w:id="234"/>
    <w:bookmarkStart w:id="236" w:name="ref-melnick2021"/>
    <w:p>
      <w:pPr>
        <w:pStyle w:val="Bibliography"/>
      </w:pPr>
      <w:r>
        <w:t xml:space="preserve">70.</w:t>
      </w:r>
      <w:r>
        <w:t xml:space="preserve"> </w:t>
      </w:r>
      <w:r>
        <w:t xml:space="preserve">	</w:t>
      </w:r>
      <w:r>
        <w:t xml:space="preserve">Melnick F E. R.</w:t>
      </w:r>
      <w:r>
        <w:t xml:space="preserve"> </w:t>
      </w:r>
      <w:r>
        <w:t xml:space="preserve">Analysis of electronic health record use and clinical productivity and their association with physician turnover</w:t>
      </w:r>
      <w:r>
        <w:t xml:space="preserve">.</w:t>
      </w:r>
      <w:r>
        <w:t xml:space="preserve"> </w:t>
      </w:r>
      <w:r>
        <w:t xml:space="preserve">JAMA</w:t>
      </w:r>
      <w:r>
        <w:t xml:space="preserve"> </w:t>
      </w:r>
      <w:r>
        <w:t xml:space="preserve">Network Open [Internet]. 2021; Available from:</w:t>
      </w:r>
      <w:r>
        <w:t xml:space="preserve"> </w:t>
      </w:r>
      <w:hyperlink r:id="rId235">
        <w:r>
          <w:rPr>
            <w:rStyle w:val="Hyperlink"/>
          </w:rPr>
          <w:t xml:space="preserve">https://jamanetwork.com/journals/jamanetworkopen/fullarticle/2784810</w:t>
        </w:r>
      </w:hyperlink>
    </w:p>
    <w:bookmarkEnd w:id="236"/>
    <w:bookmarkStart w:id="238" w:name="ref-oracle2024"/>
    <w:p>
      <w:pPr>
        <w:pStyle w:val="Bibliography"/>
      </w:pPr>
      <w:r>
        <w:t xml:space="preserve">71.</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37">
        <w:r>
          <w:rPr>
            <w:rStyle w:val="Hyperlink"/>
          </w:rPr>
          <w:t xml:space="preserve">https://www.oracle.com/human-capital-management/cost-employee-turnover-healthcare/</w:t>
        </w:r>
      </w:hyperlink>
    </w:p>
    <w:bookmarkEnd w:id="238"/>
    <w:bookmarkStart w:id="240" w:name="ref-ledikwe2013"/>
    <w:p>
      <w:pPr>
        <w:pStyle w:val="Bibliography"/>
      </w:pPr>
      <w:r>
        <w:t xml:space="preserve">72.</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39">
        <w:r>
          <w:rPr>
            <w:rStyle w:val="Hyperlink"/>
          </w:rPr>
          <w:t xml:space="preserve">https://human-resources-health.biomedcentral.com/articles/10.1186/1478-4491-11-35</w:t>
        </w:r>
      </w:hyperlink>
    </w:p>
    <w:bookmarkEnd w:id="240"/>
    <w:bookmarkStart w:id="242" w:name="ref-mantas2010"/>
    <w:p>
      <w:pPr>
        <w:pStyle w:val="Bibliography"/>
      </w:pPr>
      <w:r>
        <w:t xml:space="preserve">73.</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1">
        <w:r>
          <w:rPr>
            <w:rStyle w:val="Hyperlink"/>
          </w:rPr>
          <w:t xml:space="preserve">https://pubmed.ncbi.nlm.nih.gov/20054502/</w:t>
        </w:r>
      </w:hyperlink>
    </w:p>
    <w:bookmarkEnd w:id="242"/>
    <w:bookmarkStart w:id="244" w:name="ref-musa2023"/>
    <w:p>
      <w:pPr>
        <w:pStyle w:val="Bibliography"/>
      </w:pPr>
      <w:r>
        <w:t xml:space="preserve">74.</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3">
        <w:r>
          <w:rPr>
            <w:rStyle w:val="Hyperlink"/>
          </w:rPr>
          <w:t xml:space="preserve">https://pmc.ncbi.nlm.nih.gov/articles/PMC10243608/</w:t>
        </w:r>
      </w:hyperlink>
    </w:p>
    <w:bookmarkEnd w:id="244"/>
    <w:bookmarkStart w:id="246" w:name="ref-konrad2022"/>
    <w:p>
      <w:pPr>
        <w:pStyle w:val="Bibliography"/>
      </w:pPr>
      <w:r>
        <w:t xml:space="preserve">75.</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5">
        <w:r>
          <w:rPr>
            <w:rStyle w:val="Hyperlink"/>
          </w:rPr>
          <w:t xml:space="preserve">https://www.diva-portal.org/smash/record.jsf?pid=diva2:1684142</w:t>
        </w:r>
      </w:hyperlink>
    </w:p>
    <w:bookmarkEnd w:id="246"/>
    <w:bookmarkStart w:id="248" w:name="ref-rangachari2020"/>
    <w:p>
      <w:pPr>
        <w:pStyle w:val="Bibliography"/>
      </w:pPr>
      <w:r>
        <w:t xml:space="preserve">76.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247">
        <w:r>
          <w:rPr>
            <w:rStyle w:val="Hyperlink"/>
          </w:rPr>
          <w:t xml:space="preserve">https://www.mdpi.com/1660-4601/17/12/4267</w:t>
        </w:r>
      </w:hyperlink>
    </w:p>
    <w:bookmarkEnd w:id="248"/>
    <w:bookmarkStart w:id="250" w:name="ref-bae2010"/>
    <w:p>
      <w:pPr>
        <w:pStyle w:val="Bibliography"/>
      </w:pPr>
      <w:r>
        <w:t xml:space="preserve">77.</w:t>
      </w:r>
      <w:r>
        <w:t xml:space="preserve"> </w:t>
      </w:r>
      <w:r>
        <w:t xml:space="preserve">	</w:t>
      </w:r>
      <w:r>
        <w:t xml:space="preserve">Bae M S. H.</w:t>
      </w:r>
      <w:r>
        <w:t xml:space="preserve"> </w:t>
      </w:r>
      <w:r>
        <w:t xml:space="preserve">Impact of nursing unit turnover on patient outcomes in hospitals</w:t>
      </w:r>
      <w:r>
        <w:t xml:space="preserve">. Journal of Nursing Scholarship [Internet]. 2010; Available from:</w:t>
      </w:r>
      <w:r>
        <w:t xml:space="preserve"> </w:t>
      </w:r>
      <w:hyperlink r:id="rId249">
        <w:r>
          <w:rPr>
            <w:rStyle w:val="Hyperlink"/>
          </w:rPr>
          <w:t xml:space="preserve">https://onlinelibrary.wiley.com/doi/abs/10.1111/j.1547-5069.2009.01319.x</w:t>
        </w:r>
      </w:hyperlink>
    </w:p>
    <w:bookmarkEnd w:id="250"/>
    <w:bookmarkStart w:id="252" w:name="ref-wakerman2019"/>
    <w:p>
      <w:pPr>
        <w:pStyle w:val="Bibliography"/>
      </w:pPr>
      <w:r>
        <w:t xml:space="preserve">78.</w:t>
      </w:r>
      <w:r>
        <w:t xml:space="preserve"> </w:t>
      </w:r>
      <w:r>
        <w:t xml:space="preserve">	</w:t>
      </w:r>
      <w:r>
        <w:t xml:space="preserve">Wakerman H J.</w:t>
      </w:r>
      <w:r>
        <w:t xml:space="preserve"> </w:t>
      </w:r>
      <w:r>
        <w:t xml:space="preserve">Remote health workforce turnover and retention: What are the policy and practice priorities?</w:t>
      </w:r>
      <w:r>
        <w:t xml:space="preserve"> Human Resources for Health [Internet]. 2019; Available from:</w:t>
      </w:r>
      <w:r>
        <w:t xml:space="preserve"> </w:t>
      </w:r>
      <w:hyperlink r:id="rId251">
        <w:r>
          <w:rPr>
            <w:rStyle w:val="Hyperlink"/>
          </w:rPr>
          <w:t xml:space="preserve">https://human-resources-health.biomedcentral.com/articles/10.1186/s12960-019-0432-y</w:t>
        </w:r>
      </w:hyperlink>
    </w:p>
    <w:bookmarkEnd w:id="252"/>
    <w:bookmarkStart w:id="254" w:name="ref-lahaie2005"/>
    <w:p>
      <w:pPr>
        <w:pStyle w:val="Bibliography"/>
      </w:pPr>
      <w:r>
        <w:t xml:space="preserve">79.</w:t>
      </w:r>
      <w:r>
        <w:t xml:space="preserve"> </w:t>
      </w:r>
      <w:r>
        <w:t xml:space="preserve">	</w:t>
      </w:r>
      <w:r>
        <w:t xml:space="preserve">Lahaie D.</w:t>
      </w:r>
      <w:r>
        <w:t xml:space="preserve"> </w:t>
      </w:r>
      <w:r>
        <w:t xml:space="preserve">The impact of corporate memory loss: What happens when a senior executive leaves?</w:t>
      </w:r>
      <w:r>
        <w:t xml:space="preserve"> Leadership in Health Services [Internet]. 2005; Available from:</w:t>
      </w:r>
      <w:r>
        <w:t xml:space="preserve"> </w:t>
      </w:r>
      <w:hyperlink r:id="rId253">
        <w:r>
          <w:rPr>
            <w:rStyle w:val="Hyperlink"/>
          </w:rPr>
          <w:t xml:space="preserve">https://www.emerald.com/insight/content/doi/10.1108/13660750510611198/full/html</w:t>
        </w:r>
      </w:hyperlink>
    </w:p>
    <w:bookmarkEnd w:id="254"/>
    <w:bookmarkStart w:id="256" w:name="ref-mayo2016"/>
    <w:p>
      <w:pPr>
        <w:pStyle w:val="Bibliography"/>
      </w:pPr>
      <w:r>
        <w:t xml:space="preserve">80.</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5">
        <w:r>
          <w:rPr>
            <w:rStyle w:val="Hyperlink"/>
          </w:rPr>
          <w:t xml:space="preserve">https://www.redjournal.org/article/S0360-3016(16)00260-1/fulltext</w:t>
        </w:r>
      </w:hyperlink>
    </w:p>
    <w:bookmarkEnd w:id="256"/>
    <w:bookmarkStart w:id="258" w:name="ref-goffin2011"/>
    <w:p>
      <w:pPr>
        <w:pStyle w:val="Bibliography"/>
      </w:pPr>
      <w:r>
        <w:t xml:space="preserve">81.</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7">
        <w:r>
          <w:rPr>
            <w:rStyle w:val="Hyperlink"/>
          </w:rPr>
          <w:t xml:space="preserve">https://onlinelibrary.wiley.com/doi/abs/10.1111/j.1540-5885.2010.00798.x</w:t>
        </w:r>
      </w:hyperlink>
    </w:p>
    <w:bookmarkEnd w:id="258"/>
    <w:bookmarkStart w:id="260" w:name="ref-foos2006"/>
    <w:p>
      <w:pPr>
        <w:pStyle w:val="Bibliography"/>
      </w:pPr>
      <w:r>
        <w:t xml:space="preserve">82.</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59">
        <w:r>
          <w:rPr>
            <w:rStyle w:val="Hyperlink"/>
          </w:rPr>
          <w:t xml:space="preserve">https://www.emerald.com/insight/content/doi/10.1108/13673270610650067/full/html</w:t>
        </w:r>
      </w:hyperlink>
    </w:p>
    <w:bookmarkEnd w:id="260"/>
    <w:bookmarkStart w:id="262" w:name="ref-goffin2010"/>
    <w:p>
      <w:pPr>
        <w:pStyle w:val="Bibliography"/>
      </w:pPr>
      <w:r>
        <w:t xml:space="preserve">83.</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61">
        <w:r>
          <w:rPr>
            <w:rStyle w:val="Hyperlink"/>
          </w:rPr>
          <w:t xml:space="preserve">https://www.tandfonline.com/doi/abs/10.1080/08956308.2010.11657637</w:t>
        </w:r>
      </w:hyperlink>
    </w:p>
    <w:bookmarkEnd w:id="262"/>
    <w:bookmarkStart w:id="264" w:name="ref-rintala2006"/>
    <w:p>
      <w:pPr>
        <w:pStyle w:val="Bibliography"/>
      </w:pPr>
      <w:r>
        <w:t xml:space="preserve">84.</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63">
        <w:r>
          <w:rPr>
            <w:rStyle w:val="Hyperlink"/>
          </w:rPr>
          <w:t xml:space="preserve">https://www.inderscienceonline.com/doi/abs/10.1504/IJNKM.2006.009880</w:t>
        </w:r>
      </w:hyperlink>
    </w:p>
    <w:bookmarkEnd w:id="264"/>
    <w:bookmarkStart w:id="266" w:name="ref-shahbaz2019"/>
    <w:p>
      <w:pPr>
        <w:pStyle w:val="Bibliography"/>
      </w:pPr>
      <w:r>
        <w:t xml:space="preserve">85.</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265">
        <w:r>
          <w:rPr>
            <w:rStyle w:val="Hyperlink"/>
          </w:rPr>
          <w:t xml:space="preserve">https://journalofbigdata.springeropen.com/articles/10.1186/s40537-019-0170-y</w:t>
        </w:r>
      </w:hyperlink>
    </w:p>
    <w:bookmarkEnd w:id="266"/>
    <w:bookmarkStart w:id="268" w:name="ref-milneives2020"/>
    <w:p>
      <w:pPr>
        <w:pStyle w:val="Bibliography"/>
      </w:pPr>
      <w:r>
        <w:t xml:space="preserve">86.</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67">
        <w:r>
          <w:rPr>
            <w:rStyle w:val="Hyperlink"/>
          </w:rPr>
          <w:t xml:space="preserve">https://www.jmir.org/2020/10/e20346/</w:t>
        </w:r>
      </w:hyperlink>
    </w:p>
    <w:bookmarkEnd w:id="268"/>
    <w:bookmarkStart w:id="270" w:name="ref-li2023"/>
    <w:p>
      <w:pPr>
        <w:pStyle w:val="Bibliography"/>
      </w:pPr>
      <w:r>
        <w:t xml:space="preserve">87.</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69">
        <w:r>
          <w:rPr>
            <w:rStyle w:val="Hyperlink"/>
          </w:rPr>
          <w:t xml:space="preserve">https://www.sciencedirect.com/science/article/pii/S1386505623001296</w:t>
        </w:r>
      </w:hyperlink>
    </w:p>
    <w:bookmarkEnd w:id="270"/>
    <w:bookmarkStart w:id="272" w:name="ref-rollwage2023"/>
    <w:p>
      <w:pPr>
        <w:pStyle w:val="Bibliography"/>
      </w:pPr>
      <w:r>
        <w:t xml:space="preserve">88.</w:t>
      </w:r>
      <w:r>
        <w:t xml:space="preserve"> </w:t>
      </w:r>
      <w:r>
        <w:t xml:space="preserve">	</w:t>
      </w:r>
      <w:r>
        <w:t xml:space="preserve">Rollwage H M.</w:t>
      </w:r>
      <w:r>
        <w:t xml:space="preserve"> </w:t>
      </w:r>
      <w:r>
        <w:t xml:space="preserve">Using conversational</w:t>
      </w:r>
      <w:r>
        <w:t xml:space="preserve"> </w:t>
      </w:r>
      <w:r>
        <w:t xml:space="preserve">AI</w:t>
      </w:r>
      <w:r>
        <w:t xml:space="preserve"> </w:t>
      </w:r>
      <w:r>
        <w:t xml:space="preserve">to facilitate mental health assessments and improve clinical efficiency within psychotherapy services: real-world observational study</w:t>
      </w:r>
      <w:r>
        <w:t xml:space="preserve">.</w:t>
      </w:r>
      <w:r>
        <w:t xml:space="preserve"> </w:t>
      </w:r>
      <w:r>
        <w:t xml:space="preserve">JMIR</w:t>
      </w:r>
      <w:r>
        <w:t xml:space="preserve"> </w:t>
      </w:r>
      <w:r>
        <w:t xml:space="preserve">AI</w:t>
      </w:r>
      <w:r>
        <w:t xml:space="preserve"> </w:t>
      </w:r>
      <w:r>
        <w:t xml:space="preserve">[Internet]. 2023; Available from:</w:t>
      </w:r>
      <w:r>
        <w:t xml:space="preserve"> </w:t>
      </w:r>
      <w:hyperlink r:id="rId271">
        <w:r>
          <w:rPr>
            <w:rStyle w:val="Hyperlink"/>
          </w:rPr>
          <w:t xml:space="preserve">https://ai.jmir.org/2023/1/e44358</w:t>
        </w:r>
      </w:hyperlink>
    </w:p>
    <w:bookmarkEnd w:id="272"/>
    <w:bookmarkStart w:id="274" w:name="ref-sezgin2022"/>
    <w:p>
      <w:pPr>
        <w:pStyle w:val="Bibliography"/>
      </w:pPr>
      <w:r>
        <w:t xml:space="preserve">89.</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273">
        <w:r>
          <w:rPr>
            <w:rStyle w:val="Hyperlink"/>
          </w:rPr>
          <w:t xml:space="preserve">https://medinform.jmir.org/2022/2/e32875</w:t>
        </w:r>
      </w:hyperlink>
    </w:p>
    <w:bookmarkEnd w:id="274"/>
    <w:bookmarkStart w:id="276" w:name="ref-jiao2023"/>
    <w:p>
      <w:pPr>
        <w:pStyle w:val="Bibliography"/>
      </w:pPr>
      <w:r>
        <w:t xml:space="preserve">90.</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275">
        <w:r>
          <w:rPr>
            <w:rStyle w:val="Hyperlink"/>
          </w:rPr>
          <w:t xml:space="preserve">https://ieeexplore.ieee.org/document/10297311</w:t>
        </w:r>
      </w:hyperlink>
    </w:p>
    <w:bookmarkEnd w:id="276"/>
    <w:bookmarkStart w:id="278" w:name="ref-dai2023"/>
    <w:p>
      <w:pPr>
        <w:pStyle w:val="Bibliography"/>
      </w:pPr>
      <w:r>
        <w:t xml:space="preserve">91.</w:t>
      </w:r>
      <w:r>
        <w:t xml:space="preserve"> </w:t>
      </w:r>
      <w:r>
        <w:t xml:space="preserve">	</w:t>
      </w:r>
      <w:r>
        <w:t xml:space="preserve">Dai &amp;A T.</w:t>
      </w:r>
      <w:r>
        <w:t xml:space="preserve"> </w:t>
      </w:r>
      <w:r>
        <w:t xml:space="preserve">Incorporating artificial intelligence into healthcare workflows: Models and insights. In</w:t>
      </w:r>
      <w:r>
        <w:t xml:space="preserve">. Tutorials in Operations Research: Advancing the Frontiers of OR/MS [Internet]. 2023; Available from:</w:t>
      </w:r>
      <w:r>
        <w:t xml:space="preserve"> </w:t>
      </w:r>
      <w:hyperlink r:id="rId277">
        <w:r>
          <w:rPr>
            <w:rStyle w:val="Hyperlink"/>
          </w:rPr>
          <w:t xml:space="preserve">https://pubsonline.informs.org/doi/abs/10.1287/educ.2023.0257</w:t>
        </w:r>
      </w:hyperlink>
    </w:p>
    <w:bookmarkEnd w:id="278"/>
    <w:bookmarkStart w:id="280" w:name="ref-berkshire2024"/>
    <w:p>
      <w:pPr>
        <w:pStyle w:val="Bibliography"/>
      </w:pPr>
      <w:r>
        <w:t xml:space="preserve">92.</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279">
        <w:r>
          <w:rPr>
            <w:rStyle w:val="Hyperlink"/>
          </w:rPr>
          <w:t xml:space="preserve">https://ia.berkshirehealthcare.nhs.uk/citizen-developer-programme</w:t>
        </w:r>
      </w:hyperlink>
    </w:p>
    <w:bookmarkEnd w:id="280"/>
    <w:bookmarkStart w:id="282" w:name="ref-elkamouchi2023"/>
    <w:p>
      <w:pPr>
        <w:pStyle w:val="Bibliography"/>
      </w:pPr>
      <w:r>
        <w:t xml:space="preserve">93.</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281">
        <w:r>
          <w:rPr>
            <w:rStyle w:val="Hyperlink"/>
          </w:rPr>
          <w:t xml:space="preserve">https://ieeexplore.ieee.org/abstract/document/10373712/</w:t>
        </w:r>
      </w:hyperlink>
    </w:p>
    <w:bookmarkEnd w:id="282"/>
    <w:bookmarkStart w:id="284" w:name="ref-aveiro2023"/>
    <w:p>
      <w:pPr>
        <w:pStyle w:val="Bibliography"/>
      </w:pPr>
      <w:r>
        <w:t xml:space="preserve">94.</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283">
        <w:r>
          <w:rPr>
            <w:rStyle w:val="Hyperlink"/>
          </w:rPr>
          <w:t xml:space="preserve">https://ieeexplore.ieee.org/document/10186753</w:t>
        </w:r>
      </w:hyperlink>
    </w:p>
    <w:bookmarkEnd w:id="284"/>
    <w:bookmarkStart w:id="286" w:name="ref-forrester2024"/>
    <w:p>
      <w:pPr>
        <w:pStyle w:val="Bibliography"/>
      </w:pPr>
      <w:r>
        <w:t xml:space="preserve">95.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285">
        <w:r>
          <w:rPr>
            <w:rStyle w:val="Hyperlink"/>
          </w:rPr>
          <w:t xml:space="preserve">https://tei.forrester.com/go/microsoft/powerappstei/?lang=en-us</w:t>
        </w:r>
      </w:hyperlink>
    </w:p>
    <w:bookmarkEnd w:id="286"/>
    <w:bookmarkStart w:id="288" w:name="ref-mogili2025"/>
    <w:p>
      <w:pPr>
        <w:pStyle w:val="Bibliography"/>
      </w:pPr>
      <w:r>
        <w:t xml:space="preserve">96.</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287">
        <w:r>
          <w:rPr>
            <w:rStyle w:val="Hyperlink"/>
          </w:rPr>
          <w:t xml:space="preserve">https://sarcouncil.com/download-article/SJECS-209-_2025-630-636.pdf</w:t>
        </w:r>
      </w:hyperlink>
    </w:p>
    <w:bookmarkEnd w:id="288"/>
    <w:bookmarkStart w:id="290" w:name="ref-pervaiz2025"/>
    <w:p>
      <w:pPr>
        <w:pStyle w:val="Bibliography"/>
      </w:pPr>
      <w:r>
        <w:t xml:space="preserve">97.</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289">
        <w:r>
          <w:rPr>
            <w:rStyle w:val="Hyperlink"/>
          </w:rPr>
          <w:t xml:space="preserve">https://imjstb.com/index.php/Journal/article/view/95</w:t>
        </w:r>
      </w:hyperlink>
    </w:p>
    <w:bookmarkEnd w:id="290"/>
    <w:bookmarkStart w:id="292" w:name="ref-pennington2023"/>
    <w:p>
      <w:pPr>
        <w:pStyle w:val="Bibliography"/>
      </w:pPr>
      <w:r>
        <w:t xml:space="preserve">98.</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291">
        <w:r>
          <w:rPr>
            <w:rStyle w:val="Hyperlink"/>
          </w:rPr>
          <w:t xml:space="preserve">https://mds.marshall.edu/etd/1824/</w:t>
        </w:r>
      </w:hyperlink>
    </w:p>
    <w:bookmarkEnd w:id="292"/>
    <w:bookmarkStart w:id="294" w:name="ref-atobatele2023"/>
    <w:p>
      <w:pPr>
        <w:pStyle w:val="Bibliography"/>
      </w:pPr>
      <w:r>
        <w:t xml:space="preserve">99.</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293">
        <w:r>
          <w:rPr>
            <w:rStyle w:val="Hyperlink"/>
          </w:rPr>
          <w:t xml:space="preserve">https://gisrrj.com/paper/GISRRJ236426.pdf</w:t>
        </w:r>
      </w:hyperlink>
    </w:p>
    <w:bookmarkEnd w:id="294"/>
    <w:bookmarkStart w:id="296" w:name="ref-tan2023"/>
    <w:p>
      <w:pPr>
        <w:pStyle w:val="Bibliography"/>
      </w:pPr>
      <w:r>
        <w:t xml:space="preserve">100.</w:t>
      </w:r>
      <w:r>
        <w:t xml:space="preserve"> </w:t>
      </w:r>
      <w:r>
        <w:t xml:space="preserve">	</w:t>
      </w:r>
      <w:r>
        <w:t xml:space="preserve">Tan T J. P. Y.</w:t>
      </w:r>
      <w:r>
        <w:t xml:space="preserve"> </w:t>
      </w:r>
      <w:r>
        <w:t xml:space="preserve">mHealth app to facilitate remote care for patients with COVID-19: rapid development of the DrCovid+ app</w:t>
      </w:r>
      <w:r>
        <w:t xml:space="preserve">.</w:t>
      </w:r>
      <w:r>
        <w:t xml:space="preserve"> </w:t>
      </w:r>
      <w:r>
        <w:t xml:space="preserve">JMIR</w:t>
      </w:r>
      <w:r>
        <w:t xml:space="preserve"> </w:t>
      </w:r>
      <w:r>
        <w:t xml:space="preserve">Formative Research [Internet]. 2023; Available from:</w:t>
      </w:r>
      <w:r>
        <w:t xml:space="preserve"> </w:t>
      </w:r>
      <w:hyperlink r:id="rId295">
        <w:r>
          <w:rPr>
            <w:rStyle w:val="Hyperlink"/>
          </w:rPr>
          <w:t xml:space="preserve">https://formative.jmir.org/2023/1/e38555</w:t>
        </w:r>
      </w:hyperlink>
    </w:p>
    <w:bookmarkEnd w:id="296"/>
    <w:bookmarkStart w:id="298" w:name="ref-precedence2024"/>
    <w:p>
      <w:pPr>
        <w:pStyle w:val="Bibliography"/>
      </w:pPr>
      <w:r>
        <w:t xml:space="preserve">101.</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297">
        <w:r>
          <w:rPr>
            <w:rStyle w:val="Hyperlink"/>
          </w:rPr>
          <w:t xml:space="preserve">https://www.precedenceresearch.com/healthcare-analytics-market</w:t>
        </w:r>
      </w:hyperlink>
    </w:p>
    <w:bookmarkEnd w:id="298"/>
    <w:bookmarkStart w:id="300" w:name="ref-farnese2019"/>
    <w:p>
      <w:pPr>
        <w:pStyle w:val="Bibliography"/>
      </w:pPr>
      <w:r>
        <w:t xml:space="preserve">102.</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299">
        <w:r>
          <w:rPr>
            <w:rStyle w:val="Hyperlink"/>
          </w:rPr>
          <w:t xml:space="preserve">https://www.frontiersin.org/articles/10.3389/fpsyg.2019.02730</w:t>
        </w:r>
      </w:hyperlink>
    </w:p>
    <w:bookmarkEnd w:id="300"/>
    <w:bookmarkStart w:id="302" w:name="ref-zhang2025"/>
    <w:p>
      <w:pPr>
        <w:pStyle w:val="Bibliography"/>
      </w:pPr>
      <w:r>
        <w:t xml:space="preserve">103.</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01">
        <w:r>
          <w:rPr>
            <w:rStyle w:val="Hyperlink"/>
          </w:rPr>
          <w:t xml:space="preserve">https://www.emerald.com/insight/content/doi/10.1108/JKM-03-2024-0262/full/html</w:t>
        </w:r>
      </w:hyperlink>
    </w:p>
    <w:bookmarkEnd w:id="302"/>
    <w:bookmarkStart w:id="304" w:name="ref-gal2019"/>
    <w:p>
      <w:pPr>
        <w:pStyle w:val="Bibliography"/>
      </w:pPr>
      <w:r>
        <w:t xml:space="preserve">104.</w:t>
      </w:r>
      <w:r>
        <w:t xml:space="preserve"> </w:t>
      </w:r>
      <w:r>
        <w:t xml:space="preserve">	</w:t>
      </w:r>
      <w:r>
        <w:t xml:space="preserve">Gal &amp;R M. S.</w:t>
      </w:r>
      <w:r>
        <w:t xml:space="preserve"> </w:t>
      </w:r>
      <w:r>
        <w:t xml:space="preserve">Data standardization</w:t>
      </w:r>
      <w:r>
        <w:t xml:space="preserve">. New York University Law Review [Internet]. 2019; Available from:</w:t>
      </w:r>
      <w:r>
        <w:t xml:space="preserve"> </w:t>
      </w:r>
      <w:hyperlink r:id="rId303">
        <w:r>
          <w:rPr>
            <w:rStyle w:val="Hyperlink"/>
          </w:rPr>
          <w:t xml:space="preserve">https://www.nyulawreview.org/issues/volume-94-number-4/data-standardization/</w:t>
        </w:r>
      </w:hyperlink>
    </w:p>
    <w:bookmarkEnd w:id="304"/>
    <w:bookmarkStart w:id="306" w:name="ref-zheng2020"/>
    <w:p>
      <w:pPr>
        <w:pStyle w:val="Bibliography"/>
      </w:pPr>
      <w:r>
        <w:t xml:space="preserve">105.</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05">
        <w:r>
          <w:rPr>
            <w:rStyle w:val="Hyperlink"/>
          </w:rPr>
          <w:t xml:space="preserve">https://www.acpjournals.org/doi/10.7326/M19-0871</w:t>
        </w:r>
      </w:hyperlink>
    </w:p>
    <w:bookmarkEnd w:id="306"/>
    <w:bookmarkStart w:id="308" w:name="ref-bogaert2021"/>
    <w:p>
      <w:pPr>
        <w:pStyle w:val="Bibliography"/>
      </w:pPr>
      <w:r>
        <w:t xml:space="preserve">106.</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07">
        <w:r>
          <w:rPr>
            <w:rStyle w:val="Hyperlink"/>
          </w:rPr>
          <w:t xml:space="preserve">https://www.sciencedirect.com/science/article/pii/S0168851021002396</w:t>
        </w:r>
      </w:hyperlink>
    </w:p>
    <w:bookmarkEnd w:id="308"/>
    <w:bookmarkStart w:id="310" w:name="ref-ibm2022"/>
    <w:p>
      <w:pPr>
        <w:pStyle w:val="Bibliography"/>
      </w:pPr>
      <w:r>
        <w:t xml:space="preserve">107.</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09">
        <w:r>
          <w:rPr>
            <w:rStyle w:val="Hyperlink"/>
          </w:rPr>
          <w:t xml:space="preserve">https://newsroom.ibm.com/2022-01-21-Francisco-Partners-to-Acquire-IBMs-Healthcare-Data-and-Analytics-Assets</w:t>
        </w:r>
      </w:hyperlink>
    </w:p>
    <w:bookmarkEnd w:id="310"/>
    <w:bookmarkStart w:id="312" w:name="ref-lavito2021"/>
    <w:p>
      <w:pPr>
        <w:pStyle w:val="Bibliography"/>
      </w:pPr>
      <w:r>
        <w:t xml:space="preserve">108.</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11">
        <w:r>
          <w:rPr>
            <w:rStyle w:val="Hyperlink"/>
          </w:rPr>
          <w:t xml:space="preserve">https://www.cnbc.com/2021/01/04/haven-the-amazon-berkshire-jpmorgan-venture-to-disrupt-healthcare-is-disbanding-after-3-years.html</w:t>
        </w:r>
      </w:hyperlink>
    </w:p>
    <w:bookmarkEnd w:id="312"/>
    <w:bookmarkEnd w:id="313"/>
    <w:bookmarkEnd w:id="314"/>
    <w:bookmarkEnd w:id="315"/>
    <w:bookmarkEnd w:id="3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00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76" Target="https://academic.oup.com/jamia/article-abstract/26/4/294/5308980" TargetMode="External" /><Relationship Type="http://schemas.openxmlformats.org/officeDocument/2006/relationships/hyperlink" Id="rId142" Target="https://academic.oup.com/jamia/article/14/6/687/750453" TargetMode="External" /><Relationship Type="http://schemas.openxmlformats.org/officeDocument/2006/relationships/hyperlink" Id="rId148" Target="https://academic.oup.com/jpubhealth" TargetMode="External" /><Relationship Type="http://schemas.openxmlformats.org/officeDocument/2006/relationships/hyperlink" Id="rId271" Target="https://ai.jmir.org/2023/1/e44358" TargetMode="External" /><Relationship Type="http://schemas.openxmlformats.org/officeDocument/2006/relationships/hyperlink" Id="rId156" Target="https://ai.nejm.org/doi/full/10.1056/AIdbp2500144" TargetMode="External" /><Relationship Type="http://schemas.openxmlformats.org/officeDocument/2006/relationships/hyperlink" Id="rId174" Target="https://al-kindipublishers.org/index.php/jcsts/article/view/8823" TargetMode="External" /><Relationship Type="http://schemas.openxmlformats.org/officeDocument/2006/relationships/hyperlink" Id="rId164" Target="https://arxiv.org/abs/1908.01839" TargetMode="External" /><Relationship Type="http://schemas.openxmlformats.org/officeDocument/2006/relationships/hyperlink" Id="rId166"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168" Target="https://arxiv.org/abs/2411.05521" TargetMode="External" /><Relationship Type="http://schemas.openxmlformats.org/officeDocument/2006/relationships/hyperlink" Id="rId154" Target="https://arxiv.org/abs/2505.08775" TargetMode="External" /><Relationship Type="http://schemas.openxmlformats.org/officeDocument/2006/relationships/hyperlink" Id="rId152" Target="https://arxiv.org/abs/2508.08224" TargetMode="External" /><Relationship Type="http://schemas.openxmlformats.org/officeDocument/2006/relationships/hyperlink" Id="rId180" Target="https://arxiv.org/abs/2511.14718" TargetMode="External" /><Relationship Type="http://schemas.openxmlformats.org/officeDocument/2006/relationships/hyperlink" Id="rId170" Target="https://arxiv.org/abs/2511.17559" TargetMode="External" /><Relationship Type="http://schemas.openxmlformats.org/officeDocument/2006/relationships/hyperlink" Id="rId116" Target="https://dl.acm.org/doi/10.1145/1017114.1017118" TargetMode="External" /><Relationship Type="http://schemas.openxmlformats.org/officeDocument/2006/relationships/hyperlink" Id="rId126" Target="https://dl.acm.org/doi/abs/10.1145/320251.320253" TargetMode="External" /><Relationship Type="http://schemas.openxmlformats.org/officeDocument/2006/relationships/hyperlink" Id="rId182" Target="https://dl.acm.org/doi/abs/10.1145/3318464.3389777" TargetMode="External" /><Relationship Type="http://schemas.openxmlformats.org/officeDocument/2006/relationships/hyperlink" Id="rId140" Target="https://doi.org/10.1016/j.ijinfomgt.2003.12.012" TargetMode="External" /><Relationship Type="http://schemas.openxmlformats.org/officeDocument/2006/relationships/hyperlink" Id="rId210" Target="https://doi.org/10.1016/j.ijinfomgt.2018.07.001" TargetMode="External" /><Relationship Type="http://schemas.openxmlformats.org/officeDocument/2006/relationships/hyperlink" Id="rId229" Target="https://doi.org/10.1108/JKM-08-2016-0338" TargetMode="External" /><Relationship Type="http://schemas.openxmlformats.org/officeDocument/2006/relationships/hyperlink" Id="rId146" Target="https://dspace.flinders.edu.au/jspui/bitstream/2328/3326/4/AACODS_Checklist.pdf" TargetMode="External" /><Relationship Type="http://schemas.openxmlformats.org/officeDocument/2006/relationships/hyperlink" Id="rId295" Target="https://formative.jmir.org/2023/1/e38555" TargetMode="External" /><Relationship Type="http://schemas.openxmlformats.org/officeDocument/2006/relationships/hyperlink" Id="rId293" Target="https://gisrrj.com/paper/GISRRJ236426.pdf" TargetMode="External" /><Relationship Type="http://schemas.openxmlformats.org/officeDocument/2006/relationships/hyperlink" Id="rId239" Target="https://human-resources-health.biomedcentral.com/articles/10.1186/1478-4491-11-35" TargetMode="External" /><Relationship Type="http://schemas.openxmlformats.org/officeDocument/2006/relationships/hyperlink" Id="rId251" Target="https://human-resources-health.biomedcentral.com/articles/10.1186/s12960-019-0432-y" TargetMode="External" /><Relationship Type="http://schemas.openxmlformats.org/officeDocument/2006/relationships/hyperlink" Id="rId279" Target="https://ia.berkshirehealthcare.nhs.uk/citizen-developer-programme" TargetMode="External" /><Relationship Type="http://schemas.openxmlformats.org/officeDocument/2006/relationships/hyperlink" Id="rId281" Target="https://ieeexplore.ieee.org/abstract/document/10373712/" TargetMode="External" /><Relationship Type="http://schemas.openxmlformats.org/officeDocument/2006/relationships/hyperlink" Id="rId283" Target="https://ieeexplore.ieee.org/document/10186753" TargetMode="External" /><Relationship Type="http://schemas.openxmlformats.org/officeDocument/2006/relationships/hyperlink" Id="rId275" Target="https://ieeexplore.ieee.org/document/10297311" TargetMode="External" /><Relationship Type="http://schemas.openxmlformats.org/officeDocument/2006/relationships/hyperlink" Id="rId289" Target="https://imjstb.com/index.php/Journal/article/view/95" TargetMode="External" /><Relationship Type="http://schemas.openxmlformats.org/officeDocument/2006/relationships/hyperlink" Id="rId132" Target="https://jamanetwork.com/journals/jamainternalmedicine/fullarticle/2807501" TargetMode="External" /><Relationship Type="http://schemas.openxmlformats.org/officeDocument/2006/relationships/hyperlink" Id="rId235" Target="https://jamanetwork.com/journals/jamanetworkopen/fullarticle/2784810" TargetMode="External" /><Relationship Type="http://schemas.openxmlformats.org/officeDocument/2006/relationships/hyperlink" Id="rId265" Target="https://journalofbigdata.springeropen.com/articles/10.1186/s40537-019-0170-y" TargetMode="External" /><Relationship Type="http://schemas.openxmlformats.org/officeDocument/2006/relationships/hyperlink" Id="rId231" Target="https://journals.lww.com/jonajournal/abstract/2005/01000/the_costs_of_nurse_turnover__part_2__application.14.aspx" TargetMode="External" /><Relationship Type="http://schemas.openxmlformats.org/officeDocument/2006/relationships/hyperlink" Id="rId200" Target="https://journals.sagepub.com/doi/full/10.1177/23743735241253785" TargetMode="External" /><Relationship Type="http://schemas.openxmlformats.org/officeDocument/2006/relationships/hyperlink" Id="rId194" Target="https://legacy.himss.org/news/new-analytics-maturity-adoption-model-pushes-digital-transformation-and-data-driven-decisions" TargetMode="External" /><Relationship Type="http://schemas.openxmlformats.org/officeDocument/2006/relationships/hyperlink" Id="rId190" Target="https://link.springer.com/article/10.1007/s10489-023-04567-2" TargetMode="External" /><Relationship Type="http://schemas.openxmlformats.org/officeDocument/2006/relationships/hyperlink" Id="rId138" Target="https://link.springer.com/article/10.1007/s10916-011-9656-7" TargetMode="External" /><Relationship Type="http://schemas.openxmlformats.org/officeDocument/2006/relationships/hyperlink" Id="rId122" Target="https://link.springer.com/article/10.1007/s10916-020-01665-9" TargetMode="External" /><Relationship Type="http://schemas.openxmlformats.org/officeDocument/2006/relationships/hyperlink" Id="rId291" Target="https://mds.marshall.edu/etd/1824/" TargetMode="External" /><Relationship Type="http://schemas.openxmlformats.org/officeDocument/2006/relationships/hyperlink" Id="rId186" Target="https://medinform.jmir.org/2019/2/e13331" TargetMode="External" /><Relationship Type="http://schemas.openxmlformats.org/officeDocument/2006/relationships/hyperlink" Id="rId273" Target="https://medinform.jmir.org/2022/2/e32875" TargetMode="External" /><Relationship Type="http://schemas.openxmlformats.org/officeDocument/2006/relationships/hyperlink" Id="rId309" Target="https://newsroom.ibm.com/2022-01-21-Francisco-Partners-to-Acquire-IBMs-Healthcare-Data-and-Analytics-Assets" TargetMode="External" /><Relationship Type="http://schemas.openxmlformats.org/officeDocument/2006/relationships/hyperlink" Id="rId202" Target="https://onlinelibrary.wiley.com/doi/abs/10.1111/1467-8551.12332" TargetMode="External" /><Relationship Type="http://schemas.openxmlformats.org/officeDocument/2006/relationships/hyperlink" Id="rId257" Target="https://onlinelibrary.wiley.com/doi/abs/10.1111/j.1540-5885.2010.00798.x" TargetMode="External" /><Relationship Type="http://schemas.openxmlformats.org/officeDocument/2006/relationships/hyperlink" Id="rId249" Target="https://onlinelibrary.wiley.com/doi/abs/10.1111/j.1547-5069.2009.01319.x" TargetMode="External" /><Relationship Type="http://schemas.openxmlformats.org/officeDocument/2006/relationships/hyperlink" Id="rId130" Target="https://papers.ssrn.com/sol3/papers.cfm?abstract_id=5268176" TargetMode="External" /><Relationship Type="http://schemas.openxmlformats.org/officeDocument/2006/relationships/hyperlink" Id="rId243" Target="https://pmc.ncbi.nlm.nih.gov/articles/PMC10243608/" TargetMode="External" /><Relationship Type="http://schemas.openxmlformats.org/officeDocument/2006/relationships/hyperlink" Id="rId144" Target="https://pmc.ncbi.nlm.nih.gov/articles/PMC10802134/" TargetMode="External" /><Relationship Type="http://schemas.openxmlformats.org/officeDocument/2006/relationships/hyperlink" Id="rId227" Target="https://pmc.ncbi.nlm.nih.gov/articles/PMC11919231/" TargetMode="External" /><Relationship Type="http://schemas.openxmlformats.org/officeDocument/2006/relationships/hyperlink" Id="rId136" Target="https://publishing.emanresearch.org/index.php/bej/article/view/1136" TargetMode="External" /><Relationship Type="http://schemas.openxmlformats.org/officeDocument/2006/relationships/hyperlink" Id="rId241" Target="https://pubmed.ncbi.nlm.nih.gov/20054502/" TargetMode="External" /><Relationship Type="http://schemas.openxmlformats.org/officeDocument/2006/relationships/hyperlink" Id="rId277" Target="https://pubsonline.informs.org/doi/abs/10.1287/educ.2023.0257" TargetMode="External" /><Relationship Type="http://schemas.openxmlformats.org/officeDocument/2006/relationships/hyperlink" Id="rId124" Target="https://resources.anthropic.com/code-modernization-playbook" TargetMode="External" /><Relationship Type="http://schemas.openxmlformats.org/officeDocument/2006/relationships/hyperlink" Id="rId192" Target="https://sarcouncil.com/2025/06/ai-driven-mainframe-modernization-unlocking-legacy-data-for-cloud-analytics" TargetMode="External" /><Relationship Type="http://schemas.openxmlformats.org/officeDocument/2006/relationships/hyperlink" Id="rId287" Target="https://sarcouncil.com/download-article/SJECS-209-_2025-630-636.pdf" TargetMode="External" /><Relationship Type="http://schemas.openxmlformats.org/officeDocument/2006/relationships/hyperlink" Id="rId285" Target="https://tei.forrester.com/go/microsoft/powerappstei/?lang=en-us" TargetMode="External" /><Relationship Type="http://schemas.openxmlformats.org/officeDocument/2006/relationships/hyperlink" Id="rId305" Target="https://www.acpjournals.org/doi/10.7326/M19-0871" TargetMode="External" /><Relationship Type="http://schemas.openxmlformats.org/officeDocument/2006/relationships/hyperlink" Id="rId112" Target="https://www.ahima.org/news-publications/press-room-press-releases/2023-press-releases/health-information-workforce-shortages-persist-as-ai-shows-promise-ahima-survey-reveals/" TargetMode="External" /><Relationship Type="http://schemas.openxmlformats.org/officeDocument/2006/relationships/hyperlink" Id="rId128" Target="https://www.allmultidisciplinaryjournal.com/uploads/archives/20250306182550_MGE-2025-2-018.1.pdf" TargetMode="External" /><Relationship Type="http://schemas.openxmlformats.org/officeDocument/2006/relationships/hyperlink" Id="rId233" Target="https://www.annfammed.org/content/17/1/36" TargetMode="External" /><Relationship Type="http://schemas.openxmlformats.org/officeDocument/2006/relationships/hyperlink" Id="rId311" Target="https://www.cnbc.com/2021/01/04/haven-the-amazon-berkshire-jpmorgan-venture-to-disrupt-healthcare-is-disbanding-after-3-years.html" TargetMode="External" /><Relationship Type="http://schemas.openxmlformats.org/officeDocument/2006/relationships/hyperlink" Id="rId245" Target="https://www.diva-portal.org/smash/record.jsf?pid=diva2:1684142" TargetMode="External" /><Relationship Type="http://schemas.openxmlformats.org/officeDocument/2006/relationships/hyperlink" Id="rId253" Target="https://www.emerald.com/insight/content/doi/10.1108/13660750510611198/full/html" TargetMode="External" /><Relationship Type="http://schemas.openxmlformats.org/officeDocument/2006/relationships/hyperlink" Id="rId259" Target="https://www.emerald.com/insight/content/doi/10.1108/13673270610650067/full/html" TargetMode="External" /><Relationship Type="http://schemas.openxmlformats.org/officeDocument/2006/relationships/hyperlink" Id="rId301" Target="https://www.emerald.com/insight/content/doi/10.1108/JKM-03-2024-0262/full/html" TargetMode="External" /><Relationship Type="http://schemas.openxmlformats.org/officeDocument/2006/relationships/hyperlink" Id="rId188" Target="https://www.frontiersin.org/articles/10.3389/fdata.2024.1371680" TargetMode="External" /><Relationship Type="http://schemas.openxmlformats.org/officeDocument/2006/relationships/hyperlink" Id="rId299" Target="https://www.frontiersin.org/articles/10.3389/fpsyg.2019.02730" TargetMode="External" /><Relationship Type="http://schemas.openxmlformats.org/officeDocument/2006/relationships/hyperlink" Id="rId120" Target="https://www.health.org.uk/publications/understanding-analytical-capability-in-health-care" TargetMode="External" /><Relationship Type="http://schemas.openxmlformats.org/officeDocument/2006/relationships/hyperlink" Id="rId208" Target="https://www.healthcatalyst.com/learn/insights/healthcare-analytics-adoption-model-roadmap-analytic-maturity" TargetMode="External" /><Relationship Type="http://schemas.openxmlformats.org/officeDocument/2006/relationships/hyperlink" Id="rId114" Target="https://www.himss.org/maturity-models/amam/" TargetMode="External" /><Relationship Type="http://schemas.openxmlformats.org/officeDocument/2006/relationships/hyperlink" Id="rId263" Target="https://www.inderscienceonline.com/doi/abs/10.1504/IJNKM.2006.009880" TargetMode="External" /><Relationship Type="http://schemas.openxmlformats.org/officeDocument/2006/relationships/hyperlink" Id="rId134" Target="https://www.ingentaconnect.com/content/hsp/mih/2024/00000008/00000004/art00006" TargetMode="External" /><Relationship Type="http://schemas.openxmlformats.org/officeDocument/2006/relationships/hyperlink" Id="rId267" Target="https://www.jmir.org/2020/10/e20346/" TargetMode="External" /><Relationship Type="http://schemas.openxmlformats.org/officeDocument/2006/relationships/hyperlink" Id="rId198" Target="https://www.jmir.org/2024/1/e52224" TargetMode="External" /><Relationship Type="http://schemas.openxmlformats.org/officeDocument/2006/relationships/hyperlink" Id="rId247" Target="https://www.mdpi.com/1660-4601/17/12/4267" TargetMode="External" /><Relationship Type="http://schemas.openxmlformats.org/officeDocument/2006/relationships/hyperlink" Id="rId204" Target="https://www.mdpi.com/2227-9032/13/1/1" TargetMode="External" /><Relationship Type="http://schemas.openxmlformats.org/officeDocument/2006/relationships/hyperlink" Id="rId160" Target="https://www.mdpi.com/2504-2289/9/3/124" TargetMode="External" /><Relationship Type="http://schemas.openxmlformats.org/officeDocument/2006/relationships/hyperlink" Id="rId158" Target="https://www.nature.com/articles/s41746-024-01390-4" TargetMode="External" /><Relationship Type="http://schemas.openxmlformats.org/officeDocument/2006/relationships/hyperlink" Id="rId303" Target="https://www.nyulawreview.org/issues/volume-94-number-4/data-standardization/" TargetMode="External" /><Relationship Type="http://schemas.openxmlformats.org/officeDocument/2006/relationships/hyperlink" Id="rId237" Target="https://www.oracle.com/human-capital-management/cost-employee-turnover-healthcare/" TargetMode="External" /><Relationship Type="http://schemas.openxmlformats.org/officeDocument/2006/relationships/hyperlink" Id="rId297" Target="https://www.precedenceresearch.com/healthcare-analytics-market" TargetMode="External" /><Relationship Type="http://schemas.openxmlformats.org/officeDocument/2006/relationships/hyperlink" Id="rId255" Target="https://www.redjournal.org/article/S0360-3016(16)00260-1/fulltext" TargetMode="External" /><Relationship Type="http://schemas.openxmlformats.org/officeDocument/2006/relationships/hyperlink" Id="rId196" Target="https://www.sciencedirect.com/science/article/abs/pii/S0148296316304891" TargetMode="External" /><Relationship Type="http://schemas.openxmlformats.org/officeDocument/2006/relationships/hyperlink" Id="rId172" Target="https://www.sciencedirect.com/science/article/pii/S0031320324008197" TargetMode="External" /><Relationship Type="http://schemas.openxmlformats.org/officeDocument/2006/relationships/hyperlink" Id="rId118" Target="https://www.sciencedirect.com/science/article/pii/S0040162516302244" TargetMode="External" /><Relationship Type="http://schemas.openxmlformats.org/officeDocument/2006/relationships/hyperlink" Id="rId307" Target="https://www.sciencedirect.com/science/article/pii/S0168851021002396" TargetMode="External" /><Relationship Type="http://schemas.openxmlformats.org/officeDocument/2006/relationships/hyperlink" Id="rId269" Target="https://www.sciencedirect.com/science/article/pii/S1386505623001296" TargetMode="External" /><Relationship Type="http://schemas.openxmlformats.org/officeDocument/2006/relationships/hyperlink" Id="rId162" Target="https://www.sciencedirect.com/science/article/pii/S1386505623001405" TargetMode="External" /><Relationship Type="http://schemas.openxmlformats.org/officeDocument/2006/relationships/hyperlink" Id="rId184" Target="https://www.sciencedirect.com/science/article/pii/S1532046414001592" TargetMode="External" /><Relationship Type="http://schemas.openxmlformats.org/officeDocument/2006/relationships/hyperlink" Id="rId178" Target="https://www.sciencedirect.com/science/article/pii/S1532046424000650" TargetMode="External" /><Relationship Type="http://schemas.openxmlformats.org/officeDocument/2006/relationships/hyperlink" Id="rId261" Target="https://www.tandfonline.com/doi/abs/10.1080/08956308.2010.11657637" TargetMode="External" /><Relationship Type="http://schemas.openxmlformats.org/officeDocument/2006/relationships/hyperlink" Id="rId206" Target="https://www.tandfonline.com/doi/full/10.1080/20479700.2018.1531606" TargetMode="External" /></Relationships>
</file>

<file path=word/_rels/footnotes.xml.rels><?xml version="1.0" encoding="UTF-8"?><Relationships xmlns="http://schemas.openxmlformats.org/package/2006/relationships"><Relationship Type="http://schemas.openxmlformats.org/officeDocument/2006/relationships/hyperlink" Id="rId176" Target="https://academic.oup.com/jamia/article-abstract/26/4/294/5308980" TargetMode="External" /><Relationship Type="http://schemas.openxmlformats.org/officeDocument/2006/relationships/hyperlink" Id="rId142" Target="https://academic.oup.com/jamia/article/14/6/687/750453" TargetMode="External" /><Relationship Type="http://schemas.openxmlformats.org/officeDocument/2006/relationships/hyperlink" Id="rId148" Target="https://academic.oup.com/jpubhealth" TargetMode="External" /><Relationship Type="http://schemas.openxmlformats.org/officeDocument/2006/relationships/hyperlink" Id="rId271" Target="https://ai.jmir.org/2023/1/e44358" TargetMode="External" /><Relationship Type="http://schemas.openxmlformats.org/officeDocument/2006/relationships/hyperlink" Id="rId156" Target="https://ai.nejm.org/doi/full/10.1056/AIdbp2500144" TargetMode="External" /><Relationship Type="http://schemas.openxmlformats.org/officeDocument/2006/relationships/hyperlink" Id="rId174" Target="https://al-kindipublishers.org/index.php/jcsts/article/view/8823" TargetMode="External" /><Relationship Type="http://schemas.openxmlformats.org/officeDocument/2006/relationships/hyperlink" Id="rId164" Target="https://arxiv.org/abs/1908.01839" TargetMode="External" /><Relationship Type="http://schemas.openxmlformats.org/officeDocument/2006/relationships/hyperlink" Id="rId166"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168" Target="https://arxiv.org/abs/2411.05521" TargetMode="External" /><Relationship Type="http://schemas.openxmlformats.org/officeDocument/2006/relationships/hyperlink" Id="rId154" Target="https://arxiv.org/abs/2505.08775" TargetMode="External" /><Relationship Type="http://schemas.openxmlformats.org/officeDocument/2006/relationships/hyperlink" Id="rId152" Target="https://arxiv.org/abs/2508.08224" TargetMode="External" /><Relationship Type="http://schemas.openxmlformats.org/officeDocument/2006/relationships/hyperlink" Id="rId180" Target="https://arxiv.org/abs/2511.14718" TargetMode="External" /><Relationship Type="http://schemas.openxmlformats.org/officeDocument/2006/relationships/hyperlink" Id="rId170" Target="https://arxiv.org/abs/2511.17559" TargetMode="External" /><Relationship Type="http://schemas.openxmlformats.org/officeDocument/2006/relationships/hyperlink" Id="rId116" Target="https://dl.acm.org/doi/10.1145/1017114.1017118" TargetMode="External" /><Relationship Type="http://schemas.openxmlformats.org/officeDocument/2006/relationships/hyperlink" Id="rId126" Target="https://dl.acm.org/doi/abs/10.1145/320251.320253" TargetMode="External" /><Relationship Type="http://schemas.openxmlformats.org/officeDocument/2006/relationships/hyperlink" Id="rId182" Target="https://dl.acm.org/doi/abs/10.1145/3318464.3389777" TargetMode="External" /><Relationship Type="http://schemas.openxmlformats.org/officeDocument/2006/relationships/hyperlink" Id="rId140" Target="https://doi.org/10.1016/j.ijinfomgt.2003.12.012" TargetMode="External" /><Relationship Type="http://schemas.openxmlformats.org/officeDocument/2006/relationships/hyperlink" Id="rId210" Target="https://doi.org/10.1016/j.ijinfomgt.2018.07.001" TargetMode="External" /><Relationship Type="http://schemas.openxmlformats.org/officeDocument/2006/relationships/hyperlink" Id="rId229" Target="https://doi.org/10.1108/JKM-08-2016-0338" TargetMode="External" /><Relationship Type="http://schemas.openxmlformats.org/officeDocument/2006/relationships/hyperlink" Id="rId146" Target="https://dspace.flinders.edu.au/jspui/bitstream/2328/3326/4/AACODS_Checklist.pdf" TargetMode="External" /><Relationship Type="http://schemas.openxmlformats.org/officeDocument/2006/relationships/hyperlink" Id="rId295" Target="https://formative.jmir.org/2023/1/e38555" TargetMode="External" /><Relationship Type="http://schemas.openxmlformats.org/officeDocument/2006/relationships/hyperlink" Id="rId293" Target="https://gisrrj.com/paper/GISRRJ236426.pdf" TargetMode="External" /><Relationship Type="http://schemas.openxmlformats.org/officeDocument/2006/relationships/hyperlink" Id="rId239" Target="https://human-resources-health.biomedcentral.com/articles/10.1186/1478-4491-11-35" TargetMode="External" /><Relationship Type="http://schemas.openxmlformats.org/officeDocument/2006/relationships/hyperlink" Id="rId251" Target="https://human-resources-health.biomedcentral.com/articles/10.1186/s12960-019-0432-y" TargetMode="External" /><Relationship Type="http://schemas.openxmlformats.org/officeDocument/2006/relationships/hyperlink" Id="rId279" Target="https://ia.berkshirehealthcare.nhs.uk/citizen-developer-programme" TargetMode="External" /><Relationship Type="http://schemas.openxmlformats.org/officeDocument/2006/relationships/hyperlink" Id="rId281" Target="https://ieeexplore.ieee.org/abstract/document/10373712/" TargetMode="External" /><Relationship Type="http://schemas.openxmlformats.org/officeDocument/2006/relationships/hyperlink" Id="rId283" Target="https://ieeexplore.ieee.org/document/10186753" TargetMode="External" /><Relationship Type="http://schemas.openxmlformats.org/officeDocument/2006/relationships/hyperlink" Id="rId275" Target="https://ieeexplore.ieee.org/document/10297311" TargetMode="External" /><Relationship Type="http://schemas.openxmlformats.org/officeDocument/2006/relationships/hyperlink" Id="rId289" Target="https://imjstb.com/index.php/Journal/article/view/95" TargetMode="External" /><Relationship Type="http://schemas.openxmlformats.org/officeDocument/2006/relationships/hyperlink" Id="rId132" Target="https://jamanetwork.com/journals/jamainternalmedicine/fullarticle/2807501" TargetMode="External" /><Relationship Type="http://schemas.openxmlformats.org/officeDocument/2006/relationships/hyperlink" Id="rId235" Target="https://jamanetwork.com/journals/jamanetworkopen/fullarticle/2784810" TargetMode="External" /><Relationship Type="http://schemas.openxmlformats.org/officeDocument/2006/relationships/hyperlink" Id="rId265" Target="https://journalofbigdata.springeropen.com/articles/10.1186/s40537-019-0170-y" TargetMode="External" /><Relationship Type="http://schemas.openxmlformats.org/officeDocument/2006/relationships/hyperlink" Id="rId231" Target="https://journals.lww.com/jonajournal/abstract/2005/01000/the_costs_of_nurse_turnover__part_2__application.14.aspx" TargetMode="External" /><Relationship Type="http://schemas.openxmlformats.org/officeDocument/2006/relationships/hyperlink" Id="rId200" Target="https://journals.sagepub.com/doi/full/10.1177/23743735241253785" TargetMode="External" /><Relationship Type="http://schemas.openxmlformats.org/officeDocument/2006/relationships/hyperlink" Id="rId194" Target="https://legacy.himss.org/news/new-analytics-maturity-adoption-model-pushes-digital-transformation-and-data-driven-decisions" TargetMode="External" /><Relationship Type="http://schemas.openxmlformats.org/officeDocument/2006/relationships/hyperlink" Id="rId190" Target="https://link.springer.com/article/10.1007/s10489-023-04567-2" TargetMode="External" /><Relationship Type="http://schemas.openxmlformats.org/officeDocument/2006/relationships/hyperlink" Id="rId138" Target="https://link.springer.com/article/10.1007/s10916-011-9656-7" TargetMode="External" /><Relationship Type="http://schemas.openxmlformats.org/officeDocument/2006/relationships/hyperlink" Id="rId122" Target="https://link.springer.com/article/10.1007/s10916-020-01665-9" TargetMode="External" /><Relationship Type="http://schemas.openxmlformats.org/officeDocument/2006/relationships/hyperlink" Id="rId291" Target="https://mds.marshall.edu/etd/1824/" TargetMode="External" /><Relationship Type="http://schemas.openxmlformats.org/officeDocument/2006/relationships/hyperlink" Id="rId186" Target="https://medinform.jmir.org/2019/2/e13331" TargetMode="External" /><Relationship Type="http://schemas.openxmlformats.org/officeDocument/2006/relationships/hyperlink" Id="rId273" Target="https://medinform.jmir.org/2022/2/e32875" TargetMode="External" /><Relationship Type="http://schemas.openxmlformats.org/officeDocument/2006/relationships/hyperlink" Id="rId309" Target="https://newsroom.ibm.com/2022-01-21-Francisco-Partners-to-Acquire-IBMs-Healthcare-Data-and-Analytics-Assets" TargetMode="External" /><Relationship Type="http://schemas.openxmlformats.org/officeDocument/2006/relationships/hyperlink" Id="rId202" Target="https://onlinelibrary.wiley.com/doi/abs/10.1111/1467-8551.12332" TargetMode="External" /><Relationship Type="http://schemas.openxmlformats.org/officeDocument/2006/relationships/hyperlink" Id="rId257" Target="https://onlinelibrary.wiley.com/doi/abs/10.1111/j.1540-5885.2010.00798.x" TargetMode="External" /><Relationship Type="http://schemas.openxmlformats.org/officeDocument/2006/relationships/hyperlink" Id="rId249" Target="https://onlinelibrary.wiley.com/doi/abs/10.1111/j.1547-5069.2009.01319.x" TargetMode="External" /><Relationship Type="http://schemas.openxmlformats.org/officeDocument/2006/relationships/hyperlink" Id="rId130" Target="https://papers.ssrn.com/sol3/papers.cfm?abstract_id=5268176" TargetMode="External" /><Relationship Type="http://schemas.openxmlformats.org/officeDocument/2006/relationships/hyperlink" Id="rId243" Target="https://pmc.ncbi.nlm.nih.gov/articles/PMC10243608/" TargetMode="External" /><Relationship Type="http://schemas.openxmlformats.org/officeDocument/2006/relationships/hyperlink" Id="rId144" Target="https://pmc.ncbi.nlm.nih.gov/articles/PMC10802134/" TargetMode="External" /><Relationship Type="http://schemas.openxmlformats.org/officeDocument/2006/relationships/hyperlink" Id="rId227" Target="https://pmc.ncbi.nlm.nih.gov/articles/PMC11919231/" TargetMode="External" /><Relationship Type="http://schemas.openxmlformats.org/officeDocument/2006/relationships/hyperlink" Id="rId136" Target="https://publishing.emanresearch.org/index.php/bej/article/view/1136" TargetMode="External" /><Relationship Type="http://schemas.openxmlformats.org/officeDocument/2006/relationships/hyperlink" Id="rId241" Target="https://pubmed.ncbi.nlm.nih.gov/20054502/" TargetMode="External" /><Relationship Type="http://schemas.openxmlformats.org/officeDocument/2006/relationships/hyperlink" Id="rId277" Target="https://pubsonline.informs.org/doi/abs/10.1287/educ.2023.0257" TargetMode="External" /><Relationship Type="http://schemas.openxmlformats.org/officeDocument/2006/relationships/hyperlink" Id="rId124" Target="https://resources.anthropic.com/code-modernization-playbook" TargetMode="External" /><Relationship Type="http://schemas.openxmlformats.org/officeDocument/2006/relationships/hyperlink" Id="rId192" Target="https://sarcouncil.com/2025/06/ai-driven-mainframe-modernization-unlocking-legacy-data-for-cloud-analytics" TargetMode="External" /><Relationship Type="http://schemas.openxmlformats.org/officeDocument/2006/relationships/hyperlink" Id="rId287" Target="https://sarcouncil.com/download-article/SJECS-209-_2025-630-636.pdf" TargetMode="External" /><Relationship Type="http://schemas.openxmlformats.org/officeDocument/2006/relationships/hyperlink" Id="rId285" Target="https://tei.forrester.com/go/microsoft/powerappstei/?lang=en-us" TargetMode="External" /><Relationship Type="http://schemas.openxmlformats.org/officeDocument/2006/relationships/hyperlink" Id="rId305" Target="https://www.acpjournals.org/doi/10.7326/M19-0871" TargetMode="External" /><Relationship Type="http://schemas.openxmlformats.org/officeDocument/2006/relationships/hyperlink" Id="rId112" Target="https://www.ahima.org/news-publications/press-room-press-releases/2023-press-releases/health-information-workforce-shortages-persist-as-ai-shows-promise-ahima-survey-reveals/" TargetMode="External" /><Relationship Type="http://schemas.openxmlformats.org/officeDocument/2006/relationships/hyperlink" Id="rId128" Target="https://www.allmultidisciplinaryjournal.com/uploads/archives/20250306182550_MGE-2025-2-018.1.pdf" TargetMode="External" /><Relationship Type="http://schemas.openxmlformats.org/officeDocument/2006/relationships/hyperlink" Id="rId233" Target="https://www.annfammed.org/content/17/1/36" TargetMode="External" /><Relationship Type="http://schemas.openxmlformats.org/officeDocument/2006/relationships/hyperlink" Id="rId311" Target="https://www.cnbc.com/2021/01/04/haven-the-amazon-berkshire-jpmorgan-venture-to-disrupt-healthcare-is-disbanding-after-3-years.html" TargetMode="External" /><Relationship Type="http://schemas.openxmlformats.org/officeDocument/2006/relationships/hyperlink" Id="rId245" Target="https://www.diva-portal.org/smash/record.jsf?pid=diva2:1684142" TargetMode="External" /><Relationship Type="http://schemas.openxmlformats.org/officeDocument/2006/relationships/hyperlink" Id="rId253" Target="https://www.emerald.com/insight/content/doi/10.1108/13660750510611198/full/html" TargetMode="External" /><Relationship Type="http://schemas.openxmlformats.org/officeDocument/2006/relationships/hyperlink" Id="rId259" Target="https://www.emerald.com/insight/content/doi/10.1108/13673270610650067/full/html" TargetMode="External" /><Relationship Type="http://schemas.openxmlformats.org/officeDocument/2006/relationships/hyperlink" Id="rId301" Target="https://www.emerald.com/insight/content/doi/10.1108/JKM-03-2024-0262/full/html" TargetMode="External" /><Relationship Type="http://schemas.openxmlformats.org/officeDocument/2006/relationships/hyperlink" Id="rId188" Target="https://www.frontiersin.org/articles/10.3389/fdata.2024.1371680" TargetMode="External" /><Relationship Type="http://schemas.openxmlformats.org/officeDocument/2006/relationships/hyperlink" Id="rId299" Target="https://www.frontiersin.org/articles/10.3389/fpsyg.2019.02730" TargetMode="External" /><Relationship Type="http://schemas.openxmlformats.org/officeDocument/2006/relationships/hyperlink" Id="rId120" Target="https://www.health.org.uk/publications/understanding-analytical-capability-in-health-care" TargetMode="External" /><Relationship Type="http://schemas.openxmlformats.org/officeDocument/2006/relationships/hyperlink" Id="rId208" Target="https://www.healthcatalyst.com/learn/insights/healthcare-analytics-adoption-model-roadmap-analytic-maturity" TargetMode="External" /><Relationship Type="http://schemas.openxmlformats.org/officeDocument/2006/relationships/hyperlink" Id="rId114" Target="https://www.himss.org/maturity-models/amam/" TargetMode="External" /><Relationship Type="http://schemas.openxmlformats.org/officeDocument/2006/relationships/hyperlink" Id="rId263" Target="https://www.inderscienceonline.com/doi/abs/10.1504/IJNKM.2006.009880" TargetMode="External" /><Relationship Type="http://schemas.openxmlformats.org/officeDocument/2006/relationships/hyperlink" Id="rId134" Target="https://www.ingentaconnect.com/content/hsp/mih/2024/00000008/00000004/art00006" TargetMode="External" /><Relationship Type="http://schemas.openxmlformats.org/officeDocument/2006/relationships/hyperlink" Id="rId267" Target="https://www.jmir.org/2020/10/e20346/" TargetMode="External" /><Relationship Type="http://schemas.openxmlformats.org/officeDocument/2006/relationships/hyperlink" Id="rId198" Target="https://www.jmir.org/2024/1/e52224" TargetMode="External" /><Relationship Type="http://schemas.openxmlformats.org/officeDocument/2006/relationships/hyperlink" Id="rId247" Target="https://www.mdpi.com/1660-4601/17/12/4267" TargetMode="External" /><Relationship Type="http://schemas.openxmlformats.org/officeDocument/2006/relationships/hyperlink" Id="rId204" Target="https://www.mdpi.com/2227-9032/13/1/1" TargetMode="External" /><Relationship Type="http://schemas.openxmlformats.org/officeDocument/2006/relationships/hyperlink" Id="rId160" Target="https://www.mdpi.com/2504-2289/9/3/124" TargetMode="External" /><Relationship Type="http://schemas.openxmlformats.org/officeDocument/2006/relationships/hyperlink" Id="rId158" Target="https://www.nature.com/articles/s41746-024-01390-4" TargetMode="External" /><Relationship Type="http://schemas.openxmlformats.org/officeDocument/2006/relationships/hyperlink" Id="rId303" Target="https://www.nyulawreview.org/issues/volume-94-number-4/data-standardization/" TargetMode="External" /><Relationship Type="http://schemas.openxmlformats.org/officeDocument/2006/relationships/hyperlink" Id="rId237" Target="https://www.oracle.com/human-capital-management/cost-employee-turnover-healthcare/" TargetMode="External" /><Relationship Type="http://schemas.openxmlformats.org/officeDocument/2006/relationships/hyperlink" Id="rId297" Target="https://www.precedenceresearch.com/healthcare-analytics-market" TargetMode="External" /><Relationship Type="http://schemas.openxmlformats.org/officeDocument/2006/relationships/hyperlink" Id="rId255" Target="https://www.redjournal.org/article/S0360-3016(16)00260-1/fulltext" TargetMode="External" /><Relationship Type="http://schemas.openxmlformats.org/officeDocument/2006/relationships/hyperlink" Id="rId196" Target="https://www.sciencedirect.com/science/article/abs/pii/S0148296316304891" TargetMode="External" /><Relationship Type="http://schemas.openxmlformats.org/officeDocument/2006/relationships/hyperlink" Id="rId172" Target="https://www.sciencedirect.com/science/article/pii/S0031320324008197" TargetMode="External" /><Relationship Type="http://schemas.openxmlformats.org/officeDocument/2006/relationships/hyperlink" Id="rId118" Target="https://www.sciencedirect.com/science/article/pii/S0040162516302244" TargetMode="External" /><Relationship Type="http://schemas.openxmlformats.org/officeDocument/2006/relationships/hyperlink" Id="rId307" Target="https://www.sciencedirect.com/science/article/pii/S0168851021002396" TargetMode="External" /><Relationship Type="http://schemas.openxmlformats.org/officeDocument/2006/relationships/hyperlink" Id="rId269" Target="https://www.sciencedirect.com/science/article/pii/S1386505623001296" TargetMode="External" /><Relationship Type="http://schemas.openxmlformats.org/officeDocument/2006/relationships/hyperlink" Id="rId162" Target="https://www.sciencedirect.com/science/article/pii/S1386505623001405" TargetMode="External" /><Relationship Type="http://schemas.openxmlformats.org/officeDocument/2006/relationships/hyperlink" Id="rId184" Target="https://www.sciencedirect.com/science/article/pii/S1532046414001592" TargetMode="External" /><Relationship Type="http://schemas.openxmlformats.org/officeDocument/2006/relationships/hyperlink" Id="rId178" Target="https://www.sciencedirect.com/science/article/pii/S1532046424000650" TargetMode="External" /><Relationship Type="http://schemas.openxmlformats.org/officeDocument/2006/relationships/hyperlink" Id="rId261" Target="https://www.tandfonline.com/doi/abs/10.1080/08956308.2010.11657637" TargetMode="External" /><Relationship Type="http://schemas.openxmlformats.org/officeDocument/2006/relationships/hyperlink" Id="rId206" Target="https://www.tandfonline.com/doi/full/10.1080/20479700.2018.15316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2025-12-23T00:58:58Z</dcterms:created>
  <dcterms:modified xsi:type="dcterms:W3CDTF">2025-12-23T00:58:58Z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that form a compounding cycle: low analytics maturity (only 39 organizations globally have achieved HIMSS AMAM Stage 6-7), high workforce turnover (34% annually for healthcare IT staff as of 2004), and technical barriers in natural language to SQL generation. When these challenges interact, they create institutional memory loss that threatens data-driven healthcare transformation.Objective: This research examines the evidence for implementing conversational AI platforms as knowledge portals to break this compounding cycle by preserving institutional analytics expertise independent of individual staff retention.Methods: We conducted a narrative literature review of peer-reviewed studies and industry reports on natural language to SQL generation, healthcare analytics maturity, and workforce turnover. Grey literature sources were assessed using the AACODS checklist. Evidence was synthesized through a three-pillar analytical framework examining how these challenges interconnect and compound each other.Results: Healthcare-specific text-to-SQL benchmarks (EHRSQL, SM3-Text-to-Query) show significant progress, though current models are “not yet sufficiently accurate for unsupervised use” in clinical settings, requiring human validation through the validated query cycle. Most healthcare organizations remain at HIMSS AMAM Stages 0-3 with limited predictive capabilities. Healthcare IT turnover significantly exceeds other IT sectors, creating measurable institutional memory loss. The validated query cycle addresses this through six steps: domain experts ask questions, the system generates candidate SQL, experts validate and correct the SQL, validated pairs are stored in organizational memory, future queries retrieve validated pairs, and knowledge persists independent of staff tenure.Conclusions: The convergence of technical advances in NL2SQL generation, analytics maturity challenges, and workforce turnover creates conditions warranting organizational assessment of conversational AI platforms with appropriate governance. This paper contributes a three-pillar analytical framework and positions healthcare conversational AI as a knowledge portal architecture with a validated query cycle mechanism for institutional memory preservation.</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December 2025</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NL2SQL in Healthcare</vt:lpwstr>
  </property>
  <property fmtid="{D5CDD505-2E9C-101B-9397-08002B2CF9AE}" pid="20" name="header-right">
    <vt:lpwstr>December 2025</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1.0.0</vt:lpwstr>
  </property>
</Properties>
</file>