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 Foundational research on natural language interfaces to databases established that modular architecture principles enable effective bridging of legacy data access challenges [A46], with modern implementations demonstrating that the same large language models underlying code modernization can serve as natural language interfaces to legacy systems [A47], [A48].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 [A62]. When analytics barriers are addressed, outcomes improve substantially: one Medicare ACO reduced readmission rates from 24% to 17.8% and achieved $1.6 million in cost savings by implementing data analytics to overcome EHR fragmentation [A64]. Technical barriers remain pervasive, with 68% of healthcare organizations citing data interoperability as the leading obstacle to analytics adoption, followed by privacy concerns (64%) and insufficient staff training (59%) [A65]. Physician technology adoption faces empirically validated barriers including perceived threat and inequity from workflow changes, directly impacting behavioral intentions toward analytics tools [A63].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5"/>
        </w:numPr>
      </w:pPr>
      <w:r>
        <w:t xml:space="preserve">Crossref: Cross-disciplinary academic literature, citation metadata</w:t>
      </w:r>
    </w:p>
    <w:p>
      <w:pPr>
        <w:pStyle w:val="Compact"/>
        <w:numPr>
          <w:ilvl w:val="0"/>
          <w:numId w:val="1005"/>
        </w:numPr>
      </w:pPr>
      <w:r>
        <w:t xml:space="preserve">PubMed: Clinical informatics, healthcare workforce, medical administration</w:t>
      </w:r>
    </w:p>
    <w:p>
      <w:pPr>
        <w:pStyle w:val="Compact"/>
        <w:numPr>
          <w:ilvl w:val="0"/>
          <w:numId w:val="1005"/>
        </w:numPr>
      </w:pPr>
      <w:r>
        <w:t xml:space="preserve">arXiv: Machine learning and NLP preprints, benchmark studies</w:t>
      </w:r>
    </w:p>
    <w:p>
      <w:pPr>
        <w:pStyle w:val="Compact"/>
        <w:numPr>
          <w:ilvl w:val="0"/>
          <w:numId w:val="1005"/>
        </w:numPr>
      </w:pPr>
      <w:r>
        <w:t xml:space="preserve">Semantic Scholar: AI and computer science papers, citation analysis</w:t>
      </w:r>
    </w:p>
    <w:p>
      <w:pPr>
        <w:pStyle w:val="FirstParagraph"/>
      </w:pPr>
      <w:r>
        <w:rPr>
          <w:b/>
          <w:bCs/>
        </w:rPr>
        <w:t xml:space="preserve">Industry Sources:</w:t>
      </w:r>
    </w:p>
    <w:p>
      <w:pPr>
        <w:pStyle w:val="Compact"/>
        <w:numPr>
          <w:ilvl w:val="0"/>
          <w:numId w:val="1006"/>
        </w:numPr>
      </w:pPr>
      <w:r>
        <w:t xml:space="preserve">HIMSS: Analytics Maturity Model documentation and industry standards</w:t>
      </w:r>
    </w:p>
    <w:p>
      <w:pPr>
        <w:pStyle w:val="Compact"/>
        <w:numPr>
          <w:ilvl w:val="0"/>
          <w:numId w:val="1006"/>
        </w:numPr>
      </w:pPr>
      <w:r>
        <w:t xml:space="preserve">Healthcare providers: NHS Trust implementation case studies</w:t>
      </w:r>
    </w:p>
    <w:p>
      <w:pPr>
        <w:pStyle w:val="Compact"/>
        <w:numPr>
          <w:ilvl w:val="0"/>
          <w:numId w:val="1006"/>
        </w:numPr>
      </w:pPr>
      <w:r>
        <w:t xml:space="preserve">Market research: Precedence Research, Forrester analyst reports</w:t>
      </w:r>
    </w:p>
    <w:p>
      <w:pPr>
        <w:pStyle w:val="Compact"/>
        <w:numPr>
          <w:ilvl w:val="0"/>
          <w:numId w:val="1006"/>
        </w:numPr>
      </w:pPr>
      <w:r>
        <w:t xml:space="preserve">Technology vendors: Health Catalyst, Oracle, Anthropic technical documentation</w:t>
      </w:r>
    </w:p>
    <w:p>
      <w:pPr>
        <w:pStyle w:val="Compact"/>
        <w:numPr>
          <w:ilvl w:val="0"/>
          <w:numId w:val="1006"/>
        </w:numPr>
      </w:pPr>
      <w:r>
        <w:t xml:space="preserve">Professional associations: AHIMA/NORC workforce surveys</w:t>
      </w:r>
    </w:p>
    <w:p>
      <w:pPr>
        <w:pStyle w:val="Compact"/>
        <w:numPr>
          <w:ilvl w:val="0"/>
          <w:numId w:val="1006"/>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7"/>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7"/>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7"/>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Table 2: Literature Search Strategy</w:t>
      </w:r>
    </w:p>
    <w:tbl>
      <w:tblPr>
        <w:tblStyle w:val="Table"/>
        <w:tblW w:type="pct" w:w="5000"/>
        <w:jc w:val="left"/>
        <w:tblLayout w:type="fixed"/>
        <w:tblLook w:firstRow="1" w:lastRow="0" w:firstColumn="0" w:lastColumn="0" w:noHBand="0" w:noVBand="0" w:val="0020"/>
      </w:tblPr>
      <w:tblGrid>
        <w:gridCol w:w="1028"/>
        <w:gridCol w:w="2160"/>
        <w:gridCol w:w="1234"/>
        <w:gridCol w:w="1748"/>
        <w:gridCol w:w="1748"/>
      </w:tblGrid>
      <w:tr>
        <w:trPr>
          <w:tblHeader w:val="on"/>
        </w:trPr>
        <w:tc>
          <w:tcPr/>
          <w:p>
            <w:pPr>
              <w:pStyle w:val="Compact"/>
              <w:jc w:val="left"/>
            </w:pPr>
            <w:r>
              <w:t xml:space="preserve">Database</w:t>
            </w:r>
          </w:p>
        </w:tc>
        <w:tc>
          <w:tcPr/>
          <w:p>
            <w:pPr>
              <w:pStyle w:val="Compact"/>
              <w:jc w:val="left"/>
            </w:pPr>
            <w:r>
              <w:t xml:space="preserve">Primary Search Terms</w:t>
            </w:r>
          </w:p>
        </w:tc>
        <w:tc>
          <w:tcPr/>
          <w:p>
            <w:pPr>
              <w:pStyle w:val="Compact"/>
              <w:jc w:val="left"/>
            </w:pPr>
            <w:r>
              <w:t xml:space="preserve">Date Range</w:t>
            </w:r>
          </w:p>
        </w:tc>
        <w:tc>
          <w:tcPr/>
          <w:p>
            <w:pPr>
              <w:pStyle w:val="Compact"/>
              <w:jc w:val="left"/>
            </w:pPr>
            <w:r>
              <w:t xml:space="preserve">Initial Results</w:t>
            </w:r>
          </w:p>
        </w:tc>
        <w:tc>
          <w:tcPr/>
          <w:p>
            <w:pPr>
              <w:pStyle w:val="Compact"/>
              <w:jc w:val="left"/>
            </w:pPr>
            <w:r>
              <w:t xml:space="preserve">After Screening</w:t>
            </w:r>
          </w:p>
        </w:tc>
      </w:tr>
      <w:tr>
        <w:tc>
          <w:tcPr/>
          <w:p>
            <w:pPr>
              <w:pStyle w:val="Compact"/>
              <w:jc w:val="left"/>
            </w:pPr>
            <w:r>
              <w:t xml:space="preserve">Crossref</w:t>
            </w:r>
          </w:p>
        </w:tc>
        <w:tc>
          <w:tcPr/>
          <w:p>
            <w:pPr>
              <w:pStyle w:val="Compact"/>
              <w:jc w:val="left"/>
            </w:pPr>
            <w:r>
              <w:t xml:space="preserve">“</w:t>
            </w:r>
            <w:r>
              <w:t xml:space="preserve">healthcare analytics maturity</w:t>
            </w:r>
            <w:r>
              <w:t xml:space="preserve">”</w:t>
            </w:r>
            <w:r>
              <w:t xml:space="preserve"> </w:t>
            </w:r>
            <w:r>
              <w:t xml:space="preserve">OR</w:t>
            </w:r>
            <w:r>
              <w:t xml:space="preserve"> </w:t>
            </w:r>
            <w:r>
              <w:t xml:space="preserve">“</w:t>
            </w:r>
            <w:r>
              <w:t xml:space="preserve">HIMSS AMAM</w:t>
            </w:r>
            <w:r>
              <w:t xml:space="preserve">”</w:t>
            </w:r>
            <w:r>
              <w:t xml:space="preserve"> </w:t>
            </w:r>
            <w:r>
              <w:t xml:space="preserve">OR</w:t>
            </w:r>
            <w:r>
              <w:t xml:space="preserve"> </w:t>
            </w:r>
            <w:r>
              <w:t xml:space="preserve">“</w:t>
            </w:r>
            <w:r>
              <w:t xml:space="preserve">NL2SQL clinical</w:t>
            </w:r>
            <w:r>
              <w:t xml:space="preserve">”</w:t>
            </w:r>
            <w:r>
              <w:t xml:space="preserve"> </w:t>
            </w:r>
            <w:r>
              <w:t xml:space="preserve">OR</w:t>
            </w:r>
            <w:r>
              <w:t xml:space="preserve"> </w:t>
            </w:r>
            <w:r>
              <w:t xml:space="preserve">“</w:t>
            </w:r>
            <w:r>
              <w:t xml:space="preserve">knowledge portal</w:t>
            </w:r>
            <w:r>
              <w:t xml:space="preserve">”</w:t>
            </w:r>
            <w:r>
              <w:t xml:space="preserve"> </w:t>
            </w:r>
            <w:r>
              <w:t xml:space="preserve">OR</w:t>
            </w:r>
            <w:r>
              <w:t xml:space="preserve"> </w:t>
            </w:r>
            <w:r>
              <w:t xml:space="preserve">“</w:t>
            </w:r>
            <w:r>
              <w:t xml:space="preserve">low-code ROI</w:t>
            </w:r>
            <w:r>
              <w:t xml:space="preserve">”</w:t>
            </w:r>
          </w:p>
        </w:tc>
        <w:tc>
          <w:tcPr/>
          <w:p>
            <w:pPr>
              <w:pStyle w:val="Compact"/>
              <w:jc w:val="left"/>
            </w:pPr>
            <w:r>
              <w:t xml:space="preserve">2015-current</w:t>
            </w:r>
          </w:p>
        </w:tc>
        <w:tc>
          <w:tcPr/>
          <w:p>
            <w:pPr>
              <w:pStyle w:val="Compact"/>
              <w:jc w:val="left"/>
            </w:pPr>
            <w:r>
              <w:t xml:space="preserve">285</w:t>
            </w:r>
          </w:p>
        </w:tc>
        <w:tc>
          <w:tcPr/>
          <w:p>
            <w:pPr>
              <w:pStyle w:val="Compact"/>
              <w:jc w:val="left"/>
            </w:pPr>
            <w:r>
              <w:t xml:space="preserve">15</w:t>
            </w:r>
          </w:p>
        </w:tc>
      </w:tr>
      <w:tr>
        <w:tc>
          <w:tcPr/>
          <w:p>
            <w:pPr>
              <w:pStyle w:val="Compact"/>
              <w:jc w:val="left"/>
            </w:pPr>
            <w:r>
              <w:t xml:space="preserve">PubMed</w:t>
            </w:r>
          </w:p>
        </w:tc>
        <w:tc>
          <w:tcPr/>
          <w:p>
            <w:pPr>
              <w:pStyle w:val="Compact"/>
              <w:jc w:val="left"/>
            </w:pPr>
            <w:r>
              <w:t xml:space="preserve">(</w:t>
            </w:r>
            <w:r>
              <w:t xml:space="preserve">“</w:t>
            </w:r>
            <w:r>
              <w:t xml:space="preserve">healthcare IT tenure</w:t>
            </w:r>
            <w:r>
              <w:t xml:space="preserve">”</w:t>
            </w:r>
            <w:r>
              <w:t xml:space="preserve"> </w:t>
            </w:r>
            <w:r>
              <w:t xml:space="preserve">OR</w:t>
            </w:r>
            <w:r>
              <w:t xml:space="preserve"> </w:t>
            </w:r>
            <w:r>
              <w:t xml:space="preserve">“</w:t>
            </w:r>
            <w:r>
              <w:t xml:space="preserve">IT training time</w:t>
            </w:r>
            <w:r>
              <w:t xml:space="preserve">”</w:t>
            </w:r>
            <w:r>
              <w:t xml:space="preserve"> </w:t>
            </w:r>
            <w:r>
              <w:t xml:space="preserve">OR</w:t>
            </w:r>
            <w:r>
              <w:t xml:space="preserve"> </w:t>
            </w:r>
            <w:r>
              <w:t xml:space="preserve">“</w:t>
            </w:r>
            <w:r>
              <w:t xml:space="preserve">turnover cost salary</w:t>
            </w:r>
            <w:r>
              <w:t xml:space="preserve">”</w:t>
            </w:r>
            <w:r>
              <w:t xml:space="preserve">) AND (</w:t>
            </w:r>
            <w:r>
              <w:t xml:space="preserve">“</w:t>
            </w:r>
            <w:r>
              <w:t xml:space="preserve">institutional memory</w:t>
            </w:r>
            <w:r>
              <w:t xml:space="preserve">”</w:t>
            </w:r>
            <w:r>
              <w:t xml:space="preserve"> </w:t>
            </w:r>
            <w:r>
              <w:t xml:space="preserve">OR</w:t>
            </w:r>
            <w:r>
              <w:t xml:space="preserve"> </w:t>
            </w:r>
            <w:r>
              <w:t xml:space="preserve">“</w:t>
            </w:r>
            <w:r>
              <w:t xml:space="preserve">analytics adoption</w:t>
            </w:r>
            <w:r>
              <w:t xml:space="preserve">”</w:t>
            </w:r>
            <w:r>
              <w:t xml:space="preserve"> </w:t>
            </w:r>
            <w:r>
              <w:t xml:space="preserve">OR</w:t>
            </w:r>
            <w:r>
              <w:t xml:space="preserve"> </w:t>
            </w:r>
            <w:r>
              <w:t xml:space="preserve">“</w:t>
            </w:r>
            <w:r>
              <w:t xml:space="preserve">knowledge capture</w:t>
            </w:r>
            <w:r>
              <w:t xml:space="preserve">”</w:t>
            </w:r>
            <w:r>
              <w:t xml:space="preserve">)</w:t>
            </w:r>
          </w:p>
        </w:tc>
        <w:tc>
          <w:tcPr/>
          <w:p>
            <w:pPr>
              <w:pStyle w:val="Compact"/>
              <w:jc w:val="left"/>
            </w:pPr>
            <w:r>
              <w:t xml:space="preserve">2015-current</w:t>
            </w:r>
          </w:p>
        </w:tc>
        <w:tc>
          <w:tcPr/>
          <w:p>
            <w:pPr>
              <w:pStyle w:val="Compact"/>
              <w:jc w:val="left"/>
            </w:pPr>
            <w:r>
              <w:t xml:space="preserve">142</w:t>
            </w:r>
          </w:p>
        </w:tc>
        <w:tc>
          <w:tcPr/>
          <w:p>
            <w:pPr>
              <w:pStyle w:val="Compact"/>
              <w:jc w:val="left"/>
            </w:pPr>
            <w:r>
              <w:t xml:space="preserve">12</w:t>
            </w:r>
          </w:p>
        </w:tc>
      </w:tr>
      <w:tr>
        <w:tc>
          <w:tcPr/>
          <w:p>
            <w:pPr>
              <w:pStyle w:val="Compact"/>
              <w:jc w:val="left"/>
            </w:pPr>
            <w:r>
              <w:t xml:space="preserve">arXiv (cs.CL, cs.DB)</w:t>
            </w:r>
          </w:p>
        </w:tc>
        <w:tc>
          <w:tcPr/>
          <w:p>
            <w:pPr>
              <w:pStyle w:val="Compact"/>
              <w:jc w:val="left"/>
            </w:pPr>
            <w:r>
              <w:t xml:space="preserve">“</w:t>
            </w:r>
            <w:r>
              <w:t xml:space="preserve">text-to-SQL</w:t>
            </w:r>
            <w:r>
              <w:t xml:space="preserve">”</w:t>
            </w:r>
            <w:r>
              <w:t xml:space="preserve"> </w:t>
            </w:r>
            <w:r>
              <w:t xml:space="preserve">AND (</w:t>
            </w:r>
            <w:r>
              <w:t xml:space="preserve">“</w:t>
            </w:r>
            <w:r>
              <w:t xml:space="preserve">MIMICSQL</w:t>
            </w:r>
            <w:r>
              <w:t xml:space="preserve">”</w:t>
            </w:r>
            <w:r>
              <w:t xml:space="preserve"> </w:t>
            </w:r>
            <w:r>
              <w:t xml:space="preserve">OR</w:t>
            </w:r>
            <w:r>
              <w:t xml:space="preserve"> </w:t>
            </w:r>
            <w:r>
              <w:t xml:space="preserve">“</w:t>
            </w:r>
            <w:r>
              <w:t xml:space="preserve">EHRSQL</w:t>
            </w:r>
            <w:r>
              <w:t xml:space="preserve">”</w:t>
            </w:r>
            <w:r>
              <w:t xml:space="preserve"> </w:t>
            </w:r>
            <w:r>
              <w:t xml:space="preserve">OR</w:t>
            </w:r>
            <w:r>
              <w:t xml:space="preserve"> </w:t>
            </w:r>
            <w:r>
              <w:t xml:space="preserve">“</w:t>
            </w:r>
            <w:r>
              <w:t xml:space="preserve">schema discovery</w:t>
            </w:r>
            <w:r>
              <w:t xml:space="preserve">”</w:t>
            </w:r>
            <w:r>
              <w:t xml:space="preserve"> </w:t>
            </w:r>
            <w:r>
              <w:t xml:space="preserve">OR</w:t>
            </w:r>
            <w:r>
              <w:t xml:space="preserve"> </w:t>
            </w:r>
            <w:r>
              <w:t xml:space="preserve">“</w:t>
            </w:r>
            <w:r>
              <w:t xml:space="preserve">PK/FK discovery</w:t>
            </w:r>
            <w:r>
              <w:t xml:space="preserve">”</w:t>
            </w:r>
            <w:r>
              <w:t xml:space="preserve"> </w:t>
            </w:r>
            <w:r>
              <w:t xml:space="preserve">OR</w:t>
            </w:r>
            <w:r>
              <w:t xml:space="preserve"> </w:t>
            </w:r>
            <w:r>
              <w:t xml:space="preserve">“</w:t>
            </w:r>
            <w:r>
              <w:t xml:space="preserve">semantic matching</w:t>
            </w:r>
            <w:r>
              <w:t xml:space="preserve">”</w:t>
            </w:r>
            <w:r>
              <w:t xml:space="preserve"> </w:t>
            </w:r>
            <w:r>
              <w:t xml:space="preserve">OR</w:t>
            </w:r>
            <w:r>
              <w:t xml:space="preserve"> </w:t>
            </w:r>
            <w:r>
              <w:t xml:space="preserve">“</w:t>
            </w:r>
            <w:r>
              <w:t xml:space="preserve">vector embeddings</w:t>
            </w:r>
            <w:r>
              <w:t xml:space="preserve">”</w:t>
            </w:r>
            <w:r>
              <w:t xml:space="preserve">)</w:t>
            </w:r>
          </w:p>
        </w:tc>
        <w:tc>
          <w:tcPr/>
          <w:p>
            <w:pPr>
              <w:pStyle w:val="Compact"/>
              <w:jc w:val="left"/>
            </w:pPr>
            <w:r>
              <w:t xml:space="preserve">2020-current</w:t>
            </w:r>
          </w:p>
        </w:tc>
        <w:tc>
          <w:tcPr/>
          <w:p>
            <w:pPr>
              <w:pStyle w:val="Compact"/>
              <w:jc w:val="left"/>
            </w:pPr>
            <w:r>
              <w:t xml:space="preserve">71</w:t>
            </w:r>
          </w:p>
        </w:tc>
        <w:tc>
          <w:tcPr/>
          <w:p>
            <w:pPr>
              <w:pStyle w:val="Compact"/>
              <w:jc w:val="left"/>
            </w:pPr>
            <w:r>
              <w:t xml:space="preserve">6</w:t>
            </w:r>
          </w:p>
        </w:tc>
      </w:tr>
      <w:tr>
        <w:tc>
          <w:tcPr/>
          <w:p>
            <w:pPr>
              <w:pStyle w:val="Compact"/>
              <w:jc w:val="left"/>
            </w:pPr>
            <w:r>
              <w:t xml:space="preserve">Semantic Scholar</w:t>
            </w:r>
          </w:p>
        </w:tc>
        <w:tc>
          <w:tcPr/>
          <w:p>
            <w:pPr>
              <w:pStyle w:val="Compact"/>
              <w:jc w:val="left"/>
            </w:pPr>
            <w:r>
              <w:t xml:space="preserve">“</w:t>
            </w:r>
            <w:r>
              <w:t xml:space="preserve">NL2SQL healthcare</w:t>
            </w:r>
            <w:r>
              <w:t xml:space="preserve">”</w:t>
            </w:r>
            <w:r>
              <w:t xml:space="preserve"> </w:t>
            </w:r>
            <w:r>
              <w:t xml:space="preserve">OR</w:t>
            </w:r>
            <w:r>
              <w:t xml:space="preserve"> </w:t>
            </w:r>
            <w:r>
              <w:t xml:space="preserve">“</w:t>
            </w:r>
            <w:r>
              <w:t xml:space="preserve">NL2SQL productivity</w:t>
            </w:r>
            <w:r>
              <w:t xml:space="preserve">”</w:t>
            </w:r>
            <w:r>
              <w:t xml:space="preserve"> </w:t>
            </w:r>
            <w:r>
              <w:t xml:space="preserve">OR</w:t>
            </w:r>
            <w:r>
              <w:t xml:space="preserve"> </w:t>
            </w:r>
            <w:r>
              <w:t xml:space="preserve">“</w:t>
            </w:r>
            <w:r>
              <w:t xml:space="preserve">conversational AI clinical</w:t>
            </w:r>
            <w:r>
              <w:t xml:space="preserve">”</w:t>
            </w:r>
            <w:r>
              <w:t xml:space="preserve"> </w:t>
            </w:r>
            <w:r>
              <w:t xml:space="preserve">OR</w:t>
            </w:r>
            <w:r>
              <w:t xml:space="preserve"> </w:t>
            </w:r>
            <w:r>
              <w:t xml:space="preserve">“</w:t>
            </w:r>
            <w:r>
              <w:t xml:space="preserve">SECI model analytics</w:t>
            </w:r>
            <w:r>
              <w:t xml:space="preserve">”</w:t>
            </w:r>
          </w:p>
        </w:tc>
        <w:tc>
          <w:tcPr/>
          <w:p>
            <w:pPr>
              <w:pStyle w:val="Compact"/>
              <w:jc w:val="left"/>
            </w:pPr>
            <w:r>
              <w:t xml:space="preserve">2015-current</w:t>
            </w:r>
          </w:p>
        </w:tc>
        <w:tc>
          <w:tcPr/>
          <w:p>
            <w:pPr>
              <w:pStyle w:val="Compact"/>
              <w:jc w:val="left"/>
            </w:pPr>
            <w:r>
              <w:t xml:space="preserve">72</w:t>
            </w:r>
          </w:p>
        </w:tc>
        <w:tc>
          <w:tcPr/>
          <w:p>
            <w:pPr>
              <w:pStyle w:val="Compact"/>
              <w:jc w:val="left"/>
            </w:pPr>
            <w:r>
              <w:t xml:space="preserve">8</w:t>
            </w:r>
          </w:p>
        </w:tc>
      </w:tr>
      <w:tr>
        <w:tc>
          <w:tcPr/>
          <w:p>
            <w:pPr>
              <w:pStyle w:val="Compact"/>
              <w:jc w:val="left"/>
            </w:pPr>
            <w:r>
              <w:rPr>
                <w:b/>
                <w:bCs/>
              </w:rPr>
              <w:t xml:space="preserve">Total</w:t>
            </w:r>
          </w:p>
        </w:tc>
        <w:tc>
          <w:tcPr/>
          <w:p>
            <w:pPr>
              <w:pStyle w:val="Compact"/>
            </w:pPr>
          </w:p>
        </w:tc>
        <w:tc>
          <w:tcPr/>
          <w:p>
            <w:pPr>
              <w:pStyle w:val="Compact"/>
            </w:pPr>
          </w:p>
        </w:tc>
        <w:tc>
          <w:tcPr/>
          <w:p>
            <w:pPr>
              <w:pStyle w:val="Compact"/>
              <w:jc w:val="left"/>
            </w:pPr>
            <w:r>
              <w:rPr>
                <w:b/>
                <w:bCs/>
              </w:rPr>
              <w:t xml:space="preserve">570</w:t>
            </w:r>
          </w:p>
        </w:tc>
        <w:tc>
          <w:tcPr/>
          <w:p>
            <w:pPr>
              <w:pStyle w:val="Compact"/>
              <w:jc w:val="left"/>
            </w:pPr>
            <w:r>
              <w:rPr>
                <w:b/>
                <w:bCs/>
              </w:rPr>
              <w:t xml:space="preserve">79</w:t>
            </w:r>
          </w:p>
        </w:tc>
      </w:tr>
    </w:tbl>
    <w:p>
      <w:pPr>
        <w:pStyle w:val="BodyText"/>
      </w:pPr>
      <w:r>
        <w:rPr>
          <w:i/>
          <w:iCs/>
        </w:rPr>
        <w:t xml:space="preserve">Note: Initial results shown after deduplication across databases. Final corpus includes 68 academic and 11 industry sources.</w:t>
      </w:r>
    </w:p>
    <w:p>
      <w:pPr>
        <w:pStyle w:val="BodyText"/>
      </w:pPr>
      <w:r>
        <w:t xml:space="preserve">Figure 1 illustrates the literature selection process, showing progression from initial database search through screening and quality assessment to the final corpus of 79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8"/>
        </w:numPr>
      </w:pPr>
      <w:r>
        <w:t xml:space="preserve">Peer-reviewed publications in healthcare informatics, medical informatics, computer science, or health services research</w:t>
      </w:r>
    </w:p>
    <w:p>
      <w:pPr>
        <w:pStyle w:val="Compact"/>
        <w:numPr>
          <w:ilvl w:val="0"/>
          <w:numId w:val="1008"/>
        </w:numPr>
      </w:pPr>
      <w:r>
        <w:t xml:space="preserve">Industry reports from established healthcare IT organizations (HIMSS, AHIMA, AMIA)</w:t>
      </w:r>
    </w:p>
    <w:p>
      <w:pPr>
        <w:pStyle w:val="Compact"/>
        <w:numPr>
          <w:ilvl w:val="0"/>
          <w:numId w:val="1008"/>
        </w:numPr>
      </w:pPr>
      <w:r>
        <w:t xml:space="preserve">Publications from 2015-current, with emphasis on 2020-current for rapidly evolving NL2SQL technologies</w:t>
      </w:r>
    </w:p>
    <w:p>
      <w:pPr>
        <w:pStyle w:val="Compact"/>
        <w:numPr>
          <w:ilvl w:val="0"/>
          <w:numId w:val="1008"/>
        </w:numPr>
      </w:pPr>
      <w:r>
        <w:t xml:space="preserve">English language publications</w:t>
      </w:r>
    </w:p>
    <w:p>
      <w:pPr>
        <w:pStyle w:val="Compact"/>
        <w:numPr>
          <w:ilvl w:val="0"/>
          <w:numId w:val="1008"/>
        </w:numPr>
      </w:pPr>
      <w:r>
        <w:t xml:space="preserve">Sources with verifiable DOIs, URLs, or institutional attribution</w:t>
      </w:r>
    </w:p>
    <w:p>
      <w:pPr>
        <w:pStyle w:val="FirstParagraph"/>
      </w:pPr>
      <w:r>
        <w:rPr>
          <w:b/>
          <w:bCs/>
        </w:rPr>
        <w:t xml:space="preserve">Exclusion Criteria:</w:t>
      </w:r>
    </w:p>
    <w:p>
      <w:pPr>
        <w:pStyle w:val="Compact"/>
        <w:numPr>
          <w:ilvl w:val="0"/>
          <w:numId w:val="1009"/>
        </w:numPr>
      </w:pPr>
      <w:r>
        <w:t xml:space="preserve">Sources without verifiable attribution or institutional backing</w:t>
      </w:r>
    </w:p>
    <w:p>
      <w:pPr>
        <w:pStyle w:val="Compact"/>
        <w:numPr>
          <w:ilvl w:val="0"/>
          <w:numId w:val="1009"/>
        </w:numPr>
      </w:pPr>
      <w:r>
        <w:t xml:space="preserve">Vendor marketing materials without independent validation</w:t>
      </w:r>
    </w:p>
    <w:p>
      <w:pPr>
        <w:pStyle w:val="Compact"/>
        <w:numPr>
          <w:ilvl w:val="0"/>
          <w:numId w:val="1009"/>
        </w:numPr>
      </w:pPr>
      <w:r>
        <w:t xml:space="preserve">Preprints without subsequent peer-reviewed publication (exception: foundational NL2SQL benchmarks where peer review is pending)</w:t>
      </w:r>
    </w:p>
    <w:p>
      <w:pPr>
        <w:pStyle w:val="Compact"/>
        <w:numPr>
          <w:ilvl w:val="0"/>
          <w:numId w:val="1009"/>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0"/>
        </w:numPr>
      </w:pPr>
      <w:r>
        <w:rPr>
          <w:b/>
          <w:bCs/>
        </w:rPr>
        <w:t xml:space="preserve">Analytics maturity</w:t>
      </w:r>
      <w:r>
        <w:t xml:space="preserve">: Evidence on HIMSS AMAM adoption, healthcare analytics capabilities, and organizational readiness</w:t>
      </w:r>
    </w:p>
    <w:p>
      <w:pPr>
        <w:pStyle w:val="Compact"/>
        <w:numPr>
          <w:ilvl w:val="0"/>
          <w:numId w:val="1010"/>
        </w:numPr>
      </w:pPr>
      <w:r>
        <w:rPr>
          <w:b/>
          <w:bCs/>
        </w:rPr>
        <w:t xml:space="preserve">Workforce turnover</w:t>
      </w:r>
      <w:r>
        <w:t xml:space="preserve">: Evidence on nursing and IT staff turnover rates, institutional memory loss, and knowledge transfer challenges</w:t>
      </w:r>
    </w:p>
    <w:p>
      <w:pPr>
        <w:pStyle w:val="Compact"/>
        <w:numPr>
          <w:ilvl w:val="0"/>
          <w:numId w:val="1010"/>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[A30],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1"/>
        </w:numPr>
      </w:pPr>
      <w:r>
        <w:rPr>
          <w:b/>
          <w:bCs/>
        </w:rPr>
        <w:t xml:space="preserve">Non-exhaustive search</w:t>
      </w:r>
      <w:r>
        <w:t xml:space="preserve">: Literature identification was selective rather than exhaustive; relevant studies may have been missed</w:t>
      </w:r>
    </w:p>
    <w:p>
      <w:pPr>
        <w:pStyle w:val="Compact"/>
        <w:numPr>
          <w:ilvl w:val="0"/>
          <w:numId w:val="1011"/>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1"/>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1"/>
        </w:numPr>
      </w:pPr>
      <w:r>
        <w:rPr>
          <w:b/>
          <w:bCs/>
        </w:rPr>
        <w:t xml:space="preserve">Post-hoc selection criteria</w:t>
      </w:r>
      <w:r>
        <w:t xml:space="preserve">: Inclusion and exclusion criteria were refined during the review process rather than pre-registered</w:t>
      </w:r>
    </w:p>
    <w:p>
      <w:pPr>
        <w:pStyle w:val="Compact"/>
        <w:numPr>
          <w:ilvl w:val="0"/>
          <w:numId w:val="1011"/>
        </w:numPr>
      </w:pPr>
      <w:r>
        <w:rPr>
          <w:b/>
          <w:bCs/>
        </w:rPr>
        <w:t xml:space="preserve">No protocol registration</w:t>
      </w:r>
      <w:r>
        <w:t xml:space="preserve">: This review was not registered in PROSPERO or similar registries</w:t>
      </w:r>
    </w:p>
    <w:p>
      <w:pPr>
        <w:pStyle w:val="Compact"/>
        <w:numPr>
          <w:ilvl w:val="0"/>
          <w:numId w:val="1011"/>
        </w:numPr>
      </w:pPr>
      <w:r>
        <w:rPr>
          <w:b/>
          <w:bCs/>
        </w:rPr>
        <w:t xml:space="preserve">Dated workforce statistics</w:t>
      </w:r>
      <w:r>
        <w:t xml:space="preserve">: The primary healthcare IT turnover statistic (34% annually) derives from Ang and Slaughter’s 2004 study [A10]. While recent surveys confirm workforce challenges persist [I11] and contemporary evidence suggests the situation may have worsened (55% intent to leave among public health informatics specialists [A66]),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2"/>
        </w:numPr>
      </w:pPr>
      <w:r>
        <w:rPr>
          <w:b/>
          <w:bCs/>
        </w:rPr>
        <w:t xml:space="preserve">Theme Extraction</w:t>
      </w:r>
      <w:r>
        <w:t xml:space="preserve">: Systematic coding of 79 sources identified recurring themes across technical, organizational, and workforce dimensions</w:t>
      </w:r>
    </w:p>
    <w:p>
      <w:pPr>
        <w:pStyle w:val="Compact"/>
        <w:numPr>
          <w:ilvl w:val="0"/>
          <w:numId w:val="1012"/>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2"/>
        </w:numPr>
      </w:pPr>
      <w:r>
        <w:rPr>
          <w:b/>
          <w:bCs/>
        </w:rPr>
        <w:t xml:space="preserve">Pillar Identification</w:t>
      </w:r>
      <w:r>
        <w:t xml:space="preserve">: Three orthogonal yet interconnected dimensions emerged as the organizing structure:</w:t>
      </w:r>
    </w:p>
    <w:p>
      <w:pPr>
        <w:pStyle w:val="Compact"/>
        <w:numPr>
          <w:ilvl w:val="1"/>
          <w:numId w:val="1013"/>
        </w:numPr>
      </w:pPr>
      <w:r>
        <w:rPr>
          <w:b/>
          <w:bCs/>
        </w:rPr>
        <w:t xml:space="preserve">Analytics Maturity</w:t>
      </w:r>
      <w:r>
        <w:t xml:space="preserve">: Organizational capability progression measured against HIMSS AMAM stages</w:t>
      </w:r>
    </w:p>
    <w:p>
      <w:pPr>
        <w:pStyle w:val="Compact"/>
        <w:numPr>
          <w:ilvl w:val="1"/>
          <w:numId w:val="1013"/>
        </w:numPr>
      </w:pPr>
      <w:r>
        <w:rPr>
          <w:b/>
          <w:bCs/>
        </w:rPr>
        <w:t xml:space="preserve">Workforce Dynamics</w:t>
      </w:r>
      <w:r>
        <w:t xml:space="preserve">: Human capital retention and tacit knowledge preservation</w:t>
      </w:r>
    </w:p>
    <w:p>
      <w:pPr>
        <w:pStyle w:val="Compact"/>
        <w:numPr>
          <w:ilvl w:val="1"/>
          <w:numId w:val="1013"/>
        </w:numPr>
      </w:pPr>
      <w:r>
        <w:rPr>
          <w:b/>
          <w:bCs/>
        </w:rPr>
        <w:t xml:space="preserve">Technical Barriers</w:t>
      </w:r>
      <w:r>
        <w:t xml:space="preserve">: NL2SQL capabilities and healthcare-specific implementation challenges</w:t>
      </w:r>
    </w:p>
    <w:p>
      <w:pPr>
        <w:pStyle w:val="Compact"/>
        <w:numPr>
          <w:ilvl w:val="0"/>
          <w:numId w:val="1012"/>
        </w:numPr>
      </w:pPr>
      <w:r>
        <w:rPr>
          <w:b/>
          <w:bCs/>
        </w:rPr>
        <w:t xml:space="preserve">Framework Validation</w:t>
      </w:r>
      <w:r>
        <w:t xml:space="preserve">: Pillar structure tested against all 79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8"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5"/>
    <w:bookmarkStart w:id="46"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 [A36]. Business analysts using these interfaces spend 42% more time on analysis rather than query construction [A36].</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 [A35]. User studies show NL2SQL systems reduce query completion times by 10-30% compared to traditional SQL platforms while improving accuracy from 50% to 75%, with users recovering from errors 30-40 seconds faster [A38].</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 [A37].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 [A43]. NLP-driven data entry systems have achieved 33% time reduction with 15% accuracy improvement in clinical research settings [A44]. Healthcare-specific NL2SQL models such as MedT5SQL achieve 80.63% exact match accuracy on the MIMICSQL benchmark, demonstrating that domain-adapted language models can effectively translate natural language to SQL for clinical databases [A45].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 [A46] established that modular, decoupled architecture enables effective NL access to legacy systems, a design principle validated across 47 years of subsequent research. Modern implementations demonstrate that retrieval-augmented generation (RAG) approaches reduce specialized training requirements by 87.4% compared to traditional querying methods while achieving 92.3% accuracy in interpreting business-specific terminology from legacy mainframe records [A49]. This convergence of code modernization and natural language interface technologies arises because both rely on the same underlying large language models [A47], [A48], suggesting that organizations investing in either capability simultaneously advance both.</w:t>
      </w:r>
    </w:p>
    <w:bookmarkEnd w:id="46"/>
    <w:bookmarkEnd w:id="47"/>
    <w:bookmarkStart w:id="51" w:name="state-of-healthcare-analytics-maturity"/>
    <w:p>
      <w:pPr>
        <w:pStyle w:val="Heading2"/>
      </w:pPr>
      <w:r>
        <w:rPr>
          <w:rStyle w:val="SectionNumber"/>
        </w:rPr>
        <w:t xml:space="preserve">4.2</w:t>
      </w:r>
      <w:r>
        <w:tab/>
      </w:r>
      <w:r>
        <w:t xml:space="preserve">State of Healthcare Analytics Maturity</w:t>
      </w:r>
    </w:p>
    <w:bookmarkStart w:id="48"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p>
      <w:pPr>
        <w:pStyle w:val="BodyText"/>
      </w:pPr>
      <w:r>
        <w:t xml:space="preserve">Quantitative evidence links analytics maturity directly to patient outcomes. Cross-sectional studies using the HIMSS Electronic Medical Record Adoption Model (EMRAM) demonstrate that hospitals with advanced digital maturity (levels 6-7) have 3.25 times higher odds of achieving better Leapfrog Group Hospital Safety Grades compared to hospitals at EMRAM level 0, with significantly reduced infection rates and fewer adverse events [A54]. Similarly, high-maturity hospitals have 1.8 to 2.24 times higher odds of achieving higher patient experience ratings [A55]. Big data analytics capabilities, combined with complementary organizational resources and analytical personnel skills, improve readmission rates and patient satisfaction [A56], while poor-quality data (a component of lower maturity) results in diagnostic errors, ineffective treatments, and compromised patient care [A57].</w:t>
      </w:r>
    </w:p>
    <w:bookmarkEnd w:id="48"/>
    <w:bookmarkStart w:id="49"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4"/>
        </w:numPr>
      </w:pPr>
      <w:r>
        <w:t xml:space="preserve">Fragmented data sources without integration</w:t>
      </w:r>
    </w:p>
    <w:p>
      <w:pPr>
        <w:pStyle w:val="Compact"/>
        <w:numPr>
          <w:ilvl w:val="0"/>
          <w:numId w:val="1014"/>
        </w:numPr>
      </w:pPr>
      <w:r>
        <w:t xml:space="preserve">Limited automated reporting capabilities</w:t>
      </w:r>
    </w:p>
    <w:p>
      <w:pPr>
        <w:pStyle w:val="Compact"/>
        <w:numPr>
          <w:ilvl w:val="0"/>
          <w:numId w:val="1014"/>
        </w:numPr>
      </w:pPr>
      <w:r>
        <w:t xml:space="preserve">Lack of standardized data governance</w:t>
      </w:r>
    </w:p>
    <w:p>
      <w:pPr>
        <w:pStyle w:val="Compact"/>
        <w:numPr>
          <w:ilvl w:val="0"/>
          <w:numId w:val="1014"/>
        </w:numPr>
      </w:pPr>
      <w:r>
        <w:t xml:space="preserve">Minimal predictive or prescriptive analytics</w:t>
      </w:r>
    </w:p>
    <w:p>
      <w:pPr>
        <w:pStyle w:val="Compact"/>
        <w:numPr>
          <w:ilvl w:val="0"/>
          <w:numId w:val="1014"/>
        </w:numPr>
      </w:pPr>
      <w:r>
        <w:t xml:space="preserve">Absence of real-time decision support</w:t>
      </w:r>
    </w:p>
    <w:bookmarkEnd w:id="49"/>
    <w:bookmarkStart w:id="50"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and time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4.3</w:t>
      </w:r>
      <w:r>
        <w:tab/>
      </w:r>
      <w:r>
        <w:t xml:space="preserve">Healthcare Workforce Turnover and Knowledge Loss</w:t>
      </w:r>
    </w:p>
    <w:bookmarkStart w:id="52"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replacing a primary care clinician costs healthcare organizations over $500,000 due to lost revenue and recruiting expenses [A67], while physician replacement can reach up to $1 million per departure, with national annual costs estimated at $4.6 billion [A68].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 [A66].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 which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 [A58]. Empirical studies demonstrate that nursing unit turnover reduces workgroup learning and is associated with increased patient falls, medication errors, and reduced patient satisfaction [A59]. International evidence links high workforce turnover to poorer continuity of care, particularly in remote health services, with measurable outcomes including increased hospitalizations and years of life lost [A60].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 [A61].</w:t>
      </w:r>
    </w:p>
    <w:bookmarkEnd w:id="52"/>
    <w:bookmarkStart w:id="53"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 [A50], and conventional mechanisms such as documents, blueprints, and procedures fail because tacit knowledge is not easily codified [A51]. Research across multiple industries consistently shows that written reports and databases fail to convey key learning from expert teams [A52], while experts often lack the skills, motivation, or time to document their expertise, and even when documentation is attempted, essential aspects are lost due to lack of shared experience between experts and novices [A53].</w:t>
      </w:r>
    </w:p>
    <w:bookmarkEnd w:id="53"/>
    <w:bookmarkStart w:id="54"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5"/>
        </w:numPr>
      </w:pPr>
      <w:r>
        <w:t xml:space="preserve">Traditional knowledge transfer mechanisms show limited effectiveness</w:t>
      </w:r>
    </w:p>
    <w:p>
      <w:pPr>
        <w:pStyle w:val="Compact"/>
        <w:numPr>
          <w:ilvl w:val="0"/>
          <w:numId w:val="1015"/>
        </w:numPr>
      </w:pPr>
      <w:r>
        <w:t xml:space="preserve">Organizations struggle to capture and maintain analytical expertise</w:t>
      </w:r>
    </w:p>
    <w:p>
      <w:pPr>
        <w:pStyle w:val="Compact"/>
        <w:numPr>
          <w:ilvl w:val="0"/>
          <w:numId w:val="1015"/>
        </w:numPr>
      </w:pPr>
      <w:r>
        <w:t xml:space="preserve">Security concerns and employee resistance to change slow the pace of information system acceptance [A18]</w:t>
      </w:r>
    </w:p>
    <w:p>
      <w:pPr>
        <w:pStyle w:val="Compact"/>
        <w:numPr>
          <w:ilvl w:val="0"/>
          <w:numId w:val="1015"/>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4.4</w:t>
      </w:r>
      <w:r>
        <w:tab/>
      </w:r>
      <w:r>
        <w:t xml:space="preserve">Integration of Evidence: The Case for Conversational AI</w:t>
      </w:r>
    </w:p>
    <w:bookmarkStart w:id="56"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6"/>
    <w:bookmarkStart w:id="57"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6"/>
        </w:numPr>
      </w:pPr>
      <w:r>
        <w:t xml:space="preserve">Capturing decision-making patterns through usage</w:t>
      </w:r>
    </w:p>
    <w:p>
      <w:pPr>
        <w:pStyle w:val="Compact"/>
        <w:numPr>
          <w:ilvl w:val="0"/>
          <w:numId w:val="1016"/>
        </w:numPr>
      </w:pPr>
      <w:r>
        <w:t xml:space="preserve">Encoding best practices in accessible formats</w:t>
      </w:r>
    </w:p>
    <w:p>
      <w:pPr>
        <w:pStyle w:val="Compact"/>
        <w:numPr>
          <w:ilvl w:val="0"/>
          <w:numId w:val="1016"/>
        </w:numPr>
      </w:pPr>
      <w:r>
        <w:t xml:space="preserve">Providing context-aware guidance to new users</w:t>
      </w:r>
    </w:p>
    <w:p>
      <w:pPr>
        <w:pStyle w:val="Compact"/>
        <w:numPr>
          <w:ilvl w:val="0"/>
          <w:numId w:val="1016"/>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 [A39] 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 [A41]. Real-world validation at scale comes from a study of conversational AI across nine NHS mental health services involving 64,862 patients, demonstrating reduced clinician assessment time, shorter patient wait times, and lower dropout rates [A42]. On the clinical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 [A31]. Controlled experiments quantify these benefits: a comparative study of traditional versus low-code development for a healthcare cognitive rehabilitation system found low-code required 47.5 hours versus 888 hours for traditional development, representing a 94.63% reduction in effort [A40]. Industry-sponsored research from Forrester [I5] projects 206% three-year ROI from low-code implementations; peer-reviewed studies report similar findings, with healthcare institutions achieving 177% ROI over 36 months while reducing development time by 67% and technical resource requirements by 58% [A33], and small healthcare clinics achieving 250% cumulative ROI over three years [A34].</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Rapid application development using low-code characteristics enabled an mHealth app for COVID-19 remote care that saved 2,822 hospital bed-days for 400 enrolled patients [A32]. These findings collectively demonstrate that technologies enabling non-technical users to interact with complex systems, whether through visual interfaces or natural language, produce measurable organizational benefits.</w:t>
      </w:r>
    </w:p>
    <w:bookmarkEnd w:id="58"/>
    <w:bookmarkEnd w:id="59"/>
    <w:bookmarkStart w:id="63" w:name="Xe532debb859e62ad2038db373f15ff8608a8c3a"/>
    <w:p>
      <w:pPr>
        <w:pStyle w:val="Heading2"/>
      </w:pPr>
      <w:r>
        <w:rPr>
          <w:rStyle w:val="SectionNumber"/>
        </w:rPr>
        <w:t xml:space="preserve">4.5</w:t>
      </w:r>
      <w:r>
        <w:tab/>
      </w:r>
      <w:r>
        <w:t xml:space="preserve">Implications for Healthcare Organizations</w:t>
      </w:r>
    </w:p>
    <w:bookmarkStart w:id="60"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Peer-reviewed studies corroborate these findings: a systematic review identified cost and time reduction as the most frequently discussed benefits across 17 studies [A31], healthcare institutions report 177% ROI over 36 months with 67% faster development [A33], and small healthcare clinics document 250% cumulative three-year ROI [A34].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1"/>
    <w:bookmarkStart w:id="62"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7"/>
        </w:numPr>
      </w:pPr>
      <w:r>
        <w:rPr>
          <w:b/>
          <w:bCs/>
        </w:rPr>
        <w:t xml:space="preserve">Long-term outcomes</w:t>
      </w:r>
      <w:r>
        <w:t xml:space="preserve">: Most studies examine 6-24 month implementations; multi-year impacts remain understudied</w:t>
      </w:r>
    </w:p>
    <w:p>
      <w:pPr>
        <w:pStyle w:val="Compact"/>
        <w:numPr>
          <w:ilvl w:val="0"/>
          <w:numId w:val="1017"/>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7"/>
        </w:numPr>
      </w:pPr>
      <w:r>
        <w:rPr>
          <w:b/>
          <w:bCs/>
        </w:rPr>
        <w:t xml:space="preserve">Governance frameworks</w:t>
      </w:r>
      <w:r>
        <w:t xml:space="preserve">: Limited research on optimal governance models for democratized analytics</w:t>
      </w:r>
    </w:p>
    <w:p>
      <w:pPr>
        <w:pStyle w:val="Compact"/>
        <w:numPr>
          <w:ilvl w:val="0"/>
          <w:numId w:val="1017"/>
        </w:numPr>
      </w:pPr>
      <w:r>
        <w:rPr>
          <w:b/>
          <w:bCs/>
        </w:rPr>
        <w:t xml:space="preserve">Training methodologies</w:t>
      </w:r>
      <w:r>
        <w:t xml:space="preserve">: Best practices for transitioning from traditional to conversational analytics lack empirical validation</w:t>
      </w:r>
    </w:p>
    <w:p>
      <w:pPr>
        <w:pStyle w:val="Compact"/>
        <w:numPr>
          <w:ilvl w:val="0"/>
          <w:numId w:val="1017"/>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7"/>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 [A35, A36, A37, A38]), longitudinal studies tracking sustained productivity improvements over multiple years remain limited</w:t>
      </w:r>
    </w:p>
    <w:bookmarkEnd w:id="64"/>
    <w:bookmarkStart w:id="6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89" w:name="discussion"/>
    <w:p>
      <w:pPr>
        <w:pStyle w:val="Heading1"/>
      </w:pPr>
      <w:r>
        <w:rPr>
          <w:rStyle w:val="SectionNumber"/>
        </w:rPr>
        <w:t xml:space="preserve">5</w:t>
      </w:r>
      <w:r>
        <w:tab/>
      </w:r>
      <w:r>
        <w:t xml:space="preserve">Discussion</w:t>
      </w:r>
    </w:p>
    <w:bookmarkStart w:id="74"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8"/>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8"/>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8"/>
        </w:numPr>
      </w:pPr>
      <w:r>
        <w:rPr>
          <w:b/>
          <w:bCs/>
        </w:rPr>
        <w:t xml:space="preserve">Governance Framework Development</w:t>
      </w:r>
      <w:r>
        <w:t xml:space="preserve">: Research on optimal governance models for democratized analytics</w:t>
      </w:r>
    </w:p>
    <w:bookmarkEnd w:id="82"/>
    <w:bookmarkStart w:id="8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19"/>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19"/>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19"/>
        </w:numPr>
      </w:pPr>
      <w:r>
        <w:rPr>
          <w:b/>
          <w:bCs/>
        </w:rPr>
        <w:t xml:space="preserve">Longitudinal Outcome Studies</w:t>
      </w:r>
      <w:r>
        <w:t xml:space="preserve">: Multi-year implementations to assess sustained benefits and organizational evolution</w:t>
      </w:r>
    </w:p>
    <w:p>
      <w:pPr>
        <w:pStyle w:val="Compact"/>
        <w:numPr>
          <w:ilvl w:val="0"/>
          <w:numId w:val="1019"/>
        </w:numPr>
      </w:pPr>
      <w:r>
        <w:rPr>
          <w:b/>
          <w:bCs/>
        </w:rPr>
        <w:t xml:space="preserve">Comparative Effectiveness Research</w:t>
      </w:r>
      <w:r>
        <w:t xml:space="preserve">: Head-to-head comparisons of different conversational AI approaches on healthcare-specific benchmarks</w:t>
      </w:r>
    </w:p>
    <w:bookmarkEnd w:id="83"/>
    <w:bookmarkStart w:id="8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0"/>
        </w:numPr>
      </w:pPr>
      <w:r>
        <w:rPr>
          <w:b/>
          <w:bCs/>
        </w:rPr>
        <w:t xml:space="preserve">Organizational Transformation Studies</w:t>
      </w:r>
      <w:r>
        <w:t xml:space="preserve">: Research on how conversational AI platforms reshape healthcare organizational capabilities</w:t>
      </w:r>
    </w:p>
    <w:p>
      <w:pPr>
        <w:pStyle w:val="Compact"/>
        <w:numPr>
          <w:ilvl w:val="0"/>
          <w:numId w:val="1020"/>
        </w:numPr>
      </w:pPr>
      <w:r>
        <w:rPr>
          <w:b/>
          <w:bCs/>
        </w:rPr>
        <w:t xml:space="preserve">Clinical Outcome Impact Assessment</w:t>
      </w:r>
      <w:r>
        <w:t xml:space="preserve">: Studies linking improved analytics access to patient care outcomes</w:t>
      </w:r>
    </w:p>
    <w:p>
      <w:pPr>
        <w:pStyle w:val="Compact"/>
        <w:numPr>
          <w:ilvl w:val="0"/>
          <w:numId w:val="1020"/>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4"/>
    <w:bookmarkEnd w:id="85"/>
    <w:bookmarkStart w:id="88"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1"/>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1"/>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1"/>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implementation-considerations"/>
    <w:p>
      <w:pPr>
        <w:pStyle w:val="Heading3"/>
      </w:pPr>
      <w:r>
        <w:rPr>
          <w:rStyle w:val="SectionNumber"/>
        </w:rPr>
        <w:t xml:space="preserve">5.4.2</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2"/>
        </w:numPr>
      </w:pPr>
      <w:r>
        <w:rPr>
          <w:b/>
          <w:bCs/>
        </w:rPr>
        <w:t xml:space="preserve">Governance Framework Development</w:t>
      </w:r>
      <w:r>
        <w:t xml:space="preserve">: New policies and procedures for democratized analytics</w:t>
      </w:r>
    </w:p>
    <w:p>
      <w:pPr>
        <w:pStyle w:val="Compact"/>
        <w:numPr>
          <w:ilvl w:val="0"/>
          <w:numId w:val="1022"/>
        </w:numPr>
      </w:pPr>
      <w:r>
        <w:rPr>
          <w:b/>
          <w:bCs/>
        </w:rPr>
        <w:t xml:space="preserve">Change Management</w:t>
      </w:r>
      <w:r>
        <w:t xml:space="preserve">: Training and support programs to ensure user adoption</w:t>
      </w:r>
    </w:p>
    <w:p>
      <w:pPr>
        <w:pStyle w:val="Compact"/>
        <w:numPr>
          <w:ilvl w:val="0"/>
          <w:numId w:val="1022"/>
        </w:numPr>
      </w:pPr>
      <w:r>
        <w:rPr>
          <w:b/>
          <w:bCs/>
        </w:rPr>
        <w:t xml:space="preserve">Phased Deployment</w:t>
      </w:r>
      <w:r>
        <w:t xml:space="preserve">: Gradual rollout beginning with analytics-savvy early adopters</w:t>
      </w:r>
    </w:p>
    <w:p>
      <w:pPr>
        <w:pStyle w:val="Compact"/>
        <w:numPr>
          <w:ilvl w:val="0"/>
          <w:numId w:val="1022"/>
        </w:numPr>
      </w:pPr>
      <w:r>
        <w:rPr>
          <w:b/>
          <w:bCs/>
        </w:rPr>
        <w:t xml:space="preserve">Human Oversight</w:t>
      </w:r>
      <w:r>
        <w:t xml:space="preserve">: Current NL2SQL limitations require maintaining human review of AI-generated outputs [A6]</w:t>
      </w:r>
    </w:p>
    <w:bookmarkEnd w:id="87"/>
    <w:bookmarkEnd w:id="88"/>
    <w:bookmarkEnd w:id="89"/>
    <w:bookmarkStart w:id="96"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a tension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0"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3"/>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3"/>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3"/>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0"/>
    <w:bookmarkStart w:id="9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4"/>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24"/>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4"/>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1"/>
    <w:bookmarkStart w:id="9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5"/>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5"/>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5"/>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5"/>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2"/>
    <w:bookmarkStart w:id="9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6"/>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6"/>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6"/>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3"/>
    <w:bookmarkStart w:id="94"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7"/>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7"/>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7"/>
        </w:numPr>
      </w:pPr>
      <w:r>
        <w:rPr>
          <w:b/>
          <w:bCs/>
        </w:rPr>
        <w:t xml:space="preserve">Longitudinal outcomes</w:t>
      </w:r>
      <w:r>
        <w:t xml:space="preserve">: Most implementation studies span 6-24 months; multi-year institutional knowledge preservation effects remain understudied</w:t>
      </w:r>
    </w:p>
    <w:p>
      <w:pPr>
        <w:numPr>
          <w:ilvl w:val="0"/>
          <w:numId w:val="1027"/>
        </w:numPr>
      </w:pPr>
      <w:r>
        <w:rPr>
          <w:b/>
          <w:bCs/>
        </w:rPr>
        <w:t xml:space="preserve">Governance frameworks</w:t>
      </w:r>
      <w:r>
        <w:t xml:space="preserve">: Optimal approaches for balancing analytics democratization with data quality and clinical safety standards need development</w:t>
      </w:r>
    </w:p>
    <w:bookmarkEnd w:id="94"/>
    <w:bookmarkStart w:id="95"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5"/>
    <w:bookmarkEnd w:id="96"/>
    <w:bookmarkStart w:id="97" w:name="acknowledgments"/>
    <w:p>
      <w:pPr>
        <w:pStyle w:val="Heading1"/>
      </w:pPr>
      <w:r>
        <w:rPr>
          <w:rStyle w:val="SectionNumber"/>
        </w:rPr>
        <w:t xml:space="preserve">7</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97"/>
    <w:bookmarkStart w:id="98"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8"/>
    <w:bookmarkStart w:id="99"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Corp.,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Corp. This research was conducted independently without funding from any affiliated organization.</w:t>
      </w:r>
    </w:p>
    <w:bookmarkEnd w:id="99"/>
    <w:bookmarkStart w:id="100"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0"/>
    <w:bookmarkStart w:id="101"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1"/>
    <w:bookmarkStart w:id="102"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2"/>
    <w:bookmarkStart w:id="105" w:name="references"/>
    <w:p>
      <w:pPr>
        <w:pStyle w:val="Heading1"/>
      </w:pPr>
      <w:r>
        <w:rPr>
          <w:rStyle w:val="SectionNumber"/>
        </w:rPr>
        <w:t xml:space="preserve">13</w:t>
      </w:r>
      <w:r>
        <w:tab/>
      </w:r>
      <w:r>
        <w:t xml:space="preserve">References</w:t>
      </w:r>
    </w:p>
    <w:bookmarkStart w:id="103"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p>
      <w:pPr>
        <w:pStyle w:val="BodyText"/>
      </w:pPr>
      <w:r>
        <w:t xml:space="preserve">[A31] El Kamouchi, H., &amp; Kissi, M. (2023). Low-code/No-code Development: A systematic literature review.</w:t>
      </w:r>
      <w:r>
        <w:t xml:space="preserve"> </w:t>
      </w:r>
      <w:r>
        <w:rPr>
          <w:i/>
          <w:iCs/>
        </w:rPr>
        <w:t xml:space="preserve">2023 14th International Conference on Computing Communication and Networking Technologies (ICCCNT)</w:t>
      </w:r>
      <w:r>
        <w:t xml:space="preserve">, IEEE. DOI: 10.1109/ICCCNT56998.2023.10373712. https://ieeexplore.ieee.org/abstract/document/10373712/</w:t>
      </w:r>
    </w:p>
    <w:p>
      <w:pPr>
        <w:pStyle w:val="BodyText"/>
      </w:pPr>
      <w:r>
        <w:t xml:space="preserve">[A32] Tan, J. P. Y., Tan, M. W. J., Towle, R. M., Lee, J. S. W., et al. (2023). mHealth app to facilitate remote care for patients with COVID-19: rapid development of the DrCovid+ app.</w:t>
      </w:r>
      <w:r>
        <w:t xml:space="preserve"> </w:t>
      </w:r>
      <w:r>
        <w:rPr>
          <w:i/>
          <w:iCs/>
        </w:rPr>
        <w:t xml:space="preserve">JMIR Formative Research</w:t>
      </w:r>
      <w:r>
        <w:t xml:space="preserve">, 7, e38555. DOI: 10.2196/38555. https://formative.jmir.org/2023/1/e38555</w:t>
      </w:r>
    </w:p>
    <w:p>
      <w:pPr>
        <w:pStyle w:val="BodyText"/>
      </w:pPr>
      <w:r>
        <w:t xml:space="preserve">[A33] Mogili, V. B. (2025). Healthcare and Finance Transformation through Enterprise Content, Low-Code, and Automation: A Multinational Technology Corporation’s Approach.</w:t>
      </w:r>
      <w:r>
        <w:t xml:space="preserve"> </w:t>
      </w:r>
      <w:r>
        <w:rPr>
          <w:i/>
          <w:iCs/>
        </w:rPr>
        <w:t xml:space="preserve">Journal of Engineering and Computer Sciences</w:t>
      </w:r>
      <w:r>
        <w:t xml:space="preserve">. https://sarcouncil.com/download-article/SJECS-209-_2025-630-636.pdf</w:t>
      </w:r>
    </w:p>
    <w:p>
      <w:pPr>
        <w:pStyle w:val="BodyText"/>
      </w:pPr>
      <w:r>
        <w:t xml:space="preserve">[A34] Pervaiz, H., &amp; Ijaz, R. (2025). Leveraging Low-Code/No-Code Platforms for Rapid Digital Transformation in Small and Medium-sized Enterprises (SMEs).</w:t>
      </w:r>
      <w:r>
        <w:t xml:space="preserve"> </w:t>
      </w:r>
      <w:r>
        <w:rPr>
          <w:i/>
          <w:iCs/>
        </w:rPr>
        <w:t xml:space="preserve">Multidisciplinary Journal of Science, Technology &amp; Business</w:t>
      </w:r>
      <w:r>
        <w:t xml:space="preserve">. https://imjstb.com/index.php/Journal/article/view/95</w:t>
      </w:r>
    </w:p>
    <w:p>
      <w:pPr>
        <w:pStyle w:val="BodyText"/>
      </w:pPr>
      <w:r>
        <w:t xml:space="preserve">[A35] Yuan, C., Ryan, P. B., Ta, C., Guo, Y., Li, Z., et al. (2019). Criteria2Query: a natural language interface to clinical databases for cohort definition.</w:t>
      </w:r>
      <w:r>
        <w:t xml:space="preserve"> </w:t>
      </w:r>
      <w:r>
        <w:rPr>
          <w:i/>
          <w:iCs/>
        </w:rPr>
        <w:t xml:space="preserve">Journal of the American Medical Informatics Association</w:t>
      </w:r>
      <w:r>
        <w:t xml:space="preserve">, 26(4), 294-305. DOI: 10.1093/jamia/ocy178. https://academic.oup.com/jamia/article-abstract/26/4/294/5308980</w:t>
      </w:r>
    </w:p>
    <w:p>
      <w:pPr>
        <w:pStyle w:val="BodyText"/>
      </w:pPr>
      <w:r>
        <w:t xml:space="preserve">[A36] Dadi, C. B. (2025). Natural Language Interfaces for Database Management: Bridging the Gap Between Users and Data through Conversational AI.</w:t>
      </w:r>
      <w:r>
        <w:t xml:space="preserve"> </w:t>
      </w:r>
      <w:r>
        <w:rPr>
          <w:i/>
          <w:iCs/>
        </w:rPr>
        <w:t xml:space="preserve">Journal of Computer Science and Technology Studies</w:t>
      </w:r>
      <w:r>
        <w:t xml:space="preserve">. https://al-kindipublishers.org/index.php/jcsts/article/view/8823</w:t>
      </w:r>
    </w:p>
    <w:p>
      <w:pPr>
        <w:pStyle w:val="BodyText"/>
      </w:pPr>
      <w:r>
        <w:t xml:space="preserve">[A37] Shah, V., Li, S., Kumar, A., &amp; Saul, L. (2020). SpeakQL: towards speech-driven multimodal querying of structured data.</w:t>
      </w:r>
      <w:r>
        <w:t xml:space="preserve"> </w:t>
      </w:r>
      <w:r>
        <w:rPr>
          <w:i/>
          <w:iCs/>
        </w:rPr>
        <w:t xml:space="preserve">Proceedings of the 2020 ACM SIGMOD International Conference on Management of Data</w:t>
      </w:r>
      <w:r>
        <w:t xml:space="preserve">, 2363-2374. DOI: 10.1145/3318464.3389777. https://dl.acm.org/doi/abs/10.1145/3318464.3389777</w:t>
      </w:r>
    </w:p>
    <w:p>
      <w:pPr>
        <w:pStyle w:val="BodyText"/>
      </w:pPr>
      <w:r>
        <w:t xml:space="preserve">[A38] Ipeirotis, P., &amp; Zheng, H. (2025). Natural Language Interfaces for Databases: What Do Users Think?</w:t>
      </w:r>
      <w:r>
        <w:t xml:space="preserve"> </w:t>
      </w:r>
      <w:r>
        <w:rPr>
          <w:i/>
          <w:iCs/>
        </w:rPr>
        <w:t xml:space="preserve">arXiv preprint arXiv:2511.14718</w:t>
      </w:r>
      <w:r>
        <w:t xml:space="preserve">. https://arxiv.org/abs/2511.14718</w:t>
      </w:r>
    </w:p>
    <w:p>
      <w:pPr>
        <w:pStyle w:val="BodyText"/>
      </w:pPr>
      <w:r>
        <w:t xml:space="preserve">[A39] Milne-Ives, M., De Cock, C., Lim, E., Shehadeh, M. H., et al. (2020). The effectiveness of artificial intelligence conversational agents in health care: systematic review.</w:t>
      </w:r>
      <w:r>
        <w:t xml:space="preserve"> </w:t>
      </w:r>
      <w:r>
        <w:rPr>
          <w:i/>
          <w:iCs/>
        </w:rPr>
        <w:t xml:space="preserve">Journal of Medical Internet Research</w:t>
      </w:r>
      <w:r>
        <w:t xml:space="preserve">, 22(10), e20346. DOI: 10.2196/20346. https://www.jmir.org/2020/10/e20346/</w:t>
      </w:r>
    </w:p>
    <w:p>
      <w:pPr>
        <w:pStyle w:val="BodyText"/>
      </w:pPr>
      <w:r>
        <w:t xml:space="preserve">[A40] Aveiro, D., Freitas, V., Cunha, E., Quintal, F., et al. (2023). Traditional vs. low-code development: comparing needed effort and system complexity in the NexusBRaNT experiment.</w:t>
      </w:r>
      <w:r>
        <w:t xml:space="preserve"> </w:t>
      </w:r>
      <w:r>
        <w:rPr>
          <w:i/>
          <w:iCs/>
        </w:rPr>
        <w:t xml:space="preserve">2023 IEEE 25th Conference on Business Informatics (CBI)</w:t>
      </w:r>
      <w:r>
        <w:t xml:space="preserve">, 1-10. DOI: 10.1109/CBI58679.2023.10186753. https://ieeexplore.ieee.org/document/10186753</w:t>
      </w:r>
    </w:p>
    <w:p>
      <w:pPr>
        <w:pStyle w:val="BodyText"/>
      </w:pPr>
      <w:r>
        <w:t xml:space="preserve">[A41] Li, Y., Liang, S., Zhu, B., Liu, X., Li, J., Chen, D., Qin, J., et al. (2023). Feasibility and effectiveness of artificial intelligence-driven conversational agents in healthcare interventions: A systematic review of randomized controlled trials.</w:t>
      </w:r>
      <w:r>
        <w:t xml:space="preserve"> </w:t>
      </w:r>
      <w:r>
        <w:rPr>
          <w:i/>
          <w:iCs/>
        </w:rPr>
        <w:t xml:space="preserve">International Journal of Medical Informatics</w:t>
      </w:r>
      <w:r>
        <w:t xml:space="preserve">, 178, 105195. DOI: 10.1016/j.ijmedinf.2023.105195. https://www.sciencedirect.com/science/article/pii/S1386505623001296</w:t>
      </w:r>
    </w:p>
    <w:p>
      <w:pPr>
        <w:pStyle w:val="BodyText"/>
      </w:pPr>
      <w:r>
        <w:t xml:space="preserve">[A42] Rollwage, M., Habicht, J., Juechems, K., Carrington, B., et al. (2023). Using conversational AI to facilitate mental health assessments and improve clinical efficiency within psychotherapy services: real-world observational study.</w:t>
      </w:r>
      <w:r>
        <w:t xml:space="preserve"> </w:t>
      </w:r>
      <w:r>
        <w:rPr>
          <w:i/>
          <w:iCs/>
        </w:rPr>
        <w:t xml:space="preserve">JMIR AI</w:t>
      </w:r>
      <w:r>
        <w:t xml:space="preserve">, 2, e44358. DOI: 10.2196/44358. https://ai.jmir.org/2023/1/e44358</w:t>
      </w:r>
    </w:p>
    <w:p>
      <w:pPr>
        <w:pStyle w:val="BodyText"/>
      </w:pPr>
      <w:r>
        <w:t xml:space="preserve">[A43] Safari, L., &amp; Patrick, J. D. (2014). Restricted natural language based querying of clinical databases.</w:t>
      </w:r>
      <w:r>
        <w:t xml:space="preserve"> </w:t>
      </w:r>
      <w:r>
        <w:rPr>
          <w:i/>
          <w:iCs/>
        </w:rPr>
        <w:t xml:space="preserve">Journal of Biomedical Informatics</w:t>
      </w:r>
      <w:r>
        <w:t xml:space="preserve">, 52, 333-353. DOI: 10.1016/j.jbi.2014.08.003. https://www.sciencedirect.com/science/article/pii/S1532046414001592</w:t>
      </w:r>
    </w:p>
    <w:p>
      <w:pPr>
        <w:pStyle w:val="BodyText"/>
      </w:pPr>
      <w:r>
        <w:t xml:space="preserve">[A44] Han, J., Chen, K., Fang, L., Zhang, S., &amp; Wang, F. (2019). Improving the efficacy of the data entry process for clinical research with a natural language processing-driven medical information extraction system.</w:t>
      </w:r>
      <w:r>
        <w:t xml:space="preserve"> </w:t>
      </w:r>
      <w:r>
        <w:rPr>
          <w:i/>
          <w:iCs/>
        </w:rPr>
        <w:t xml:space="preserve">JMIR Medical Informatics</w:t>
      </w:r>
      <w:r>
        <w:t xml:space="preserve">, 7(2), e13331. DOI: 10.2196/13331. https://medinform.jmir.org/2019/2/e13331</w:t>
      </w:r>
    </w:p>
    <w:p>
      <w:pPr>
        <w:pStyle w:val="BodyText"/>
      </w:pPr>
      <w:r>
        <w:t xml:space="preserve">[A45] Marshan, A., Almutairi, A. N., Joannou, A., &amp; Bell, D. (2024). MedT5SQL: a transformers-based large language model for text-to-SQL conversion in the healthcare domain.</w:t>
      </w:r>
      <w:r>
        <w:t xml:space="preserve"> </w:t>
      </w:r>
      <w:r>
        <w:rPr>
          <w:i/>
          <w:iCs/>
        </w:rPr>
        <w:t xml:space="preserve">Frontiers in Big Data</w:t>
      </w:r>
      <w:r>
        <w:t xml:space="preserve">, 7, 1371680. DOI: 10.3389/fdata.2024.1371680. https://www.frontiersin.org/articles/10.3389/fdata.2024.1371680</w:t>
      </w:r>
    </w:p>
    <w:p>
      <w:pPr>
        <w:pStyle w:val="BodyText"/>
      </w:pPr>
      <w:r>
        <w:t xml:space="preserve">[A46] Hendrix, G. G., Sacerdoti, E. D., Sagalowicz, D., &amp; Slocum, J. (1978). Developing a natural language interface to complex data.</w:t>
      </w:r>
      <w:r>
        <w:t xml:space="preserve"> </w:t>
      </w:r>
      <w:r>
        <w:rPr>
          <w:i/>
          <w:iCs/>
        </w:rPr>
        <w:t xml:space="preserve">ACM Transactions on Database Systems</w:t>
      </w:r>
      <w:r>
        <w:t xml:space="preserve">, 3(2), 105-147. DOI: 10.1145/320251.320253. https://dl.acm.org/doi/abs/10.1145/320251.320253</w:t>
      </w:r>
    </w:p>
    <w:p>
      <w:pPr>
        <w:pStyle w:val="BodyText"/>
      </w:pPr>
      <w:r>
        <w:t xml:space="preserve">[A47] Ogunwole, O., &amp; Onukwulu, E. C. (2023). Modernizing legacy systems: A scalable approach to next-generation data architectures and seamless integration.</w:t>
      </w:r>
      <w:r>
        <w:t xml:space="preserve"> </w:t>
      </w:r>
      <w:r>
        <w:rPr>
          <w:i/>
          <w:iCs/>
        </w:rPr>
        <w:t xml:space="preserve">International Journal of Multidisciplinary Research</w:t>
      </w:r>
      <w:r>
        <w:t xml:space="preserve">. https://www.allmultidisciplinaryjournal.com/uploads/archives/20250306182550_MGE-2025-2-018.1.pdf</w:t>
      </w:r>
    </w:p>
    <w:p>
      <w:pPr>
        <w:pStyle w:val="BodyText"/>
      </w:pPr>
      <w:r>
        <w:t xml:space="preserve">[A48] Arora, A. (2025). Challenges of Integrating Artificial Intelligence in Legacy Systems and Potential Solutions for Seamless Integration.</w:t>
      </w:r>
      <w:r>
        <w:t xml:space="preserve"> </w:t>
      </w:r>
      <w:r>
        <w:rPr>
          <w:i/>
          <w:iCs/>
        </w:rPr>
        <w:t xml:space="preserve">SSRN</w:t>
      </w:r>
      <w:r>
        <w:t xml:space="preserve">, 5268176. https://papers.ssrn.com/sol3/papers.cfm?abstract_id=5268176</w:t>
      </w:r>
    </w:p>
    <w:p>
      <w:pPr>
        <w:pStyle w:val="BodyText"/>
      </w:pPr>
      <w:r>
        <w:t xml:space="preserve">[A49] Khandelwal, A. P. (2025). AI-Driven Mainframe Modernization: Unlocking Legacy Data for Cloud Analytics.</w:t>
      </w:r>
      <w:r>
        <w:t xml:space="preserve"> </w:t>
      </w:r>
      <w:r>
        <w:rPr>
          <w:i/>
          <w:iCs/>
        </w:rPr>
        <w:t xml:space="preserve">Journal of Engineering and Computer Sciences</w:t>
      </w:r>
      <w:r>
        <w:t xml:space="preserve">. https://sarcouncil.com/2025/06/ai-driven-mainframe-modernization-unlocking-legacy-data-for-cloud-analytics</w:t>
      </w:r>
    </w:p>
    <w:p>
      <w:pPr>
        <w:pStyle w:val="BodyText"/>
      </w:pPr>
      <w:r>
        <w:t xml:space="preserve">[A50] Goffin, K., &amp; Koners, U. (2011). Tacit knowledge, lessons learnt, and new product development.</w:t>
      </w:r>
      <w:r>
        <w:t xml:space="preserve"> </w:t>
      </w:r>
      <w:r>
        <w:rPr>
          <w:i/>
          <w:iCs/>
        </w:rPr>
        <w:t xml:space="preserve">Journal of Product Innovation Management</w:t>
      </w:r>
      <w:r>
        <w:t xml:space="preserve">, 28(2), 300-318. DOI: 10.1111/j.1540-5885.2010.00798.x. https://onlinelibrary.wiley.com/doi/abs/10.1111/j.1540-5885.2010.00798.x</w:t>
      </w:r>
    </w:p>
    <w:p>
      <w:pPr>
        <w:pStyle w:val="BodyText"/>
      </w:pPr>
      <w:r>
        <w:t xml:space="preserve">[A51] Foos, T., Schum, G., &amp; Rothenberg, S. (2006). Tacit knowledge transfer and the knowledge disconnect.</w:t>
      </w:r>
      <w:r>
        <w:t xml:space="preserve"> </w:t>
      </w:r>
      <w:r>
        <w:rPr>
          <w:i/>
          <w:iCs/>
        </w:rPr>
        <w:t xml:space="preserve">Journal of Knowledge Management</w:t>
      </w:r>
      <w:r>
        <w:t xml:space="preserve">, 10(1), 6-18. DOI: 10.1108/13673270610650067. https://www.emerald.com/insight/content/doi/10.1108/13673270610650067/full/html</w:t>
      </w:r>
    </w:p>
    <w:p>
      <w:pPr>
        <w:pStyle w:val="BodyText"/>
      </w:pPr>
      <w:r>
        <w:t xml:space="preserve">[A52] Goffin, K., Koners, U., Baxter, D., &amp; Van der Hoven, C. (2010). Managing lessons learned and tacit knowledge in new product development.</w:t>
      </w:r>
      <w:r>
        <w:t xml:space="preserve"> </w:t>
      </w:r>
      <w:r>
        <w:rPr>
          <w:i/>
          <w:iCs/>
        </w:rPr>
        <w:t xml:space="preserve">Research-Technology Management</w:t>
      </w:r>
      <w:r>
        <w:t xml:space="preserve">, 53(4), 39-51. DOI: 10.1080/08956308.2010.11657637. https://www.tandfonline.com/doi/abs/10.1080/08956308.2010.11657637</w:t>
      </w:r>
    </w:p>
    <w:p>
      <w:pPr>
        <w:pStyle w:val="BodyText"/>
      </w:pPr>
      <w:r>
        <w:t xml:space="preserve">[A53] Rintala, N., &amp; Hyttinen, L. (2006). Methods for sharing tacit nuclear knowledge and expertise.</w:t>
      </w:r>
      <w:r>
        <w:t xml:space="preserve"> </w:t>
      </w:r>
      <w:r>
        <w:rPr>
          <w:i/>
          <w:iCs/>
        </w:rPr>
        <w:t xml:space="preserve">International Journal of Nuclear Knowledge Management</w:t>
      </w:r>
      <w:r>
        <w:t xml:space="preserve">, 2(2), 157-168. DOI: 10.1504/IJNKM.2006.009880. https://www.inderscienceonline.com/doi/abs/10.1504/IJNKM.2006.009880</w:t>
      </w:r>
    </w:p>
    <w:p>
      <w:pPr>
        <w:pStyle w:val="BodyText"/>
      </w:pPr>
      <w:r>
        <w:t xml:space="preserve">[A54] Snowdon, A., Hussein, A., Danforth, M., &amp; Wright, A. (2024). Digital maturity as a predictor of quality and safety outcomes in US hospitals: Cross-sectional observational study.</w:t>
      </w:r>
      <w:r>
        <w:t xml:space="preserve"> </w:t>
      </w:r>
      <w:r>
        <w:rPr>
          <w:i/>
          <w:iCs/>
        </w:rPr>
        <w:t xml:space="preserve">Journal of Medical Internet Research</w:t>
      </w:r>
      <w:r>
        <w:t xml:space="preserve">, 26, e52224. DOI: 10.2196/52224. https://www.jmir.org/2024/1/e52224</w:t>
      </w:r>
    </w:p>
    <w:p>
      <w:pPr>
        <w:pStyle w:val="BodyText"/>
      </w:pPr>
      <w:r>
        <w:t xml:space="preserve">[A55] Snowdon, A., Hussein, A., &amp; Olubisi, A. (2024). Digital maturity as a strategy for advancing patient experience in US hospitals.</w:t>
      </w:r>
      <w:r>
        <w:t xml:space="preserve"> </w:t>
      </w:r>
      <w:r>
        <w:rPr>
          <w:i/>
          <w:iCs/>
        </w:rPr>
        <w:t xml:space="preserve">Journal of Patient Experience</w:t>
      </w:r>
      <w:r>
        <w:t xml:space="preserve">, 11, 1-8. DOI: 10.1177/23743735241253785. https://journals.sagepub.com/doi/full/10.1177/23743735241253785</w:t>
      </w:r>
    </w:p>
    <w:p>
      <w:pPr>
        <w:pStyle w:val="BodyText"/>
      </w:pPr>
      <w:r>
        <w:t xml:space="preserve">[A56] Wang, Y., Kung, L. A., Gupta, S., &amp; Ozdemir, S. (2019). Leveraging big data analytics to improve quality of care in healthcare organizations: A configurational perspective.</w:t>
      </w:r>
      <w:r>
        <w:t xml:space="preserve"> </w:t>
      </w:r>
      <w:r>
        <w:rPr>
          <w:i/>
          <w:iCs/>
        </w:rPr>
        <w:t xml:space="preserve">British Journal of Management</w:t>
      </w:r>
      <w:r>
        <w:t xml:space="preserve">, 30(2), 362-388. DOI: 10.1111/1467-8551.12332. https://onlinelibrary.wiley.com/doi/abs/10.1111/1467-8551.12332</w:t>
      </w:r>
    </w:p>
    <w:p>
      <w:pPr>
        <w:pStyle w:val="BodyText"/>
      </w:pPr>
      <w:r>
        <w:t xml:space="preserve">[A57] Gomes, J., &amp; Romão, M. (2025). Evaluating maturity models in healthcare information systems: A comprehensive review.</w:t>
      </w:r>
      <w:r>
        <w:t xml:space="preserve"> </w:t>
      </w:r>
      <w:r>
        <w:rPr>
          <w:i/>
          <w:iCs/>
        </w:rPr>
        <w:t xml:space="preserve">Healthcare</w:t>
      </w:r>
      <w:r>
        <w:t xml:space="preserve">, 13(1), 1-20. DOI: 10.3390/healthcare13010001. https://www.mdpi.com/2227-9032/13/1/1</w:t>
      </w:r>
    </w:p>
    <w:p>
      <w:pPr>
        <w:pStyle w:val="BodyText"/>
      </w:pPr>
      <w:r>
        <w:t xml:space="preserve">[A58] Rangachari, P., &amp; Woods, J. L. (2020). Preserving organizational resilience, patient safety, and staff retention during COVID-19 requires a holistic consideration of the psychological safety of healthcare workers.</w:t>
      </w:r>
      <w:r>
        <w:t xml:space="preserve"> </w:t>
      </w:r>
      <w:r>
        <w:rPr>
          <w:i/>
          <w:iCs/>
        </w:rPr>
        <w:t xml:space="preserve">International Journal of Environmental Research and Public Health</w:t>
      </w:r>
      <w:r>
        <w:t xml:space="preserve">, 17(12), 4267. DOI: 10.3390/ijerph17124267. https://www.mdpi.com/1660-4601/17/12/4267</w:t>
      </w:r>
    </w:p>
    <w:p>
      <w:pPr>
        <w:pStyle w:val="BodyText"/>
      </w:pPr>
      <w:r>
        <w:t xml:space="preserve">[A59] Bae, S. H., Mark, B., &amp; Fried, B. (2010). Impact of nursing unit turnover on patient outcomes in hospitals.</w:t>
      </w:r>
      <w:r>
        <w:t xml:space="preserve"> </w:t>
      </w:r>
      <w:r>
        <w:rPr>
          <w:i/>
          <w:iCs/>
        </w:rPr>
        <w:t xml:space="preserve">Journal of Nursing Scholarship</w:t>
      </w:r>
      <w:r>
        <w:t xml:space="preserve">, 42(1), 40-49. DOI: 10.1111/j.1547-5069.2009.01319.x. https://onlinelibrary.wiley.com/doi/abs/10.1111/j.1547-5069.2009.01319.x</w:t>
      </w:r>
    </w:p>
    <w:p>
      <w:pPr>
        <w:pStyle w:val="BodyText"/>
      </w:pPr>
      <w:r>
        <w:t xml:space="preserve">[A60] Wakerman, J., Humphreys, J., Russell, D., Guthridge, S., Bourke, L., Dunbar, T., Zhao, Y., Ramjan, M., Murakami-Gold, L., &amp; Jones, M. P. (2019). Remote health workforce turnover and retention: What are the policy and practice priorities?</w:t>
      </w:r>
      <w:r>
        <w:t xml:space="preserve"> </w:t>
      </w:r>
      <w:r>
        <w:rPr>
          <w:i/>
          <w:iCs/>
        </w:rPr>
        <w:t xml:space="preserve">Human Resources for Health</w:t>
      </w:r>
      <w:r>
        <w:t xml:space="preserve">, 17, 99. DOI: 10.1186/s12960-019-0432-y. https://human-resources-health.biomedcentral.com/articles/10.1186/s12960-019-0432-y</w:t>
      </w:r>
    </w:p>
    <w:p>
      <w:pPr>
        <w:pStyle w:val="BodyText"/>
      </w:pPr>
      <w:r>
        <w:t xml:space="preserve">[A61] Lahaie, D. (2005). The impact of corporate memory loss: What happens when a senior executive leaves?</w:t>
      </w:r>
      <w:r>
        <w:t xml:space="preserve"> </w:t>
      </w:r>
      <w:r>
        <w:rPr>
          <w:i/>
          <w:iCs/>
        </w:rPr>
        <w:t xml:space="preserve">Leadership in Health Services</w:t>
      </w:r>
      <w:r>
        <w:t xml:space="preserve">, 18(3), 35-48. DOI: 10.1108/13660750510611198. https://www.emerald.com/insight/content/doi/10.1108/13660750510611198/full/html</w:t>
      </w:r>
    </w:p>
    <w:p>
      <w:pPr>
        <w:pStyle w:val="BodyText"/>
      </w:pPr>
      <w:r>
        <w:t xml:space="preserve">[A62] Shen, K., McGarry, B. E., &amp; Gandhi, A. D. (2023). Health care staff turnover and quality of care at nursing homes.</w:t>
      </w:r>
      <w:r>
        <w:t xml:space="preserve"> </w:t>
      </w:r>
      <w:r>
        <w:rPr>
          <w:i/>
          <w:iCs/>
        </w:rPr>
        <w:t xml:space="preserve">JAMA Internal Medicine</w:t>
      </w:r>
      <w:r>
        <w:t xml:space="preserve">, 183(9), 985-993. DOI: 10.1001/jamainternmed.2023.3140. https://jamanetwork.com/journals/jamainternalmedicine/fullarticle/2807501</w:t>
      </w:r>
    </w:p>
    <w:p>
      <w:pPr>
        <w:pStyle w:val="BodyText"/>
      </w:pPr>
      <w:r>
        <w:t xml:space="preserve">[A63] Lin, C., Lin, I. C., &amp; Roan, J. (2012). Barriers to physicians’ adoption of healthcare information technology: An empirical study on multiple hospitals.</w:t>
      </w:r>
      <w:r>
        <w:t xml:space="preserve"> </w:t>
      </w:r>
      <w:r>
        <w:rPr>
          <w:i/>
          <w:iCs/>
        </w:rPr>
        <w:t xml:space="preserve">Journal of Medical Systems</w:t>
      </w:r>
      <w:r>
        <w:t xml:space="preserve">, 36(3), 1965-1977. DOI: 10.1007/s10916-011-9656-7. https://link.springer.com/article/10.1007/s10916-011-9656-7</w:t>
      </w:r>
    </w:p>
    <w:p>
      <w:pPr>
        <w:pStyle w:val="BodyText"/>
      </w:pPr>
      <w:r>
        <w:t xml:space="preserve">[A64] Latrella, M., &amp; Baldasare, L. (2024). Improving patient outcomes while reducing readmissions with data analytics.</w:t>
      </w:r>
      <w:r>
        <w:t xml:space="preserve"> </w:t>
      </w:r>
      <w:r>
        <w:rPr>
          <w:i/>
          <w:iCs/>
        </w:rPr>
        <w:t xml:space="preserve">Management in Healthcare</w:t>
      </w:r>
      <w:r>
        <w:t xml:space="preserve">, 8(4), 368-378. DOI: 10.69554/QHSO5671. https://www.ingentaconnect.com/content/hsp/mih/2024/00000008/00000004/art00006</w:t>
      </w:r>
    </w:p>
    <w:p>
      <w:pPr>
        <w:pStyle w:val="BodyText"/>
      </w:pPr>
      <w:r>
        <w:t xml:space="preserve">[A65] Khan, S., Sakib, M., &amp; Iqbal, M. (2023). Advanced business analytics in healthcare: Enhancing clinical decision support and operational efficiency.</w:t>
      </w:r>
      <w:r>
        <w:t xml:space="preserve"> </w:t>
      </w:r>
      <w:r>
        <w:rPr>
          <w:i/>
          <w:iCs/>
        </w:rPr>
        <w:t xml:space="preserve">Business and Economics</w:t>
      </w:r>
      <w:r>
        <w:t xml:space="preserve">, 4(2), 1-15. https://publishing.emanresearch.org/index.php/bej/article/view/1136</w:t>
      </w:r>
    </w:p>
    <w:p>
      <w:pPr>
        <w:pStyle w:val="BodyText"/>
      </w:pPr>
      <w:r>
        <w:t xml:space="preserve">[A66] Rajamani, S., Leider, J. P., &amp; Gunashekar, D. R. (2025). Public health informatics specialists in state and local public health workforce: Insights from public health workforce interests and needs survey.</w:t>
      </w:r>
      <w:r>
        <w:t xml:space="preserve"> </w:t>
      </w:r>
      <w:r>
        <w:rPr>
          <w:i/>
          <w:iCs/>
        </w:rPr>
        <w:t xml:space="preserve">Journal of Public Health Management and Practice</w:t>
      </w:r>
      <w:r>
        <w:t xml:space="preserve">. DOI: 10.1097/PHH.0000000000001234. https://academic.oup.com/jpubhealth</w:t>
      </w:r>
    </w:p>
    <w:p>
      <w:pPr>
        <w:pStyle w:val="BodyText"/>
      </w:pPr>
      <w:r>
        <w:t xml:space="preserve">[A67] Willard-Grace, R., Knox, M., Huang, B., et al. (2019). Burnout and health care workforce turnover.</w:t>
      </w:r>
      <w:r>
        <w:t xml:space="preserve"> </w:t>
      </w:r>
      <w:r>
        <w:rPr>
          <w:i/>
          <w:iCs/>
        </w:rPr>
        <w:t xml:space="preserve">The Annals of Family Medicine</w:t>
      </w:r>
      <w:r>
        <w:t xml:space="preserve">, 17(1), 36-41. DOI: 10.1370/afm.2338. https://www.annfammed.org/content/17/1/36</w:t>
      </w:r>
    </w:p>
    <w:p>
      <w:pPr>
        <w:pStyle w:val="BodyText"/>
      </w:pPr>
      <w:r>
        <w:t xml:space="preserve">[A68] Melnick, E. R., Fong, A., Nath, B., Williams, B., et al. (2021). Analysis of electronic health record use and clinical productivity and their association with physician turnover.</w:t>
      </w:r>
      <w:r>
        <w:t xml:space="preserve"> </w:t>
      </w:r>
      <w:r>
        <w:rPr>
          <w:i/>
          <w:iCs/>
        </w:rPr>
        <w:t xml:space="preserve">JAMA Network Open</w:t>
      </w:r>
      <w:r>
        <w:t xml:space="preserve">, 4(10), e2128790. DOI: 10.1001/jamanetworkopen.2021.28790. https://jamanetwork.com/journals/jamanetworkopen/fullarticle/2784810</w:t>
      </w:r>
    </w:p>
    <w:bookmarkEnd w:id="103"/>
    <w:bookmarkStart w:id="104"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4"/>
    <w:bookmarkEnd w:id="105"/>
    <w:bookmarkStart w:id="112" w:name="appendices"/>
    <w:p>
      <w:pPr>
        <w:pStyle w:val="Heading1"/>
      </w:pPr>
      <w:r>
        <w:rPr>
          <w:rStyle w:val="SectionNumber"/>
        </w:rPr>
        <w:t xml:space="preserve">14</w:t>
      </w:r>
      <w:r>
        <w:tab/>
      </w:r>
      <w:r>
        <w:t xml:space="preserve">Appendices</w:t>
      </w:r>
    </w:p>
    <w:bookmarkStart w:id="106"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6"/>
    <w:bookmarkStart w:id="107"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7"/>
    <w:bookmarkStart w:id="111" w:name="Xbfd30549e6247e2f3e5132a039875af0e2849bb"/>
    <w:p>
      <w:pPr>
        <w:pStyle w:val="Heading2"/>
      </w:pPr>
      <w:r>
        <w:rPr>
          <w:rStyle w:val="SectionNumber"/>
        </w:rPr>
        <w:t xml:space="preserve">14.3</w:t>
      </w:r>
      <w:r>
        <w:tab/>
      </w:r>
      <w:r>
        <w:t xml:space="preserve">Appendix C: Healthcare NL2SQL Query Examples</w:t>
      </w:r>
    </w:p>
    <w:bookmarkStart w:id="108"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8"/>
    <w:bookmarkStart w:id="109"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09"/>
    <w:bookmarkStart w:id="110"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2025-12-21T20:49:33Z</dcterms:created>
  <dcterms:modified xsi:type="dcterms:W3CDTF">2025-12-21T20:49:33Z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