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SourceCode"/>
      </w:pPr>
      <w:r>
        <w:rPr>
          <w:rStyle w:val="VerbatimChar"/>
        </w:rPr>
        <w:t xml:space="preserve">graph TD</w:t>
      </w:r>
      <w:r>
        <w:br/>
      </w:r>
      <w:r>
        <w:rPr>
          <w:rStyle w:val="VerbatimChar"/>
        </w:rPr>
        <w:t xml:space="preserve">    A[Clinical User] --&gt;|Natural Language Query| B[Conversational AI Interface]</w:t>
      </w:r>
      <w:r>
        <w:br/>
      </w:r>
      <w:r>
        <w:rPr>
          <w:rStyle w:val="VerbatimChar"/>
        </w:rPr>
        <w:t xml:space="preserve">    B --&gt; C[Healthcare NLP Engine]</w:t>
      </w:r>
      <w:r>
        <w:br/>
      </w:r>
      <w:r>
        <w:rPr>
          <w:rStyle w:val="VerbatimChar"/>
        </w:rPr>
        <w:t xml:space="preserve">    C --&gt; D[Context-Aware SQL Generation]</w:t>
      </w:r>
      <w:r>
        <w:br/>
      </w:r>
      <w:r>
        <w:rPr>
          <w:rStyle w:val="VerbatimChar"/>
        </w:rPr>
        <w:t xml:space="preserve">    D --&gt; E[Healthcare Data Warehouse]</w:t>
      </w:r>
      <w:r>
        <w:br/>
      </w:r>
      <w:r>
        <w:rPr>
          <w:rStyle w:val="VerbatimChar"/>
        </w:rPr>
        <w:t xml:space="preserve">    E --&gt; F[Intelligent Response Generation]</w:t>
      </w:r>
      <w:r>
        <w:br/>
      </w:r>
      <w:r>
        <w:rPr>
          <w:rStyle w:val="VerbatimChar"/>
        </w:rPr>
        <w:t xml:space="preserve">    F --&gt; G[Contextual Insights &amp; Visualizations]</w:t>
      </w:r>
      <w:r>
        <w:br/>
      </w:r>
      <w:r>
        <w:rPr>
          <w:rStyle w:val="VerbatimChar"/>
        </w:rPr>
        <w:t xml:space="preserve">    G --&gt; A</w:t>
      </w:r>
      <w:r>
        <w:br/>
      </w:r>
      <w:r>
        <w:br/>
      </w:r>
      <w:r>
        <w:rPr>
          <w:rStyle w:val="VerbatimChar"/>
        </w:rPr>
        <w:t xml:space="preserve">    H[Institutional Knowledge Base] --&gt; C</w:t>
      </w:r>
      <w:r>
        <w:br/>
      </w:r>
      <w:r>
        <w:rPr>
          <w:rStyle w:val="VerbatimChar"/>
        </w:rPr>
        <w:t xml:space="preserve">    I[Healthcare Ontologies] --&gt; C</w:t>
      </w:r>
      <w:r>
        <w:br/>
      </w:r>
      <w:r>
        <w:rPr>
          <w:rStyle w:val="VerbatimChar"/>
        </w:rPr>
        <w:t xml:space="preserve">    J[Organizational Memory] --&gt; H</w:t>
      </w:r>
      <w:r>
        <w:br/>
      </w:r>
      <w:r>
        <w:rPr>
          <w:rStyle w:val="VerbatimChar"/>
        </w:rPr>
        <w:t xml:space="preserve">    K[Best Practices Repository] --&gt; H</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7" w:name="references"/>
    <w:p>
      <w:pPr>
        <w:pStyle w:val="Heading1"/>
      </w:pPr>
      <w:r>
        <w:rPr>
          <w:rStyle w:val="SectionNumber"/>
        </w:rPr>
        <w:t xml:space="preserve">8</w:t>
      </w:r>
      <w:r>
        <w:tab/>
      </w:r>
      <w:r>
        <w:t xml:space="preserve">References</w:t>
      </w:r>
    </w:p>
    <w:bookmarkStart w:id="105"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5"/>
    <w:bookmarkStart w:id="106"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6"/>
    <w:bookmarkEnd w:id="107"/>
    <w:bookmarkStart w:id="114" w:name="appendices"/>
    <w:p>
      <w:pPr>
        <w:pStyle w:val="Heading1"/>
      </w:pPr>
      <w:r>
        <w:rPr>
          <w:rStyle w:val="SectionNumber"/>
        </w:rPr>
        <w:t xml:space="preserve">9</w:t>
      </w:r>
      <w:r>
        <w:tab/>
      </w:r>
      <w:r>
        <w:t xml:space="preserve">Appendices</w:t>
      </w:r>
    </w:p>
    <w:bookmarkStart w:id="108"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113" w:name="Xbfd30549e6247e2f3e5132a039875af0e2849bb"/>
    <w:p>
      <w:pPr>
        <w:pStyle w:val="Heading2"/>
      </w:pPr>
      <w:r>
        <w:rPr>
          <w:rStyle w:val="SectionNumber"/>
        </w:rPr>
        <w:t xml:space="preserve">9.3</w:t>
      </w:r>
      <w:r>
        <w:tab/>
      </w:r>
      <w:r>
        <w:t xml:space="preserve">Appendix C: Healthcare NL2SQL Query Examples</w:t>
      </w:r>
    </w:p>
    <w:bookmarkStart w:id="110"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112"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2025-12-12T07:31:59Z</dcterms:created>
  <dcterms:modified xsi:type="dcterms:W3CDTF">2025-12-12T07:31:59Z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December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left">
    <vt:lpwstr>NL2SQL in Healthcare</vt:lpwstr>
  </property>
  <property fmtid="{D5CDD505-2E9C-101B-9397-08002B2CF9AE}" pid="16" name="header-right">
    <vt:lpwstr>December 2025</vt:lpwstr>
  </property>
  <property fmtid="{D5CDD505-2E9C-101B-9397-08002B2CF9AE}" pid="17" name="license">
    <vt:lpwstr>CC BY 4.0</vt:lpwstr>
  </property>
  <property fmtid="{D5CDD505-2E9C-101B-9397-08002B2CF9AE}" pid="18" name="license-url">
    <vt:lpwstr>https://creativecommons.org/licenses/by/4.0/</vt:lpwstr>
  </property>
  <property fmtid="{D5CDD505-2E9C-101B-9397-08002B2CF9AE}" pid="19" name="linestretch">
    <vt:lpwstr>1.15</vt:lpwstr>
  </property>
  <property fmtid="{D5CDD505-2E9C-101B-9397-08002B2CF9AE}" pid="20" name="linkcolor">
    <vt:lpwstr>blue</vt:lpwstr>
  </property>
  <property fmtid="{D5CDD505-2E9C-101B-9397-08002B2CF9AE}" pid="21" name="listings">
    <vt:lpwstr>True</vt:lpwstr>
  </property>
  <property fmtid="{D5CDD505-2E9C-101B-9397-08002B2CF9AE}" pid="22" name="listings-no-page-break">
    <vt:lpwstr>True</vt:lpwstr>
  </property>
  <property fmtid="{D5CDD505-2E9C-101B-9397-08002B2CF9AE}" pid="23" name="mainfont">
    <vt:lpwstr>DejaVu Serif</vt:lpwstr>
  </property>
  <property fmtid="{D5CDD505-2E9C-101B-9397-08002B2CF9AE}" pid="24" name="monofont">
    <vt:lpwstr>DejaVu Sans Mono</vt:lpwstr>
  </property>
  <property fmtid="{D5CDD505-2E9C-101B-9397-08002B2CF9AE}" pid="25" name="numbersections">
    <vt:lpwstr>True</vt:lpwstr>
  </property>
  <property fmtid="{D5CDD505-2E9C-101B-9397-08002B2CF9AE}" pid="26" name="papersize">
    <vt:lpwstr>letter</vt:lpwstr>
  </property>
  <property fmtid="{D5CDD505-2E9C-101B-9397-08002B2CF9AE}" pid="27" name="prevent-widows">
    <vt:lpwstr>True</vt:lpwstr>
  </property>
  <property fmtid="{D5CDD505-2E9C-101B-9397-08002B2CF9AE}" pid="28" name="sansfont">
    <vt:lpwstr>DejaVu Sans</vt:lpwstr>
  </property>
  <property fmtid="{D5CDD505-2E9C-101B-9397-08002B2CF9AE}" pid="29" name="titlepage">
    <vt:lpwstr>True</vt:lpwstr>
  </property>
  <property fmtid="{D5CDD505-2E9C-101B-9397-08002B2CF9AE}" pid="30" name="titlepage-color">
    <vt:lpwstr>FFFFFF</vt:lpwstr>
  </property>
  <property fmtid="{D5CDD505-2E9C-101B-9397-08002B2CF9AE}" pid="31" name="titlepage-rule-color">
    <vt:lpwstr>000000</vt:lpwstr>
  </property>
  <property fmtid="{D5CDD505-2E9C-101B-9397-08002B2CF9AE}" pid="32" name="titlepage-rule-height">
    <vt:lpwstr>2</vt:lpwstr>
  </property>
  <property fmtid="{D5CDD505-2E9C-101B-9397-08002B2CF9AE}" pid="33" name="titlepage-text-color">
    <vt:lpwstr>000000</vt:lpwstr>
  </property>
  <property fmtid="{D5CDD505-2E9C-101B-9397-08002B2CF9AE}" pid="34" name="toc">
    <vt:lpwstr>True</vt:lpwstr>
  </property>
  <property fmtid="{D5CDD505-2E9C-101B-9397-08002B2CF9AE}" pid="35" name="toc-depth">
    <vt:lpwstr>3</vt:lpwstr>
  </property>
  <property fmtid="{D5CDD505-2E9C-101B-9397-08002B2CF9AE}" pid="36" name="urlcolor">
    <vt:lpwstr>blue</vt:lpwstr>
  </property>
  <property fmtid="{D5CDD505-2E9C-101B-9397-08002B2CF9AE}" pid="37" name="version">
    <vt:lpwstr>1.0.0</vt:lpwstr>
  </property>
</Properties>
</file>