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convergence of challenges that affect their ability to leverage data for improved patient outcomes and operational efficiency. This research examines evidence across three interconnected domains: persistently low healthcare analytics maturity, significant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was measured at 34% (as of 2004) [A10]—the highest among IT sectors at that time—creating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This review identifies an analytical framework connecting these challenges. The three-pillar model presented herein offers healthcare organizations a structured approach for assessing their analytics capabilities, workforce knowledge vulnerabilities, and technical barriers to data access.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[A10]—the highest rate among all IT organization types studied at that time—creating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4</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40" w:name="framework-development-process"/>
    <w:p>
      <w:pPr>
        <w:pStyle w:val="Heading2"/>
      </w:pPr>
      <w:r>
        <w:rPr>
          <w:rStyle w:val="SectionNumber"/>
        </w:rPr>
        <w:t xml:space="preserve">4.1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40"/>
    <w:bookmarkStart w:id="41" w:name="theoretical-grounding"/>
    <w:p>
      <w:pPr>
        <w:pStyle w:val="Heading2"/>
      </w:pPr>
      <w:r>
        <w:rPr>
          <w:rStyle w:val="SectionNumber"/>
        </w:rPr>
        <w:t xml:space="preserve">4.2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4.3</w:t>
      </w:r>
      <w:r>
        <w:tab/>
      </w:r>
      <w:r>
        <w:t xml:space="preserve">Framework Scope and Limitations</w:t>
      </w:r>
    </w:p>
    <w:p>
      <w:pPr>
        <w:pStyle w:val="FirstParagraph"/>
      </w:pPr>
      <w:r>
        <w:t xml:space="preserve">The framework is descriptive rather than prescriptive—it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68" w:name="X85f1c6778b7ce1289d057c0d7f7b4fecbd614f8"/>
    <w:p>
      <w:pPr>
        <w:pStyle w:val="Heading1"/>
      </w:pPr>
      <w:r>
        <w:rPr>
          <w:rStyle w:val="SectionNumber"/>
        </w:rPr>
        <w:t xml:space="preserve">5</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5.1</w:t>
      </w:r>
      <w:r>
        <w:tab/>
      </w:r>
      <w:r>
        <w:t xml:space="preserve">1. Current State of Natural Language to SQL Generation</w:t>
      </w:r>
    </w:p>
    <w:bookmarkStart w:id="44" w:name="evolution-and-technical-advances"/>
    <w:p>
      <w:pPr>
        <w:pStyle w:val="Heading3"/>
      </w:pPr>
      <w:r>
        <w:rPr>
          <w:rStyle w:val="SectionNumber"/>
        </w:rPr>
        <w:t xml:space="preserve">5.1.1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4"/>
    <w:bookmarkStart w:id="45" w:name="healthcare-specific-challenges"/>
    <w:p>
      <w:pPr>
        <w:pStyle w:val="Heading3"/>
      </w:pPr>
      <w:r>
        <w:rPr>
          <w:rStyle w:val="SectionNumber"/>
        </w:rPr>
        <w:t xml:space="preserve">5.1.2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5.1.3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6"/>
    <w:bookmarkEnd w:id="47"/>
    <w:bookmarkStart w:id="51" w:name="state-of-healthcare-analytics-maturity"/>
    <w:p>
      <w:pPr>
        <w:pStyle w:val="Heading2"/>
      </w:pPr>
      <w:r>
        <w:rPr>
          <w:rStyle w:val="SectionNumber"/>
        </w:rPr>
        <w:t xml:space="preserve">5.2</w:t>
      </w:r>
      <w:r>
        <w:tab/>
      </w:r>
      <w:r>
        <w:t xml:space="preserve">2. State of Healthcare Analytics Maturity</w:t>
      </w:r>
    </w:p>
    <w:bookmarkStart w:id="48" w:name="low-organizational-maturity"/>
    <w:p>
      <w:pPr>
        <w:pStyle w:val="Heading3"/>
      </w:pPr>
      <w:r>
        <w:rPr>
          <w:rStyle w:val="SectionNumber"/>
        </w:rPr>
        <w:t xml:space="preserve">5.2.1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8"/>
    <w:bookmarkStart w:id="49" w:name="barriers-to-analytics-adoption"/>
    <w:p>
      <w:pPr>
        <w:pStyle w:val="Heading3"/>
      </w:pPr>
      <w:r>
        <w:rPr>
          <w:rStyle w:val="SectionNumber"/>
        </w:rPr>
        <w:t xml:space="preserve">5.2.2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9"/>
    <w:bookmarkStart w:id="50" w:name="the-analytics-skills-gap"/>
    <w:p>
      <w:pPr>
        <w:pStyle w:val="Heading3"/>
      </w:pPr>
      <w:r>
        <w:rPr>
          <w:rStyle w:val="SectionNumber"/>
        </w:rPr>
        <w:t xml:space="preserve">5.2.3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5.3</w:t>
      </w:r>
      <w:r>
        <w:tab/>
      </w:r>
      <w:r>
        <w:t xml:space="preserve">3. Healthcare Workforce Turnover and Knowledge Loss</w:t>
      </w:r>
    </w:p>
    <w:bookmarkStart w:id="52" w:name="turnover-rates-and-financial-impact"/>
    <w:p>
      <w:pPr>
        <w:pStyle w:val="Heading3"/>
      </w:pPr>
      <w:r>
        <w:rPr>
          <w:rStyle w:val="SectionNumber"/>
        </w:rPr>
        <w:t xml:space="preserve">5.3.1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institutions—where IT serves as a support function rather than core business—had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52"/>
    <w:bookmarkStart w:id="53" w:name="institutional-memory-loss"/>
    <w:p>
      <w:pPr>
        <w:pStyle w:val="Heading3"/>
      </w:pPr>
      <w:r>
        <w:rPr>
          <w:rStyle w:val="SectionNumber"/>
        </w:rPr>
        <w:t xml:space="preserve">5.3.2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3"/>
    <w:bookmarkStart w:id="54" w:name="traditional-approaches-inadequate"/>
    <w:p>
      <w:pPr>
        <w:pStyle w:val="Heading3"/>
      </w:pPr>
      <w:r>
        <w:rPr>
          <w:rStyle w:val="SectionNumber"/>
        </w:rPr>
        <w:t xml:space="preserve">5.3.3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5.4</w:t>
      </w:r>
      <w:r>
        <w:tab/>
      </w:r>
      <w:r>
        <w:t xml:space="preserve">4. Integration of Evidence: The Case for Conversational AI</w:t>
      </w:r>
    </w:p>
    <w:bookmarkStart w:id="56" w:name="bridging-technical-and-domain-expertise"/>
    <w:p>
      <w:pPr>
        <w:pStyle w:val="Heading3"/>
      </w:pPr>
      <w:r>
        <w:rPr>
          <w:rStyle w:val="SectionNumber"/>
        </w:rPr>
        <w:t xml:space="preserve">5.4.1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6"/>
    <w:bookmarkStart w:id="57" w:name="knowledge-preservation-mechanisms"/>
    <w:p>
      <w:pPr>
        <w:pStyle w:val="Heading3"/>
      </w:pPr>
      <w:r>
        <w:rPr>
          <w:rStyle w:val="SectionNumber"/>
        </w:rPr>
        <w:t xml:space="preserve">5.4.2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6d083e238594fa23b80808bd7cfd83ad906b4ff"/>
    <w:p>
      <w:pPr>
        <w:pStyle w:val="Heading3"/>
      </w:pPr>
      <w:r>
        <w:rPr>
          <w:rStyle w:val="SectionNumber"/>
        </w:rPr>
        <w:t xml:space="preserve">5.4.3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8"/>
    <w:bookmarkEnd w:id="59"/>
    <w:bookmarkStart w:id="63" w:name="Xe532debb859e62ad2038db373f15ff8608a8c3a"/>
    <w:p>
      <w:pPr>
        <w:pStyle w:val="Heading2"/>
      </w:pPr>
      <w:r>
        <w:rPr>
          <w:rStyle w:val="SectionNumber"/>
        </w:rPr>
        <w:t xml:space="preserve">5.5</w:t>
      </w:r>
      <w:r>
        <w:tab/>
      </w:r>
      <w:r>
        <w:t xml:space="preserve">5. Implications for Healthcare Organizations</w:t>
      </w:r>
    </w:p>
    <w:bookmarkStart w:id="60" w:name="strategic-alignment-with-industry-trends"/>
    <w:p>
      <w:pPr>
        <w:pStyle w:val="Heading3"/>
      </w:pPr>
      <w:r>
        <w:rPr>
          <w:rStyle w:val="SectionNumber"/>
        </w:rPr>
        <w:t xml:space="preserve">5.5.1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5.5.2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61"/>
    <w:bookmarkStart w:id="62" w:name="Xe6fa002d43c62898b44d68560b42a19c9fcb56d"/>
    <w:p>
      <w:pPr>
        <w:pStyle w:val="Heading3"/>
      </w:pPr>
      <w:r>
        <w:rPr>
          <w:rStyle w:val="SectionNumber"/>
        </w:rPr>
        <w:t xml:space="preserve">5.5.3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5.6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bookmarkEnd w:id="64"/>
    <w:bookmarkStart w:id="67" w:name="why-the-problem-persists"/>
    <w:p>
      <w:pPr>
        <w:pStyle w:val="Heading2"/>
      </w:pPr>
      <w:r>
        <w:rPr>
          <w:rStyle w:val="SectionNumber"/>
        </w:rPr>
        <w:t xml:space="preserve">5.7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5.7.1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venture—backed by Amazon, Berkshire Hathaway, and JPMorgan Chase—disbanded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5.7.2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6</w:t>
      </w:r>
      <w:r>
        <w:tab/>
      </w:r>
      <w:r>
        <w:t xml:space="preserve">Discussion</w:t>
      </w:r>
    </w:p>
    <w:bookmarkStart w:id="74"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6.2.6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17"/>
        </w:numPr>
      </w:pPr>
      <w:r>
        <w:rPr>
          <w:b/>
          <w:bCs/>
        </w:rPr>
        <w:t xml:space="preserve">Specialty Domain Validation</w:t>
      </w:r>
      <w:r>
        <w:t xml:space="preserve">: Empirical studies in specialized clinical areas to validate generalizability</w:t>
      </w:r>
    </w:p>
    <w:p>
      <w:pPr>
        <w:pStyle w:val="Compact"/>
        <w:numPr>
          <w:ilvl w:val="0"/>
          <w:numId w:val="1017"/>
        </w:numPr>
      </w:pPr>
      <w:r>
        <w:rPr>
          <w:b/>
          <w:bCs/>
        </w:rPr>
        <w:t xml:space="preserve">Governance Framework Development</w:t>
      </w:r>
      <w:r>
        <w:t xml:space="preserve">: Research on optimal governance models for democratized analytics</w:t>
      </w:r>
    </w:p>
    <w:p>
      <w:pPr>
        <w:pStyle w:val="Compact"/>
        <w:numPr>
          <w:ilvl w:val="0"/>
          <w:numId w:val="1017"/>
        </w:numPr>
      </w:pPr>
      <w:r>
        <w:rPr>
          <w:b/>
          <w:bCs/>
        </w:rPr>
        <w:t xml:space="preserve">Integration Pattern Analysis</w:t>
      </w:r>
      <w:r>
        <w:t xml:space="preserve">: Technical research on architectural patterns for healthcare IT ecosystem integration</w:t>
      </w:r>
    </w:p>
    <w:bookmarkEnd w:id="82"/>
    <w:bookmarkStart w:id="8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w:t>
      </w:r>
    </w:p>
    <w:p>
      <w:pPr>
        <w:pStyle w:val="Compact"/>
        <w:numPr>
          <w:ilvl w:val="0"/>
          <w:numId w:val="1018"/>
        </w:numPr>
      </w:pPr>
      <w:r>
        <w:rPr>
          <w:b/>
          <w:bCs/>
        </w:rPr>
        <w:t xml:space="preserve">Training Methodology Optimization</w:t>
      </w:r>
      <w:r>
        <w:t xml:space="preserve">: Evidence-based approaches for transitioning from traditional to conversational analytics</w:t>
      </w:r>
    </w:p>
    <w:bookmarkEnd w:id="83"/>
    <w:bookmarkStart w:id="8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Predictive Analytics Integration</w:t>
      </w:r>
      <w:r>
        <w:t xml:space="preserve">: Research on combining conversational interfaces with advanced predictive modeling</w:t>
      </w:r>
    </w:p>
    <w:bookmarkEnd w:id="84"/>
    <w:bookmarkEnd w:id="85"/>
    <w:bookmarkStart w:id="88"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6.4.1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6.4.2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7</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7.1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7.2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7.3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[A10]—the highest among IT sectors at that time—and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7.4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7.5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p>
      <w:pPr>
        <w:numPr>
          <w:ilvl w:val="0"/>
          <w:numId w:val="1026"/>
        </w:numPr>
      </w:pPr>
      <w:r>
        <w:rPr>
          <w:b/>
          <w:bCs/>
        </w:rPr>
        <w:t xml:space="preserve">Comparative effectiveness</w:t>
      </w:r>
      <w:r>
        <w:t xml:space="preserve">: Head-to-head comparisons of different technological approaches to addressing the three-pillar challenges remain sparse</w:t>
      </w:r>
    </w:p>
    <w:bookmarkEnd w:id="94"/>
    <w:bookmarkStart w:id="95" w:name="closing-reflection"/>
    <w:p>
      <w:pPr>
        <w:pStyle w:val="Heading2"/>
      </w:pPr>
      <w:r>
        <w:rPr>
          <w:rStyle w:val="SectionNumber"/>
        </w:rPr>
        <w:t xml:space="preserve">7.6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8</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10</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11</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12</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13</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14</w:t>
      </w:r>
      <w:r>
        <w:tab/>
      </w:r>
      <w:r>
        <w:t xml:space="preserve">References</w:t>
      </w:r>
    </w:p>
    <w:bookmarkStart w:id="103" w:name="academic-sources"/>
    <w:p>
      <w:pPr>
        <w:pStyle w:val="Heading2"/>
      </w:pPr>
      <w:r>
        <w:rPr>
          <w:rStyle w:val="SectionNumber"/>
        </w:rPr>
        <w:t xml:space="preserve">14.1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3"/>
    <w:bookmarkStart w:id="104" w:name="industry-sources"/>
    <w:p>
      <w:pPr>
        <w:pStyle w:val="Heading2"/>
      </w:pPr>
      <w:r>
        <w:rPr>
          <w:rStyle w:val="SectionNumber"/>
        </w:rPr>
        <w:t xml:space="preserve">14.2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15</w:t>
      </w:r>
      <w:r>
        <w:tab/>
      </w:r>
      <w:r>
        <w:t xml:space="preserve">Appendices</w:t>
      </w:r>
    </w:p>
    <w:bookmarkStart w:id="10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15.3</w:t>
      </w:r>
      <w:r>
        <w:tab/>
      </w:r>
      <w:r>
        <w:t xml:space="preserve">Appendix C: Healthcare NL2SQL Query Examples</w:t>
      </w:r>
    </w:p>
    <w:bookmarkStart w:id="10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15.3.2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2025-12-17T08:09:07Z</dcterms:created>
  <dcterms:modified xsi:type="dcterms:W3CDTF">2025-12-17T08:09:07Z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2004)—the highest among IT sectors at that time—creates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