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4836"/>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687"/>
        <w:gridCol w:w="1038"/>
        <w:gridCol w:w="1038"/>
        <w:gridCol w:w="1038"/>
        <w:gridCol w:w="1038"/>
        <w:gridCol w:w="1817"/>
      </w:tblGrid>
      <w:tr>
        <w:trPr>
          <w:tblHeader w:val="on"/>
        </w:trPr>
        <w:tc>
          <w:tcPr/>
          <w:p>
            <w:pPr>
              <w:pStyle w:val="Compact"/>
            </w:pPr>
            <w:r>
              <w:t xml:space="preserve">Pillar</w:t>
            </w:r>
          </w:p>
        </w:tc>
        <w:tc>
          <w:tcPr/>
          <w:p>
            <w:pPr>
              <w:pStyle w:val="Compact"/>
            </w:pPr>
            <w:r>
              <w:t xml:space="preserve">Crossref</w:t>
            </w:r>
          </w:p>
        </w:tc>
        <w:tc>
          <w:tcPr/>
          <w:p>
            <w:pPr>
              <w:pStyle w:val="Compact"/>
            </w:pPr>
            <w:r>
              <w:t xml:space="preserve">PubMed</w:t>
            </w:r>
          </w:p>
        </w:tc>
        <w:tc>
          <w:tcPr/>
          <w:p>
            <w:pPr>
              <w:pStyle w:val="Compact"/>
            </w:pPr>
            <w:r>
              <w:t xml:space="preserve">arXiv</w:t>
            </w:r>
          </w:p>
        </w:tc>
        <w:tc>
          <w:tcPr/>
          <w:p>
            <w:pPr>
              <w:pStyle w:val="Compact"/>
            </w:pPr>
            <w:r>
              <w:t xml:space="preserve">Sem. Scholar</w:t>
            </w:r>
          </w:p>
        </w:tc>
        <w:tc>
          <w:tcPr/>
          <w:p>
            <w:pPr>
              <w:pStyle w:val="Compact"/>
            </w:pPr>
            <w:r>
              <w:t xml:space="preserve">Total (Screened)</w:t>
            </w:r>
          </w:p>
        </w:tc>
      </w:tr>
      <w:tr>
        <w:tc>
          <w:tcPr/>
          <w:p>
            <w:pPr>
              <w:pStyle w:val="Compact"/>
            </w:pPr>
            <w:r>
              <w:rPr>
                <w:i/>
                <w:iCs/>
              </w:rPr>
              <w:t xml:space="preserve">Analytics Maturity</w:t>
            </w:r>
          </w:p>
        </w:tc>
        <w:tc>
          <w:tcPr/>
          <w:p>
            <w:pPr>
              <w:pStyle w:val="Compact"/>
            </w:pPr>
            <w:r>
              <w:t xml:space="preserve">285</w:t>
            </w:r>
          </w:p>
        </w:tc>
        <w:tc>
          <w:tcPr/>
          <w:p/>
        </w:tc>
        <w:tc>
          <w:tcPr/>
          <w:p/>
        </w:tc>
        <w:tc>
          <w:tcPr/>
          <w:p/>
        </w:tc>
        <w:tc>
          <w:tcPr/>
          <w:p>
            <w:pPr>
              <w:pStyle w:val="Compact"/>
            </w:pPr>
            <w:r>
              <w:t xml:space="preserve">285 (15)</w:t>
            </w:r>
          </w:p>
        </w:tc>
      </w:tr>
      <w:tr>
        <w:tc>
          <w:tcPr/>
          <w:p>
            <w:pPr>
              <w:pStyle w:val="Compact"/>
            </w:pPr>
            <w:r>
              <w:rPr>
                <w:i/>
                <w:iCs/>
              </w:rPr>
              <w:t xml:space="preserve">Workforce Agility</w:t>
            </w:r>
          </w:p>
        </w:tc>
        <w:tc>
          <w:tcPr/>
          <w:p/>
        </w:tc>
        <w:tc>
          <w:tcPr/>
          <w:p>
            <w:pPr>
              <w:pStyle w:val="Compact"/>
            </w:pPr>
            <w:r>
              <w:t xml:space="preserve">142</w:t>
            </w:r>
          </w:p>
        </w:tc>
        <w:tc>
          <w:tcPr/>
          <w:p/>
        </w:tc>
        <w:tc>
          <w:tcPr/>
          <w:p/>
        </w:tc>
        <w:tc>
          <w:tcPr/>
          <w:p>
            <w:pPr>
              <w:pStyle w:val="Compact"/>
            </w:pPr>
            <w:r>
              <w:t xml:space="preserve">142 (12)</w:t>
            </w:r>
          </w:p>
        </w:tc>
      </w:tr>
      <w:tr>
        <w:tc>
          <w:tcPr/>
          <w:p>
            <w:pPr>
              <w:pStyle w:val="Compact"/>
            </w:pPr>
            <w:r>
              <w:rPr>
                <w:i/>
                <w:iCs/>
              </w:rPr>
              <w:t xml:space="preserve">Technical Enablement</w:t>
            </w:r>
          </w:p>
        </w:tc>
        <w:tc>
          <w:tcPr/>
          <w:p/>
        </w:tc>
        <w:tc>
          <w:tcPr/>
          <w:p/>
        </w:tc>
        <w:tc>
          <w:tcPr/>
          <w:p>
            <w:pPr>
              <w:pStyle w:val="Compact"/>
            </w:pPr>
            <w:r>
              <w:t xml:space="preserve">71</w:t>
            </w:r>
          </w:p>
        </w:tc>
        <w:tc>
          <w:tcPr/>
          <w:p>
            <w:pPr>
              <w:pStyle w:val="Compact"/>
            </w:pPr>
            <w:r>
              <w:t xml:space="preserve">72</w:t>
            </w:r>
          </w:p>
        </w:tc>
        <w:tc>
          <w:tcPr/>
          <w:p>
            <w:pPr>
              <w:pStyle w:val="Compact"/>
            </w:pPr>
            <w:r>
              <w:t xml:space="preserve">143 (14)</w:t>
            </w:r>
          </w:p>
        </w:tc>
      </w:tr>
      <w:tr>
        <w:tc>
          <w:tcPr/>
          <w:p>
            <w:pPr>
              <w:pStyle w:val="Compact"/>
            </w:pPr>
            <w:r>
              <w:rPr>
                <w:b/>
                <w:bCs/>
              </w:rPr>
              <w:t xml:space="preserve">Total</w:t>
            </w:r>
          </w:p>
        </w:tc>
        <w:tc>
          <w:tcPr/>
          <w:p>
            <w:pPr>
              <w:pStyle w:val="Compact"/>
            </w:pPr>
            <w:r>
              <w:rPr>
                <w:b/>
                <w:bCs/>
              </w:rPr>
              <w:t xml:space="preserve">285</w:t>
            </w:r>
          </w:p>
        </w:tc>
        <w:tc>
          <w:tcPr/>
          <w:p>
            <w:pPr>
              <w:pStyle w:val="Compact"/>
            </w:pPr>
            <w:r>
              <w:rPr>
                <w:b/>
                <w:bCs/>
              </w:rPr>
              <w:t xml:space="preserve">142</w:t>
            </w:r>
          </w:p>
        </w:tc>
        <w:tc>
          <w:tcPr/>
          <w:p>
            <w:pPr>
              <w:pStyle w:val="Compact"/>
            </w:pPr>
            <w:r>
              <w:rPr>
                <w:b/>
                <w:bCs/>
              </w:rPr>
              <w:t xml:space="preserve">71</w:t>
            </w:r>
          </w:p>
        </w:tc>
        <w:tc>
          <w:tcPr/>
          <w:p>
            <w:pPr>
              <w:pStyle w:val="Compact"/>
            </w:pPr>
            <w:r>
              <w:rPr>
                <w:b/>
                <w:bCs/>
              </w:rPr>
              <w:t xml:space="preserve">72</w:t>
            </w:r>
          </w:p>
        </w:tc>
        <w:tc>
          <w:tcPr/>
          <w:p>
            <w:pPr>
              <w:pStyle w:val="Compac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8"/>
        </w:numPr>
      </w:pPr>
      <w:r>
        <w:t xml:space="preserve">Peer-reviewed publications in healthcare informatics, medical informatics, computer science, or health services research</w:t>
      </w:r>
    </w:p>
    <w:p>
      <w:pPr>
        <w:pStyle w:val="Compact"/>
        <w:numPr>
          <w:ilvl w:val="0"/>
          <w:numId w:val="1018"/>
        </w:numPr>
      </w:pPr>
      <w:r>
        <w:t xml:space="preserve">Industry reports from established healthcare IT organizations (HIMSS, AHIMA, AMIA)</w:t>
      </w:r>
    </w:p>
    <w:p>
      <w:pPr>
        <w:pStyle w:val="Compact"/>
        <w:numPr>
          <w:ilvl w:val="0"/>
          <w:numId w:val="1018"/>
        </w:numPr>
      </w:pPr>
      <w:r>
        <w:t xml:space="preserve">Publications from 2015-current, with emphasis on 2020-current for rapidly evolving NL2SQL technologies</w:t>
      </w:r>
    </w:p>
    <w:p>
      <w:pPr>
        <w:pStyle w:val="Compact"/>
        <w:numPr>
          <w:ilvl w:val="0"/>
          <w:numId w:val="1018"/>
        </w:numPr>
      </w:pPr>
      <w:r>
        <w:t xml:space="preserve">English language publications</w:t>
      </w:r>
    </w:p>
    <w:p>
      <w:pPr>
        <w:pStyle w:val="Compact"/>
        <w:numPr>
          <w:ilvl w:val="0"/>
          <w:numId w:val="1018"/>
        </w:numPr>
      </w:pPr>
      <w:r>
        <w:t xml:space="preserve">Sources with verifiable DOIs, URLs, or institutional attribution</w:t>
      </w:r>
    </w:p>
    <w:p>
      <w:pPr>
        <w:pStyle w:val="FirstParagraph"/>
      </w:pPr>
      <w:r>
        <w:rPr>
          <w:b/>
          <w:bCs/>
        </w:rPr>
        <w:t xml:space="preserve">Exclusion Criteria:</w:t>
      </w:r>
    </w:p>
    <w:p>
      <w:pPr>
        <w:pStyle w:val="Compact"/>
        <w:numPr>
          <w:ilvl w:val="0"/>
          <w:numId w:val="1019"/>
        </w:numPr>
      </w:pPr>
      <w:r>
        <w:t xml:space="preserve">Sources without verifiable attribution or institutional backing</w:t>
      </w:r>
    </w:p>
    <w:p>
      <w:pPr>
        <w:pStyle w:val="Compact"/>
        <w:numPr>
          <w:ilvl w:val="0"/>
          <w:numId w:val="1019"/>
        </w:numPr>
      </w:pPr>
      <w:r>
        <w:t xml:space="preserve">Vendor marketing materials without independent validation</w:t>
      </w:r>
    </w:p>
    <w:p>
      <w:pPr>
        <w:pStyle w:val="Compact"/>
        <w:numPr>
          <w:ilvl w:val="0"/>
          <w:numId w:val="1019"/>
        </w:numPr>
      </w:pPr>
      <w:r>
        <w:t xml:space="preserve">Preprints without subsequent peer-reviewed publication (exception: foundational NL2SQL benchmarks where peer review is pending)</w:t>
      </w:r>
    </w:p>
    <w:p>
      <w:pPr>
        <w:pStyle w:val="Compact"/>
        <w:numPr>
          <w:ilvl w:val="0"/>
          <w:numId w:val="1019"/>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7"/>
        <w:tblLayout w:type="fixed"/>
        <w:tblLook w:firstRow="1" w:lastRow="0" w:firstColumn="0" w:lastColumn="0" w:noHBand="0" w:noVBand="0" w:val="0020"/>
        <w:tblCaption w:val="AACODS Assessment of Industry Sources. "/>
      </w:tblPr>
      <w:tblGrid>
        <w:gridCol w:w="2418"/>
        <w:gridCol w:w="1571"/>
        <w:gridCol w:w="1450"/>
        <w:gridCol w:w="1209"/>
        <w:gridCol w:w="967"/>
        <w:gridCol w:w="60"/>
      </w:tblGrid>
      <w:tr>
        <w:trPr>
          <w:tblHeader w:val="on"/>
        </w:trP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gridSpan w:val="3"/>
          </w:tcPr>
          <w:p>
            <w:pPr>
              <w:pStyle w:val="Compact"/>
            </w:pPr>
            <w:r>
              <w:t xml:space="preserve">Date / Significance| 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c>
          <w:tcPr/>
          <w:p>
            <w:pPr>
              <w:pStyle w:val="Compact"/>
            </w:pP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c>
          <w:tcPr/>
          <w:p>
            <w:pPr>
              <w:pStyle w:val="Compact"/>
            </w:pP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c>
          <w:tcPr/>
          <w:p>
            <w:pPr>
              <w:pStyle w:val="Compact"/>
            </w:pP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c>
          <w:tcPr/>
          <w:p>
            <w:pPr>
              <w:pStyle w:val="Compact"/>
            </w:pP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c>
          <w:tcPr/>
          <w:p>
            <w:pPr>
              <w:pStyle w:val="Compact"/>
            </w:pP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20"/>
        </w:numPr>
      </w:pPr>
      <w:r>
        <w:rPr>
          <w:b/>
          <w:bCs/>
        </w:rPr>
        <w:t xml:space="preserve">Analytics maturity</w:t>
      </w:r>
      <w:r>
        <w:t xml:space="preserve">: Evidence on HIMSS AMAM adoption, healthcare analytics capabilities, and organizational readiness</w:t>
      </w:r>
    </w:p>
    <w:p>
      <w:pPr>
        <w:pStyle w:val="Compact"/>
        <w:numPr>
          <w:ilvl w:val="0"/>
          <w:numId w:val="1020"/>
        </w:numPr>
      </w:pPr>
      <w:r>
        <w:rPr>
          <w:b/>
          <w:bCs/>
        </w:rPr>
        <w:t xml:space="preserve">Workforce turnover</w:t>
      </w:r>
      <w:r>
        <w:t xml:space="preserve">: Evidence on nursing and IT staff turnover rates, institutional memory loss, and knowledge transfer challenges</w:t>
      </w:r>
    </w:p>
    <w:p>
      <w:pPr>
        <w:pStyle w:val="Compact"/>
        <w:numPr>
          <w:ilvl w:val="0"/>
          <w:numId w:val="102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21"/>
        </w:numPr>
      </w:pPr>
      <w:r>
        <w:rPr>
          <w:i/>
          <w:iCs/>
        </w:rPr>
        <w:t xml:space="preserve">Non-exhaustive search</w:t>
      </w:r>
      <w:r>
        <w:t xml:space="preserve">: Literature identification was selective rather than exhaustive; relevant studies may have been missed</w:t>
      </w:r>
    </w:p>
    <w:p>
      <w:pPr>
        <w:pStyle w:val="Compact"/>
        <w:numPr>
          <w:ilvl w:val="0"/>
          <w:numId w:val="1021"/>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21"/>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21"/>
        </w:numPr>
      </w:pPr>
      <w:r>
        <w:rPr>
          <w:i/>
          <w:iCs/>
        </w:rPr>
        <w:t xml:space="preserve">Post-hoc selection criteria</w:t>
      </w:r>
      <w:r>
        <w:t xml:space="preserve">: Inclusion and exclusion criteria were refined during the review process rather than pre-registered</w:t>
      </w:r>
    </w:p>
    <w:p>
      <w:pPr>
        <w:pStyle w:val="Compact"/>
        <w:numPr>
          <w:ilvl w:val="0"/>
          <w:numId w:val="1021"/>
        </w:numPr>
      </w:pPr>
      <w:r>
        <w:rPr>
          <w:i/>
          <w:iCs/>
        </w:rPr>
        <w:t xml:space="preserve">No protocol registration</w:t>
      </w:r>
      <w:r>
        <w:t xml:space="preserve">: This review was not registered in PROSPERO or similar registries</w:t>
      </w:r>
    </w:p>
    <w:p>
      <w:pPr>
        <w:pStyle w:val="Compact"/>
        <w:numPr>
          <w:ilvl w:val="0"/>
          <w:numId w:val="1021"/>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22"/>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22"/>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22"/>
        </w:numPr>
      </w:pPr>
      <w:r>
        <w:rPr>
          <w:i/>
          <w:iCs/>
        </w:rPr>
        <w:t xml:space="preserve">Pillar Identification</w:t>
      </w:r>
      <w:r>
        <w:t xml:space="preserve">: Three orthogonal yet interconnected dimensions emerged as the organizing structure:</w:t>
      </w:r>
    </w:p>
    <w:p>
      <w:pPr>
        <w:pStyle w:val="Compact"/>
        <w:numPr>
          <w:ilvl w:val="1"/>
          <w:numId w:val="1023"/>
        </w:numPr>
      </w:pPr>
      <w:r>
        <w:rPr>
          <w:i/>
          <w:iCs/>
        </w:rPr>
        <w:t xml:space="preserve">Analytics Maturity</w:t>
      </w:r>
      <w:r>
        <w:t xml:space="preserve">: Organizational capability progression measured against HIMSS AMAM stages</w:t>
      </w:r>
    </w:p>
    <w:p>
      <w:pPr>
        <w:pStyle w:val="Compact"/>
        <w:numPr>
          <w:ilvl w:val="1"/>
          <w:numId w:val="1023"/>
        </w:numPr>
      </w:pPr>
      <w:r>
        <w:rPr>
          <w:i/>
          <w:iCs/>
        </w:rPr>
        <w:t xml:space="preserve">Workforce Agility</w:t>
      </w:r>
      <w:r>
        <w:t xml:space="preserve">: Human capital retention and tacit knowledge preservation</w:t>
      </w:r>
    </w:p>
    <w:p>
      <w:pPr>
        <w:pStyle w:val="Compact"/>
        <w:numPr>
          <w:ilvl w:val="1"/>
          <w:numId w:val="1023"/>
        </w:numPr>
      </w:pPr>
      <w:r>
        <w:rPr>
          <w:i/>
          <w:iCs/>
        </w:rPr>
        <w:t xml:space="preserve">Technical Enablement</w:t>
      </w:r>
      <w:r>
        <w:t xml:space="preserve">: NL2SQL capabilities and healthcare-specific implementation solutions</w:t>
      </w:r>
    </w:p>
    <w:p>
      <w:pPr>
        <w:pStyle w:val="Compact"/>
        <w:numPr>
          <w:ilvl w:val="0"/>
          <w:numId w:val="1022"/>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24"/>
        </w:numPr>
      </w:pPr>
      <w:r>
        <w:t xml:space="preserve">Fragmented data sources without integration</w:t>
      </w:r>
    </w:p>
    <w:p>
      <w:pPr>
        <w:pStyle w:val="Compact"/>
        <w:numPr>
          <w:ilvl w:val="0"/>
          <w:numId w:val="1024"/>
        </w:numPr>
      </w:pPr>
      <w:r>
        <w:t xml:space="preserve">Limited automated reporting capabilities</w:t>
      </w:r>
    </w:p>
    <w:p>
      <w:pPr>
        <w:pStyle w:val="Compact"/>
        <w:numPr>
          <w:ilvl w:val="0"/>
          <w:numId w:val="1024"/>
        </w:numPr>
      </w:pPr>
      <w:r>
        <w:t xml:space="preserve">Lack of standardized data governance</w:t>
      </w:r>
    </w:p>
    <w:p>
      <w:pPr>
        <w:pStyle w:val="Compact"/>
        <w:numPr>
          <w:ilvl w:val="0"/>
          <w:numId w:val="1024"/>
        </w:numPr>
      </w:pPr>
      <w:r>
        <w:t xml:space="preserve">Minimal predictive or prescriptive analytics</w:t>
      </w:r>
    </w:p>
    <w:p>
      <w:pPr>
        <w:pStyle w:val="Compact"/>
        <w:numPr>
          <w:ilvl w:val="0"/>
          <w:numId w:val="1024"/>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25"/>
        </w:numPr>
      </w:pPr>
      <w:r>
        <w:t xml:space="preserve">Traditional knowledge transfer mechanisms show limited effectiveness</w:t>
      </w:r>
    </w:p>
    <w:p>
      <w:pPr>
        <w:pStyle w:val="Compact"/>
        <w:numPr>
          <w:ilvl w:val="0"/>
          <w:numId w:val="1025"/>
        </w:numPr>
      </w:pPr>
      <w:r>
        <w:t xml:space="preserve">Organizations struggle to capture and maintain analytical expertise</w:t>
      </w:r>
    </w:p>
    <w:p>
      <w:pPr>
        <w:pStyle w:val="Compact"/>
        <w:numPr>
          <w:ilvl w:val="0"/>
          <w:numId w:val="1025"/>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25"/>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26"/>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26"/>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26"/>
        </w:numPr>
      </w:pPr>
      <w:r>
        <w:t xml:space="preserve">Providing context-aware guidance to new users</w:t>
      </w:r>
    </w:p>
    <w:p>
      <w:pPr>
        <w:pStyle w:val="Compact"/>
        <w:numPr>
          <w:ilvl w:val="0"/>
          <w:numId w:val="102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7"/>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27"/>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27"/>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7"/>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27"/>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27"/>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27"/>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27"/>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8"/>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8"/>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8"/>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8"/>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9"/>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9"/>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9"/>
        </w:numPr>
      </w:pPr>
      <w:r>
        <w:rPr>
          <w:i/>
          <w:iCs/>
        </w:rPr>
        <w:t xml:space="preserve">Longitudinal Outcome Studies</w:t>
      </w:r>
      <w:r>
        <w:t xml:space="preserve">: Multi-year implementations to assess sustained benefits and organizational evolution</w:t>
      </w:r>
    </w:p>
    <w:p>
      <w:pPr>
        <w:pStyle w:val="Compact"/>
        <w:numPr>
          <w:ilvl w:val="0"/>
          <w:numId w:val="1029"/>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30"/>
        </w:numPr>
      </w:pPr>
      <w:r>
        <w:rPr>
          <w:i/>
          <w:iCs/>
        </w:rPr>
        <w:t xml:space="preserve">Organizational Transformation Studies</w:t>
      </w:r>
      <w:r>
        <w:t xml:space="preserve">: Research on how conversational AI platforms reshape healthcare organizational capabilities</w:t>
      </w:r>
    </w:p>
    <w:p>
      <w:pPr>
        <w:pStyle w:val="Compact"/>
        <w:numPr>
          <w:ilvl w:val="0"/>
          <w:numId w:val="1030"/>
        </w:numPr>
      </w:pPr>
      <w:r>
        <w:rPr>
          <w:i/>
          <w:iCs/>
        </w:rPr>
        <w:t xml:space="preserve">Clinical Outcome Impact Assessment</w:t>
      </w:r>
      <w:r>
        <w:t xml:space="preserve">: Studies linking improved analytics access to patient care outcomes</w:t>
      </w:r>
    </w:p>
    <w:p>
      <w:pPr>
        <w:pStyle w:val="Compact"/>
        <w:numPr>
          <w:ilvl w:val="0"/>
          <w:numId w:val="1030"/>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31"/>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31"/>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31"/>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32"/>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32"/>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32"/>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4930"/>
        <w:tblLayout w:type="fixed"/>
        <w:tblLook w:firstRow="1" w:lastRow="0" w:firstColumn="0" w:lastColumn="0" w:noHBand="0" w:noVBand="0" w:val="0020"/>
      </w:tblPr>
      <w:tblGrid>
        <w:gridCol w:w="847"/>
        <w:gridCol w:w="1805"/>
        <w:gridCol w:w="2247"/>
        <w:gridCol w:w="1878"/>
        <w:gridCol w:w="1031"/>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w:t>
            </w:r>
            <w:r>
              <w:t xml:space="preserve"> </w:t>
            </w:r>
            <w:r>
              <w:t xml:space="preserve">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4924"/>
        <w:tblLayout w:type="fixed"/>
        <w:tblLook w:firstRow="1" w:lastRow="0" w:firstColumn="0" w:lastColumn="0" w:noHBand="0" w:noVBand="0" w:val="0020"/>
      </w:tblPr>
      <w:tblGrid>
        <w:gridCol w:w="920"/>
        <w:gridCol w:w="1960"/>
        <w:gridCol w:w="1800"/>
        <w:gridCol w:w="1840"/>
        <w:gridCol w:w="1280"/>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w:t>
            </w:r>
            <w:r>
              <w:t xml:space="preserve"> </w:t>
            </w:r>
            <w:r>
              <w:t xml:space="preserve">Turnover</w:t>
            </w:r>
          </w:p>
        </w:tc>
        <w:tc>
          <w:tcPr/>
          <w:p>
            <w:pPr>
              <w:pStyle w:val="BlockText"/>
            </w:pPr>
            <w:r>
              <w:t xml:space="preserve">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w:t>
            </w:r>
            <w:r>
              <w:t xml:space="preserve"> </w:t>
            </w:r>
            <w:r>
              <w:t xml:space="preserve">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w:t>
            </w:r>
            <w:r>
              <w:t xml:space="preserve"> </w:t>
            </w:r>
            <w:r>
              <w:t xml:space="preserve">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BlockText"/>
            </w:pPr>
            <w:r>
              <w:t xml:space="preserve">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w:t>
            </w:r>
            <w:r>
              <w:t xml:space="preserve"> </w:t>
            </w:r>
            <w:r>
              <w:t xml:space="preserve">capture</w:t>
            </w:r>
          </w:p>
        </w:tc>
        <w:tc>
          <w:tcPr/>
          <w:p>
            <w:pPr>
              <w:pStyle w:val="Compact"/>
            </w:pPr>
            <w:r>
              <w:t xml:space="preserve">Person-dependent; undocumented tribal</w:t>
            </w:r>
            <w:r>
              <w:t xml:space="preserve"> </w:t>
            </w:r>
            <w:r>
              <w:t xml:space="preserve">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4929"/>
        <w:tblLayout w:type="fixed"/>
        <w:tblLook w:firstRow="1" w:lastRow="0" w:firstColumn="0" w:lastColumn="0" w:noHBand="0" w:noVBand="0" w:val="0020"/>
      </w:tblPr>
      <w:tblGrid>
        <w:gridCol w:w="863"/>
        <w:gridCol w:w="1989"/>
        <w:gridCol w:w="1914"/>
        <w:gridCol w:w="1764"/>
        <w:gridCol w:w="1276"/>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4966"/>
        <w:tblLayout w:type="fixed"/>
        <w:tblLook w:firstRow="1" w:lastRow="0" w:firstColumn="0" w:lastColumn="0" w:noHBand="0" w:noVBand="0" w:val="0020"/>
      </w:tblPr>
      <w:tblGrid>
        <w:gridCol w:w="1444"/>
        <w:gridCol w:w="1980"/>
        <w:gridCol w:w="4441"/>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33"/>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33"/>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33"/>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33"/>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34"/>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34"/>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34"/>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34"/>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 (see</w:t>
      </w:r>
      <w:r>
        <w:t xml:space="preserve"> </w:t>
      </w:r>
      <w:r>
        <w:rPr>
          <w:rStyle w:val="VerbatimChar"/>
        </w:rPr>
        <w:t xml:space="preserve">multimedia_appendix.pdf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2026-01-15T17:14:13Z</dcterms:created>
  <dcterms:modified xsi:type="dcterms:W3CDTF">2026-01-15T17:14:13Z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