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Code modernization approaches demonstrate that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workforce turnover rates of 15-36% annually [A1, A2]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explaining why institution-specific analytics challenges persist is within scope, as this provides necessary context for evaluating solution approaches. This differs from vendor comparison, which would evaluate specific products against each other.</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7"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03"/>
        </w:numPr>
      </w:pPr>
      <w:r>
        <w:t xml:space="preserve">Fragmented data sources without integration</w:t>
      </w:r>
    </w:p>
    <w:p>
      <w:pPr>
        <w:pStyle w:val="Compact"/>
        <w:numPr>
          <w:ilvl w:val="0"/>
          <w:numId w:val="1003"/>
        </w:numPr>
      </w:pPr>
      <w:r>
        <w:t xml:space="preserve">Limited automated reporting capabilities</w:t>
      </w:r>
    </w:p>
    <w:p>
      <w:pPr>
        <w:pStyle w:val="Compact"/>
        <w:numPr>
          <w:ilvl w:val="0"/>
          <w:numId w:val="1003"/>
        </w:numPr>
      </w:pPr>
      <w:r>
        <w:t xml:space="preserve">Lack of standardized data governance</w:t>
      </w:r>
    </w:p>
    <w:p>
      <w:pPr>
        <w:pStyle w:val="Compact"/>
        <w:numPr>
          <w:ilvl w:val="0"/>
          <w:numId w:val="1003"/>
        </w:numPr>
      </w:pPr>
      <w:r>
        <w:t xml:space="preserve">Minimal predictive or prescriptive analytics</w:t>
      </w:r>
    </w:p>
    <w:p>
      <w:pPr>
        <w:pStyle w:val="Compact"/>
        <w:numPr>
          <w:ilvl w:val="0"/>
          <w:numId w:val="1003"/>
        </w:numPr>
      </w:pPr>
      <w:r>
        <w:t xml:space="preserve">Absence of real-time decision support</w:t>
      </w:r>
    </w:p>
    <w:bookmarkEnd w:id="37"/>
    <w:bookmarkStart w:id="38" w:name="the-analytics-skills-gap"/>
    <w:p>
      <w:pPr>
        <w:pStyle w:val="Heading3"/>
      </w:pPr>
      <w:r>
        <w:rPr>
          <w:rStyle w:val="SectionNumber"/>
        </w:rPr>
        <w:t xml:space="preserve">3.2.3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04"/>
        </w:numPr>
      </w:pPr>
      <w:r>
        <w:t xml:space="preserve">Traditional knowledge transfer mechanisms show limited effectiveness</w:t>
      </w:r>
    </w:p>
    <w:p>
      <w:pPr>
        <w:pStyle w:val="Compact"/>
        <w:numPr>
          <w:ilvl w:val="0"/>
          <w:numId w:val="1004"/>
        </w:numPr>
      </w:pPr>
      <w:r>
        <w:t xml:space="preserve">Organizations struggle to capture and maintain analytical expertise</w:t>
      </w:r>
    </w:p>
    <w:p>
      <w:pPr>
        <w:pStyle w:val="Compact"/>
        <w:numPr>
          <w:ilvl w:val="0"/>
          <w:numId w:val="1004"/>
        </w:numPr>
      </w:pPr>
      <w:r>
        <w:t xml:space="preserve">Knowledge repositories require constant maintenance to remain relevant</w:t>
      </w:r>
    </w:p>
    <w:p>
      <w:pPr>
        <w:pStyle w:val="Compact"/>
        <w:numPr>
          <w:ilvl w:val="0"/>
          <w:numId w:val="1004"/>
        </w:numPr>
      </w:pPr>
      <w:r>
        <w:t xml:space="preserve">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05"/>
        </w:numPr>
      </w:pPr>
      <w:r>
        <w:t xml:space="preserve">Capturing decision-making patterns through usage</w:t>
      </w:r>
    </w:p>
    <w:p>
      <w:pPr>
        <w:pStyle w:val="Compact"/>
        <w:numPr>
          <w:ilvl w:val="0"/>
          <w:numId w:val="1005"/>
        </w:numPr>
      </w:pPr>
      <w:r>
        <w:t xml:space="preserve">Encoding best practices in accessible formats</w:t>
      </w:r>
    </w:p>
    <w:p>
      <w:pPr>
        <w:pStyle w:val="Compact"/>
        <w:numPr>
          <w:ilvl w:val="0"/>
          <w:numId w:val="1005"/>
        </w:numPr>
      </w:pPr>
      <w:r>
        <w:t xml:space="preserve">Providing context-aware guidance to new users</w:t>
      </w:r>
    </w:p>
    <w:p>
      <w:pPr>
        <w:pStyle w:val="Compact"/>
        <w:numPr>
          <w:ilvl w:val="0"/>
          <w:numId w:val="100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6"/>
        </w:numPr>
      </w:pPr>
      <w:r>
        <w:rPr>
          <w:b/>
          <w:bCs/>
        </w:rPr>
        <w:t xml:space="preserve">Long-term outcomes</w:t>
      </w:r>
      <w:r>
        <w:t xml:space="preserve">: Most studies examine 6-24 month implementations; multi-year impacts remain understudied</w:t>
      </w:r>
    </w:p>
    <w:p>
      <w:pPr>
        <w:pStyle w:val="Compact"/>
        <w:numPr>
          <w:ilvl w:val="0"/>
          <w:numId w:val="100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6"/>
        </w:numPr>
      </w:pPr>
      <w:r>
        <w:rPr>
          <w:b/>
          <w:bCs/>
        </w:rPr>
        <w:t xml:space="preserve">Governance frameworks</w:t>
      </w:r>
      <w:r>
        <w:t xml:space="preserve">: Limited research on optimal governance models for democratized analytics</w:t>
      </w:r>
    </w:p>
    <w:p>
      <w:pPr>
        <w:pStyle w:val="Compact"/>
        <w:numPr>
          <w:ilvl w:val="0"/>
          <w:numId w:val="1006"/>
        </w:numPr>
      </w:pPr>
      <w:r>
        <w:rPr>
          <w:b/>
          <w:bCs/>
        </w:rPr>
        <w:t xml:space="preserve">Training methodologies</w:t>
      </w:r>
      <w:r>
        <w:t xml:space="preserve">: Best practices for transitioning from traditional to conversational analytics lack empirical validation</w:t>
      </w:r>
    </w:p>
    <w:p>
      <w:pPr>
        <w:pStyle w:val="Compact"/>
        <w:numPr>
          <w:ilvl w:val="0"/>
          <w:numId w:val="1006"/>
        </w:numPr>
      </w:pPr>
      <w:r>
        <w:rPr>
          <w:b/>
          <w:bCs/>
        </w:rPr>
        <w:t xml:space="preserve">Integration patterns</w:t>
      </w:r>
      <w:r>
        <w:t xml:space="preserve">: Architectural guidance for incorporating conversational AI into existing healthcare IT ecosystems remains sparse</w:t>
      </w:r>
    </w:p>
    <w:bookmarkEnd w:id="52"/>
    <w:bookmarkStart w:id="56" w:name="why-the-problem-persists"/>
    <w:p>
      <w:pPr>
        <w:pStyle w:val="Heading2"/>
      </w:pPr>
      <w:r>
        <w:rPr>
          <w:rStyle w:val="SectionNumber"/>
        </w:rPr>
        <w:t xml:space="preserve">3.7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3" w:name="failed-standardization-approaches"/>
    <w:p>
      <w:pPr>
        <w:pStyle w:val="Heading3"/>
      </w:pPr>
      <w:r>
        <w:rPr>
          <w:rStyle w:val="SectionNumber"/>
        </w:rPr>
        <w:t xml:space="preserve">3.7.1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3"/>
    <w:bookmarkStart w:id="54" w:name="X2fadc48b72263d27ff1223301aab0607309f8ac"/>
    <w:p>
      <w:pPr>
        <w:pStyle w:val="Heading3"/>
      </w:pPr>
      <w:r>
        <w:rPr>
          <w:rStyle w:val="SectionNumber"/>
        </w:rPr>
        <w:t xml:space="preserve">3.7.2</w:t>
      </w:r>
      <w:r>
        <w:tab/>
      </w:r>
      <w:r>
        <w:t xml:space="preserve">Structural Disincentives in the Technology Market</w:t>
      </w:r>
    </w:p>
    <w:p>
      <w:pPr>
        <w:pStyle w:val="FirstParagraph"/>
      </w:pPr>
      <w:r>
        <w:t xml:space="preserve">Major technology providers face inherent conflicts in solving institution-specific analytics challenges. EHR platform providers and cloud infrastructure companies derive substantial revenue from consulting services and implementation partner ecosystems. Building comprehensive institution-specific knowledge solutions would cannibalize these revenue streams. Market analysis suggests these providers rationally prefer remaining platforms that require implementation partners rather than delivering complete solutions that reduce dependency on external services.</w:t>
      </w:r>
    </w:p>
    <w:bookmarkEnd w:id="54"/>
    <w:bookmarkStart w:id="55" w:name="deployment-constraint-mismatch"/>
    <w:p>
      <w:pPr>
        <w:pStyle w:val="Heading3"/>
      </w:pPr>
      <w:r>
        <w:rPr>
          <w:rStyle w:val="SectionNumber"/>
        </w:rPr>
        <w:t xml:space="preserve">3.7.3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55"/>
    <w:bookmarkEnd w:id="56"/>
    <w:bookmarkEnd w:id="57"/>
    <w:bookmarkStart w:id="72"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8"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7"/>
        </w:numPr>
      </w:pPr>
      <w:r>
        <w:rPr>
          <w:b/>
          <w:bCs/>
        </w:rPr>
        <w:t xml:space="preserve">Technical Barrier Elimination</w:t>
      </w:r>
      <w:r>
        <w:t xml:space="preserve">: Natural language interfaces replace SQL requirements</w:t>
      </w:r>
    </w:p>
    <w:p>
      <w:pPr>
        <w:pStyle w:val="Compact"/>
        <w:numPr>
          <w:ilvl w:val="0"/>
          <w:numId w:val="1007"/>
        </w:numPr>
      </w:pPr>
      <w:r>
        <w:rPr>
          <w:b/>
          <w:bCs/>
        </w:rPr>
        <w:t xml:space="preserve">Analytics Maturity Acceleration</w:t>
      </w:r>
      <w:r>
        <w:t xml:space="preserve">: Democratized access enables broader organizational capability</w:t>
      </w:r>
    </w:p>
    <w:p>
      <w:pPr>
        <w:pStyle w:val="Compact"/>
        <w:numPr>
          <w:ilvl w:val="0"/>
          <w:numId w:val="1007"/>
        </w:numPr>
      </w:pPr>
      <w:r>
        <w:rPr>
          <w:b/>
          <w:bCs/>
        </w:rPr>
        <w:t xml:space="preserve">Institutional Memory Preservation</w:t>
      </w:r>
      <w:r>
        <w:t xml:space="preserve">: AI models embed organizational knowledge and expertise</w:t>
      </w:r>
    </w:p>
    <w:bookmarkEnd w:id="58"/>
    <w:bookmarkStart w:id="63" w:name="core-capabilities"/>
    <w:p>
      <w:pPr>
        <w:pStyle w:val="Heading2"/>
      </w:pPr>
      <w:r>
        <w:rPr>
          <w:rStyle w:val="SectionNumber"/>
        </w:rPr>
        <w:t xml:space="preserve">4.2</w:t>
      </w:r>
      <w:r>
        <w:tab/>
      </w:r>
      <w:r>
        <w:t xml:space="preserve">Core Capabilities</w:t>
      </w:r>
    </w:p>
    <w:bookmarkStart w:id="59" w:name="X5b5cb56f47d7a7344a0b84a0a61c200c141779c"/>
    <w:p>
      <w:pPr>
        <w:pStyle w:val="Heading3"/>
      </w:pPr>
      <w:r>
        <w:rPr>
          <w:rStyle w:val="SectionNumber"/>
        </w:rPr>
        <w:t xml:space="preserve">4.2.1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08"/>
        </w:numPr>
      </w:pPr>
      <w:r>
        <w:rPr>
          <w:b/>
          <w:bCs/>
        </w:rPr>
        <w:t xml:space="preserve">Medical Terminology Recognition</w:t>
      </w:r>
      <w:r>
        <w:t xml:space="preserve">: Integration with ICD-10, CPT, RxNorm, and SNOMED vocabularies</w:t>
      </w:r>
    </w:p>
    <w:p>
      <w:pPr>
        <w:pStyle w:val="Compact"/>
        <w:numPr>
          <w:ilvl w:val="0"/>
          <w:numId w:val="1008"/>
        </w:numPr>
      </w:pPr>
      <w:r>
        <w:rPr>
          <w:b/>
          <w:bCs/>
        </w:rPr>
        <w:t xml:space="preserve">Context-Aware Processing</w:t>
      </w:r>
      <w:r>
        <w:t xml:space="preserve">: Understanding of clinical workflows and temporal relationships</w:t>
      </w:r>
    </w:p>
    <w:p>
      <w:pPr>
        <w:pStyle w:val="Compact"/>
        <w:numPr>
          <w:ilvl w:val="0"/>
          <w:numId w:val="1008"/>
        </w:numPr>
      </w:pPr>
      <w:r>
        <w:rPr>
          <w:b/>
          <w:bCs/>
        </w:rPr>
        <w:t xml:space="preserve">Ambiguity Resolution</w:t>
      </w:r>
      <w:r>
        <w:t xml:space="preserve">: Intelligent disambiguation of medical terms based on organizational usage patterns</w:t>
      </w:r>
    </w:p>
    <w:p>
      <w:pPr>
        <w:pStyle w:val="Compact"/>
        <w:numPr>
          <w:ilvl w:val="0"/>
          <w:numId w:val="1008"/>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9"/>
    <w:bookmarkStart w:id="60" w:name="X98880b287a44233e5bbd8ef010c0f1e1c4f6bdc"/>
    <w:p>
      <w:pPr>
        <w:pStyle w:val="Heading3"/>
      </w:pPr>
      <w:r>
        <w:rPr>
          <w:rStyle w:val="SectionNumber"/>
        </w:rPr>
        <w:t xml:space="preserve">4.2.2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09"/>
        </w:numPr>
      </w:pPr>
      <w:r>
        <w:rPr>
          <w:b/>
          <w:bCs/>
        </w:rPr>
        <w:t xml:space="preserve">Usage Pattern Learning</w:t>
      </w:r>
      <w:r>
        <w:t xml:space="preserve">: AI models continuously learn from successful query patterns and analytical approaches</w:t>
      </w:r>
    </w:p>
    <w:p>
      <w:pPr>
        <w:pStyle w:val="Compact"/>
        <w:numPr>
          <w:ilvl w:val="0"/>
          <w:numId w:val="1009"/>
        </w:numPr>
      </w:pPr>
      <w:r>
        <w:rPr>
          <w:b/>
          <w:bCs/>
        </w:rPr>
        <w:t xml:space="preserve">Best Practice Encoding</w:t>
      </w:r>
      <w:r>
        <w:t xml:space="preserve">: Organizational standards and preferred methodologies embedded in response generation</w:t>
      </w:r>
    </w:p>
    <w:p>
      <w:pPr>
        <w:pStyle w:val="Compact"/>
        <w:numPr>
          <w:ilvl w:val="0"/>
          <w:numId w:val="1009"/>
        </w:numPr>
      </w:pPr>
      <w:r>
        <w:rPr>
          <w:b/>
          <w:bCs/>
        </w:rPr>
        <w:t xml:space="preserve">Context Memory</w:t>
      </w:r>
      <w:r>
        <w:t xml:space="preserve">: Retention of organizational data definitions, business rules, and analytical conventions</w:t>
      </w:r>
    </w:p>
    <w:p>
      <w:pPr>
        <w:pStyle w:val="Compact"/>
        <w:numPr>
          <w:ilvl w:val="0"/>
          <w:numId w:val="1009"/>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0"/>
    <w:bookmarkStart w:id="61" w:name="Xa2495297bdbab3632b8d3927ccc8594347e53d5"/>
    <w:p>
      <w:pPr>
        <w:pStyle w:val="Heading3"/>
      </w:pPr>
      <w:r>
        <w:rPr>
          <w:rStyle w:val="SectionNumber"/>
        </w:rPr>
        <w:t xml:space="preserve">4.2.3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0"/>
        </w:numPr>
      </w:pPr>
      <w:r>
        <w:rPr>
          <w:b/>
          <w:bCs/>
        </w:rPr>
        <w:t xml:space="preserve">Guided Discovery</w:t>
      </w:r>
      <w:r>
        <w:t xml:space="preserve">: AI-assisted exploration of data relationships and analytical opportunities</w:t>
      </w:r>
    </w:p>
    <w:p>
      <w:pPr>
        <w:pStyle w:val="Compact"/>
        <w:numPr>
          <w:ilvl w:val="0"/>
          <w:numId w:val="1010"/>
        </w:numPr>
      </w:pPr>
      <w:r>
        <w:rPr>
          <w:b/>
          <w:bCs/>
        </w:rPr>
        <w:t xml:space="preserve">Self-Service Analytics</w:t>
      </w:r>
      <w:r>
        <w:t xml:space="preserve">: Clinical staff independently performing complex analyses without technical training</w:t>
      </w:r>
    </w:p>
    <w:p>
      <w:pPr>
        <w:pStyle w:val="Compact"/>
        <w:numPr>
          <w:ilvl w:val="0"/>
          <w:numId w:val="1010"/>
        </w:numPr>
      </w:pPr>
      <w:r>
        <w:rPr>
          <w:b/>
          <w:bCs/>
        </w:rPr>
        <w:t xml:space="preserve">Governance Integration</w:t>
      </w:r>
      <w:r>
        <w:t xml:space="preserve">: Automated compliance with organizational data policies and access controls</w:t>
      </w:r>
    </w:p>
    <w:p>
      <w:pPr>
        <w:pStyle w:val="Compact"/>
        <w:numPr>
          <w:ilvl w:val="0"/>
          <w:numId w:val="1010"/>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1"/>
    <w:bookmarkStart w:id="62" w:name="X6c4476cdfb063e88453122afb5beff1c7a74592"/>
    <w:p>
      <w:pPr>
        <w:pStyle w:val="Heading3"/>
      </w:pPr>
      <w:r>
        <w:rPr>
          <w:rStyle w:val="SectionNumber"/>
        </w:rPr>
        <w:t xml:space="preserve">4.2.4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1"/>
        </w:numPr>
      </w:pPr>
      <w:r>
        <w:rPr>
          <w:b/>
          <w:bCs/>
        </w:rPr>
        <w:t xml:space="preserve">Schema-Aware Generation</w:t>
      </w:r>
      <w:r>
        <w:t xml:space="preserve">: Deep understanding of healthcare data warehouse structures and relationships</w:t>
      </w:r>
    </w:p>
    <w:p>
      <w:pPr>
        <w:pStyle w:val="Compact"/>
        <w:numPr>
          <w:ilvl w:val="0"/>
          <w:numId w:val="1011"/>
        </w:numPr>
      </w:pPr>
      <w:r>
        <w:rPr>
          <w:b/>
          <w:bCs/>
        </w:rPr>
        <w:t xml:space="preserve">Performance Optimization</w:t>
      </w:r>
      <w:r>
        <w:t xml:space="preserve">: Query efficiency optimization for large healthcare datasets</w:t>
      </w:r>
    </w:p>
    <w:p>
      <w:pPr>
        <w:pStyle w:val="Compact"/>
        <w:numPr>
          <w:ilvl w:val="0"/>
          <w:numId w:val="1011"/>
        </w:numPr>
      </w:pPr>
      <w:r>
        <w:rPr>
          <w:b/>
          <w:bCs/>
        </w:rPr>
        <w:t xml:space="preserve">Error Detection and Correction</w:t>
      </w:r>
      <w:r>
        <w:t xml:space="preserve">: Intelligent validation and suggestion of query improvements</w:t>
      </w:r>
    </w:p>
    <w:p>
      <w:pPr>
        <w:pStyle w:val="Compact"/>
        <w:numPr>
          <w:ilvl w:val="0"/>
          <w:numId w:val="1011"/>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2"/>
    <w:bookmarkEnd w:id="63"/>
    <w:bookmarkStart w:id="67" w:name="implementation-framework"/>
    <w:p>
      <w:pPr>
        <w:pStyle w:val="Heading2"/>
      </w:pPr>
      <w:r>
        <w:rPr>
          <w:rStyle w:val="SectionNumber"/>
        </w:rPr>
        <w:t xml:space="preserve">4.3</w:t>
      </w:r>
      <w:r>
        <w:tab/>
      </w:r>
      <w:r>
        <w:t xml:space="preserve">Implementation Framework</w:t>
      </w:r>
    </w:p>
    <w:bookmarkStart w:id="64" w:name="foundation-and-integration-months-1-3"/>
    <w:p>
      <w:pPr>
        <w:pStyle w:val="Heading3"/>
      </w:pPr>
      <w:r>
        <w:rPr>
          <w:rStyle w:val="SectionNumber"/>
        </w:rPr>
        <w:t xml:space="preserve">4.3.1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2"/>
        </w:numPr>
      </w:pPr>
      <w:r>
        <w:t xml:space="preserve">Healthcare data warehouse connectivity and schema mapping</w:t>
      </w:r>
    </w:p>
    <w:p>
      <w:pPr>
        <w:pStyle w:val="Compact"/>
        <w:numPr>
          <w:ilvl w:val="0"/>
          <w:numId w:val="1012"/>
        </w:numPr>
      </w:pPr>
      <w:r>
        <w:t xml:space="preserve">Integration with electronic health record systems and clinical data repositories</w:t>
      </w:r>
    </w:p>
    <w:p>
      <w:pPr>
        <w:pStyle w:val="Compact"/>
        <w:numPr>
          <w:ilvl w:val="0"/>
          <w:numId w:val="1012"/>
        </w:numPr>
      </w:pPr>
      <w:r>
        <w:t xml:space="preserve">Implementation of healthcare terminology vocabularies (ICD-10, CPT, SNOMED)</w:t>
      </w:r>
    </w:p>
    <w:p>
      <w:pPr>
        <w:pStyle w:val="Compact"/>
        <w:numPr>
          <w:ilvl w:val="0"/>
          <w:numId w:val="1012"/>
        </w:numPr>
      </w:pPr>
      <w:r>
        <w:t xml:space="preserve">Basic natural language processing capability deployment</w:t>
      </w:r>
    </w:p>
    <w:p>
      <w:pPr>
        <w:pStyle w:val="Compact"/>
        <w:numPr>
          <w:ilvl w:val="0"/>
          <w:numId w:val="1012"/>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13"/>
        </w:numPr>
      </w:pPr>
      <w:r>
        <w:t xml:space="preserve">Successful connectivity to organizational data sources</w:t>
      </w:r>
    </w:p>
    <w:p>
      <w:pPr>
        <w:pStyle w:val="Compact"/>
        <w:numPr>
          <w:ilvl w:val="0"/>
          <w:numId w:val="1013"/>
        </w:numPr>
      </w:pPr>
      <w:r>
        <w:t xml:space="preserve">Accurate interpretation of basic clinical terminology</w:t>
      </w:r>
    </w:p>
    <w:p>
      <w:pPr>
        <w:pStyle w:val="Compact"/>
        <w:numPr>
          <w:ilvl w:val="0"/>
          <w:numId w:val="1013"/>
        </w:numPr>
      </w:pPr>
      <w:r>
        <w:t xml:space="preserve">Compliance with healthcare data governance policies</w:t>
      </w:r>
    </w:p>
    <w:p>
      <w:pPr>
        <w:pStyle w:val="Compact"/>
        <w:numPr>
          <w:ilvl w:val="0"/>
          <w:numId w:val="1013"/>
        </w:numPr>
      </w:pPr>
      <w:r>
        <w:t xml:space="preserve">User authentication and role-based access functioning</w:t>
      </w:r>
    </w:p>
    <w:bookmarkEnd w:id="64"/>
    <w:bookmarkStart w:id="65" w:name="Xc39c9330ce349e8d811193f325f59433390951c"/>
    <w:p>
      <w:pPr>
        <w:pStyle w:val="Heading3"/>
      </w:pPr>
      <w:r>
        <w:rPr>
          <w:rStyle w:val="SectionNumber"/>
        </w:rPr>
        <w:t xml:space="preserve">4.3.2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14"/>
        </w:numPr>
      </w:pPr>
      <w:r>
        <w:t xml:space="preserve">Deployment with limited user groups (data analysts, clinical informatics staff)</w:t>
      </w:r>
    </w:p>
    <w:p>
      <w:pPr>
        <w:pStyle w:val="Compact"/>
        <w:numPr>
          <w:ilvl w:val="0"/>
          <w:numId w:val="1014"/>
        </w:numPr>
      </w:pPr>
      <w:r>
        <w:t xml:space="preserve">Capture of organizational data definitions and business rules</w:t>
      </w:r>
    </w:p>
    <w:p>
      <w:pPr>
        <w:pStyle w:val="Compact"/>
        <w:numPr>
          <w:ilvl w:val="0"/>
          <w:numId w:val="1014"/>
        </w:numPr>
      </w:pPr>
      <w:r>
        <w:t xml:space="preserve">Learning from existing analytical patterns and reporting requirements</w:t>
      </w:r>
    </w:p>
    <w:p>
      <w:pPr>
        <w:pStyle w:val="Compact"/>
        <w:numPr>
          <w:ilvl w:val="0"/>
          <w:numId w:val="1014"/>
        </w:numPr>
      </w:pPr>
      <w:r>
        <w:t xml:space="preserve">Development of organization-specific query templates and best practices</w:t>
      </w:r>
    </w:p>
    <w:p>
      <w:pPr>
        <w:pStyle w:val="Compact"/>
        <w:numPr>
          <w:ilvl w:val="0"/>
          <w:numId w:val="1014"/>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15"/>
        </w:numPr>
      </w:pPr>
      <w:r>
        <w:t xml:space="preserve">80% accuracy in interpreting organizational data requests</w:t>
      </w:r>
    </w:p>
    <w:p>
      <w:pPr>
        <w:pStyle w:val="Compact"/>
        <w:numPr>
          <w:ilvl w:val="0"/>
          <w:numId w:val="1015"/>
        </w:numPr>
      </w:pPr>
      <w:r>
        <w:t xml:space="preserve">Successful capture of existing analytical workflows</w:t>
      </w:r>
    </w:p>
    <w:p>
      <w:pPr>
        <w:pStyle w:val="Compact"/>
        <w:numPr>
          <w:ilvl w:val="0"/>
          <w:numId w:val="1015"/>
        </w:numPr>
      </w:pPr>
      <w:r>
        <w:t xml:space="preserve">Positive user feedback from limited deployment groups</w:t>
      </w:r>
    </w:p>
    <w:p>
      <w:pPr>
        <w:pStyle w:val="Compact"/>
        <w:numPr>
          <w:ilvl w:val="0"/>
          <w:numId w:val="1015"/>
        </w:numPr>
      </w:pPr>
      <w:r>
        <w:t xml:space="preserve">Establishment of continuous learning feedback loops</w:t>
      </w:r>
    </w:p>
    <w:bookmarkEnd w:id="65"/>
    <w:bookmarkStart w:id="66" w:name="democratization-and-scale-months-7-12"/>
    <w:p>
      <w:pPr>
        <w:pStyle w:val="Heading3"/>
      </w:pPr>
      <w:r>
        <w:rPr>
          <w:rStyle w:val="SectionNumber"/>
        </w:rPr>
        <w:t xml:space="preserve">4.3.3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16"/>
        </w:numPr>
      </w:pPr>
      <w:r>
        <w:t xml:space="preserve">Broader deployment to clinical departments and operational teams</w:t>
      </w:r>
    </w:p>
    <w:p>
      <w:pPr>
        <w:pStyle w:val="Compact"/>
        <w:numPr>
          <w:ilvl w:val="0"/>
          <w:numId w:val="1016"/>
        </w:numPr>
      </w:pPr>
      <w:r>
        <w:t xml:space="preserve">Advanced analytical capability development (predictive analytics, population health)</w:t>
      </w:r>
    </w:p>
    <w:p>
      <w:pPr>
        <w:pStyle w:val="Compact"/>
        <w:numPr>
          <w:ilvl w:val="0"/>
          <w:numId w:val="1016"/>
        </w:numPr>
      </w:pPr>
      <w:r>
        <w:t xml:space="preserve">Self-service analytics enablement for non-technical users</w:t>
      </w:r>
    </w:p>
    <w:p>
      <w:pPr>
        <w:pStyle w:val="Compact"/>
        <w:numPr>
          <w:ilvl w:val="0"/>
          <w:numId w:val="1016"/>
        </w:numPr>
      </w:pPr>
      <w:r>
        <w:t xml:space="preserve">Advanced visualization and reporting capability implementation</w:t>
      </w:r>
    </w:p>
    <w:p>
      <w:pPr>
        <w:pStyle w:val="Compact"/>
        <w:numPr>
          <w:ilvl w:val="0"/>
          <w:numId w:val="1016"/>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17"/>
        </w:numPr>
      </w:pPr>
      <w:r>
        <w:t xml:space="preserve">Significant reduction in time-to-insight for clinical users</w:t>
      </w:r>
    </w:p>
    <w:p>
      <w:pPr>
        <w:pStyle w:val="Compact"/>
        <w:numPr>
          <w:ilvl w:val="0"/>
          <w:numId w:val="1017"/>
        </w:numPr>
      </w:pPr>
      <w:r>
        <w:t xml:space="preserve">Substantial reduction in query development time</w:t>
      </w:r>
    </w:p>
    <w:p>
      <w:pPr>
        <w:pStyle w:val="Compact"/>
        <w:numPr>
          <w:ilvl w:val="0"/>
          <w:numId w:val="1017"/>
        </w:numPr>
      </w:pPr>
      <w:r>
        <w:t xml:space="preserve">High success rate for clinical users completing analyses independently</w:t>
      </w:r>
    </w:p>
    <w:p>
      <w:pPr>
        <w:pStyle w:val="Compact"/>
        <w:numPr>
          <w:ilvl w:val="0"/>
          <w:numId w:val="1017"/>
        </w:numPr>
      </w:pPr>
      <w:r>
        <w:t xml:space="preserve">Measurable advancement in HIMSS AMAM maturity assessment [I1]</w:t>
      </w:r>
    </w:p>
    <w:bookmarkEnd w:id="66"/>
    <w:bookmarkEnd w:id="67"/>
    <w:bookmarkStart w:id="71" w:name="risk-mitigation-and-quality-assurance"/>
    <w:p>
      <w:pPr>
        <w:pStyle w:val="Heading2"/>
      </w:pPr>
      <w:r>
        <w:rPr>
          <w:rStyle w:val="SectionNumber"/>
        </w:rPr>
        <w:t xml:space="preserve">4.4</w:t>
      </w:r>
      <w:r>
        <w:tab/>
      </w:r>
      <w:r>
        <w:t xml:space="preserve">Risk Mitigation and Quality Assurance</w:t>
      </w:r>
    </w:p>
    <w:bookmarkStart w:id="68"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18"/>
        </w:numPr>
      </w:pPr>
      <w:r>
        <w:t xml:space="preserve">Multi-layer validation including semantic checking, statistical validation, and clinical review</w:t>
      </w:r>
    </w:p>
    <w:p>
      <w:pPr>
        <w:pStyle w:val="Compact"/>
        <w:numPr>
          <w:ilvl w:val="0"/>
          <w:numId w:val="1018"/>
        </w:numPr>
      </w:pPr>
      <w:r>
        <w:t xml:space="preserve">Confidence scoring for AI-generated queries with human review thresholds</w:t>
      </w:r>
    </w:p>
    <w:p>
      <w:pPr>
        <w:pStyle w:val="Compact"/>
        <w:numPr>
          <w:ilvl w:val="0"/>
          <w:numId w:val="1018"/>
        </w:numPr>
      </w:pPr>
      <w:r>
        <w:t xml:space="preserve">Audit trails for all analytical outputs enabling traceability and verification</w:t>
      </w:r>
    </w:p>
    <w:p>
      <w:pPr>
        <w:pStyle w:val="Compact"/>
        <w:numPr>
          <w:ilvl w:val="0"/>
          <w:numId w:val="1018"/>
        </w:numPr>
      </w:pPr>
      <w:r>
        <w:t xml:space="preserve">Integration with clinical decision support systems for context validation</w:t>
      </w:r>
    </w:p>
    <w:bookmarkEnd w:id="68"/>
    <w:bookmarkStart w:id="69"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19"/>
        </w:numPr>
      </w:pPr>
      <w:r>
        <w:t xml:space="preserve">Gradual deployment beginning with analytics-savvy early adopters</w:t>
      </w:r>
    </w:p>
    <w:p>
      <w:pPr>
        <w:pStyle w:val="Compact"/>
        <w:numPr>
          <w:ilvl w:val="0"/>
          <w:numId w:val="1019"/>
        </w:numPr>
      </w:pPr>
      <w:r>
        <w:t xml:space="preserve">Comprehensive training programs tailored to clinical workflows</w:t>
      </w:r>
    </w:p>
    <w:p>
      <w:pPr>
        <w:pStyle w:val="Compact"/>
        <w:numPr>
          <w:ilvl w:val="0"/>
          <w:numId w:val="1019"/>
        </w:numPr>
      </w:pPr>
      <w:r>
        <w:t xml:space="preserve">Champions program utilizing domain experts as internal advocates</w:t>
      </w:r>
    </w:p>
    <w:p>
      <w:pPr>
        <w:pStyle w:val="Compact"/>
        <w:numPr>
          <w:ilvl w:val="0"/>
          <w:numId w:val="1019"/>
        </w:numPr>
      </w:pPr>
      <w:r>
        <w:t xml:space="preserve">Demonstration of quick wins and tangible value through pilot projects</w:t>
      </w:r>
    </w:p>
    <w:bookmarkEnd w:id="69"/>
    <w:bookmarkStart w:id="70"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0"/>
        </w:numPr>
      </w:pPr>
      <w:r>
        <w:t xml:space="preserve">Role-based access controls integrated with existing identity management systems</w:t>
      </w:r>
    </w:p>
    <w:p>
      <w:pPr>
        <w:pStyle w:val="Compact"/>
        <w:numPr>
          <w:ilvl w:val="0"/>
          <w:numId w:val="1020"/>
        </w:numPr>
      </w:pPr>
      <w:r>
        <w:t xml:space="preserve">Audit logging of all data access and analytical activities</w:t>
      </w:r>
    </w:p>
    <w:p>
      <w:pPr>
        <w:pStyle w:val="Compact"/>
        <w:numPr>
          <w:ilvl w:val="0"/>
          <w:numId w:val="1020"/>
        </w:numPr>
      </w:pPr>
      <w:r>
        <w:t xml:space="preserve">Data de-identification and anonymization capabilities for research and training</w:t>
      </w:r>
    </w:p>
    <w:p>
      <w:pPr>
        <w:pStyle w:val="Compact"/>
        <w:numPr>
          <w:ilvl w:val="0"/>
          <w:numId w:val="1020"/>
        </w:numPr>
      </w:pPr>
      <w:r>
        <w:t xml:space="preserve">Regular security assessments and compliance validation</w:t>
      </w:r>
    </w:p>
    <w:bookmarkEnd w:id="70"/>
    <w:bookmarkEnd w:id="71"/>
    <w:bookmarkEnd w:id="72"/>
    <w:bookmarkStart w:id="83"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7" w:name="academic-study-results"/>
    <w:p>
      <w:pPr>
        <w:pStyle w:val="Heading2"/>
      </w:pPr>
      <w:r>
        <w:rPr>
          <w:rStyle w:val="SectionNumber"/>
        </w:rPr>
        <w:t xml:space="preserve">5.1</w:t>
      </w:r>
      <w:r>
        <w:tab/>
      </w:r>
      <w:r>
        <w:t xml:space="preserve">Academic Study Results</w:t>
      </w:r>
    </w:p>
    <w:bookmarkStart w:id="73"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3"/>
    <w:bookmarkStart w:id="74"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4"/>
    <w:bookmarkStart w:id="75"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5"/>
    <w:bookmarkStart w:id="76"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6"/>
    <w:bookmarkEnd w:id="77"/>
    <w:bookmarkStart w:id="79" w:name="real-world-case-studies"/>
    <w:p>
      <w:pPr>
        <w:pStyle w:val="Heading2"/>
      </w:pPr>
      <w:r>
        <w:rPr>
          <w:rStyle w:val="SectionNumber"/>
        </w:rPr>
        <w:t xml:space="preserve">5.2</w:t>
      </w:r>
      <w:r>
        <w:tab/>
      </w:r>
      <w:r>
        <w:t xml:space="preserve">Real-World Case Studies</w:t>
      </w:r>
    </w:p>
    <w:bookmarkStart w:id="78" w:name="berkshire-healthcare-nhs-trust"/>
    <w:p>
      <w:pPr>
        <w:pStyle w:val="Heading3"/>
      </w:pPr>
      <w:r>
        <w:rPr>
          <w:rStyle w:val="SectionNumber"/>
        </w:rPr>
        <w:t xml:space="preserve">5.2.1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1"/>
        </w:numPr>
      </w:pPr>
      <w:r>
        <w:rPr>
          <w:b/>
          <w:bCs/>
        </w:rPr>
        <w:t xml:space="preserve">Platform</w:t>
      </w:r>
      <w:r>
        <w:t xml:space="preserve">: Microsoft Power Platform (low-code)</w:t>
      </w:r>
    </w:p>
    <w:p>
      <w:pPr>
        <w:pStyle w:val="Compact"/>
        <w:numPr>
          <w:ilvl w:val="0"/>
          <w:numId w:val="1021"/>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1"/>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2"/>
        </w:numPr>
      </w:pPr>
      <w:r>
        <w:t xml:space="preserve">Healthcare professionals without IT expertise now create custom solutions and apps</w:t>
      </w:r>
    </w:p>
    <w:p>
      <w:pPr>
        <w:pStyle w:val="Compact"/>
        <w:numPr>
          <w:ilvl w:val="0"/>
          <w:numId w:val="1022"/>
        </w:numPr>
      </w:pPr>
      <w:r>
        <w:t xml:space="preserve">Streamlined operations and enabled data-driven decisions</w:t>
      </w:r>
    </w:p>
    <w:p>
      <w:pPr>
        <w:pStyle w:val="Compact"/>
        <w:numPr>
          <w:ilvl w:val="0"/>
          <w:numId w:val="1022"/>
        </w:numPr>
      </w:pPr>
      <w:r>
        <w:t xml:space="preserve">Over 65,000 observations recorded through Power Apps in patient wards</w:t>
      </w:r>
    </w:p>
    <w:p>
      <w:pPr>
        <w:pStyle w:val="Compact"/>
        <w:numPr>
          <w:ilvl w:val="0"/>
          <w:numId w:val="1022"/>
        </w:numPr>
      </w:pPr>
      <w:r>
        <w:t xml:space="preserve">Significant improvement in data accuracy and time given back to clinical service</w:t>
      </w:r>
    </w:p>
    <w:p>
      <w:pPr>
        <w:pStyle w:val="Compact"/>
        <w:numPr>
          <w:ilvl w:val="0"/>
          <w:numId w:val="1022"/>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8"/>
    <w:bookmarkEnd w:id="79"/>
    <w:bookmarkStart w:id="82" w:name="economic-impact-analysis"/>
    <w:p>
      <w:pPr>
        <w:pStyle w:val="Heading2"/>
      </w:pPr>
      <w:r>
        <w:rPr>
          <w:rStyle w:val="SectionNumber"/>
        </w:rPr>
        <w:t xml:space="preserve">5.3</w:t>
      </w:r>
      <w:r>
        <w:tab/>
      </w:r>
      <w:r>
        <w:t xml:space="preserve">Economic Impact Analysis</w:t>
      </w:r>
    </w:p>
    <w:bookmarkStart w:id="80"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23"/>
        </w:numPr>
      </w:pPr>
      <w:r>
        <w:rPr>
          <w:b/>
          <w:bCs/>
        </w:rPr>
        <w:t xml:space="preserve">Three-Year ROI</w:t>
      </w:r>
      <w:r>
        <w:t xml:space="preserve">: 206% for Power Apps implementations</w:t>
      </w:r>
    </w:p>
    <w:p>
      <w:pPr>
        <w:pStyle w:val="Compact"/>
        <w:numPr>
          <w:ilvl w:val="0"/>
          <w:numId w:val="1023"/>
        </w:numPr>
      </w:pPr>
      <w:r>
        <w:rPr>
          <w:b/>
          <w:bCs/>
        </w:rPr>
        <w:t xml:space="preserve">NPV</w:t>
      </w:r>
      <w:r>
        <w:t xml:space="preserve">: $31.0 million over three years for composite organizations</w:t>
      </w:r>
    </w:p>
    <w:p>
      <w:pPr>
        <w:pStyle w:val="Compact"/>
        <w:numPr>
          <w:ilvl w:val="0"/>
          <w:numId w:val="1023"/>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80"/>
    <w:bookmarkStart w:id="81"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24"/>
        </w:numPr>
      </w:pPr>
      <w:r>
        <w:rPr>
          <w:b/>
          <w:bCs/>
        </w:rPr>
        <w:t xml:space="preserve">Current Market</w:t>
      </w:r>
      <w:r>
        <w:t xml:space="preserve">: $64.49 billion (2025) healthcare analytics market</w:t>
      </w:r>
    </w:p>
    <w:p>
      <w:pPr>
        <w:pStyle w:val="Compact"/>
        <w:numPr>
          <w:ilvl w:val="0"/>
          <w:numId w:val="1024"/>
        </w:numPr>
      </w:pPr>
      <w:r>
        <w:rPr>
          <w:b/>
          <w:bCs/>
        </w:rPr>
        <w:t xml:space="preserve">Projected Growth</w:t>
      </w:r>
      <w:r>
        <w:t xml:space="preserve">: $369.66 billion by 2034</w:t>
      </w:r>
    </w:p>
    <w:p>
      <w:pPr>
        <w:pStyle w:val="Compact"/>
        <w:numPr>
          <w:ilvl w:val="0"/>
          <w:numId w:val="1024"/>
        </w:numPr>
      </w:pPr>
      <w:r>
        <w:rPr>
          <w:b/>
          <w:bCs/>
        </w:rPr>
        <w:t xml:space="preserve">CAGR</w:t>
      </w:r>
      <w:r>
        <w:t xml:space="preserve">: 21.41% from 2025 to 2034</w:t>
      </w:r>
    </w:p>
    <w:p>
      <w:pPr>
        <w:pStyle w:val="Compact"/>
        <w:numPr>
          <w:ilvl w:val="0"/>
          <w:numId w:val="1024"/>
        </w:numPr>
      </w:pPr>
      <w:r>
        <w:rPr>
          <w:b/>
          <w:bCs/>
        </w:rPr>
        <w:t xml:space="preserve">North America Share</w:t>
      </w:r>
      <w:r>
        <w:t xml:space="preserve">: 48.62% of market in 2024</w:t>
      </w:r>
    </w:p>
    <w:p>
      <w:pPr>
        <w:pStyle w:val="Compact"/>
        <w:numPr>
          <w:ilvl w:val="0"/>
          <w:numId w:val="1024"/>
        </w:numPr>
      </w:pPr>
      <w:r>
        <w:rPr>
          <w:b/>
          <w:bCs/>
        </w:rPr>
        <w:t xml:space="preserve">U.S. Market</w:t>
      </w:r>
      <w:r>
        <w:t xml:space="preserve">: Expected to reach $152.03 billion by 2034</w:t>
      </w:r>
    </w:p>
    <w:bookmarkEnd w:id="81"/>
    <w:bookmarkEnd w:id="82"/>
    <w:bookmarkEnd w:id="83"/>
    <w:bookmarkStart w:id="104" w:name="discussion"/>
    <w:p>
      <w:pPr>
        <w:pStyle w:val="Heading1"/>
      </w:pPr>
      <w:r>
        <w:rPr>
          <w:rStyle w:val="SectionNumber"/>
        </w:rPr>
        <w:t xml:space="preserve">6</w:t>
      </w:r>
      <w:r>
        <w:tab/>
      </w:r>
      <w:r>
        <w:t xml:space="preserve">Discussion</w:t>
      </w:r>
    </w:p>
    <w:bookmarkStart w:id="89"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4"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4"/>
    <w:bookmarkStart w:id="85"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5"/>
    <w:bookmarkStart w:id="86"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6"/>
    <w:bookmarkStart w:id="87"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7"/>
    <w:bookmarkStart w:id="88"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8"/>
    <w:bookmarkEnd w:id="89"/>
    <w:bookmarkStart w:id="95"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90"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90"/>
    <w:bookmarkStart w:id="91"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1"/>
    <w:bookmarkStart w:id="92"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2"/>
    <w:bookmarkStart w:id="93"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3"/>
    <w:bookmarkStart w:id="94"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4"/>
    <w:bookmarkEnd w:id="95"/>
    <w:bookmarkStart w:id="99"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6"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25"/>
        </w:numPr>
      </w:pPr>
      <w:r>
        <w:rPr>
          <w:b/>
          <w:bCs/>
        </w:rPr>
        <w:t xml:space="preserve">Specialty Domain Validation</w:t>
      </w:r>
      <w:r>
        <w:t xml:space="preserve">: Empirical studies in specialized clinical areas to validate generalizability</w:t>
      </w:r>
    </w:p>
    <w:p>
      <w:pPr>
        <w:pStyle w:val="Compact"/>
        <w:numPr>
          <w:ilvl w:val="0"/>
          <w:numId w:val="1025"/>
        </w:numPr>
      </w:pPr>
      <w:r>
        <w:rPr>
          <w:b/>
          <w:bCs/>
        </w:rPr>
        <w:t xml:space="preserve">Governance Framework Development</w:t>
      </w:r>
      <w:r>
        <w:t xml:space="preserve">: Research on optimal governance models for democratized analytics</w:t>
      </w:r>
    </w:p>
    <w:p>
      <w:pPr>
        <w:pStyle w:val="Compact"/>
        <w:numPr>
          <w:ilvl w:val="0"/>
          <w:numId w:val="1025"/>
        </w:numPr>
      </w:pPr>
      <w:r>
        <w:rPr>
          <w:b/>
          <w:bCs/>
        </w:rPr>
        <w:t xml:space="preserve">Integration Pattern Analysis</w:t>
      </w:r>
      <w:r>
        <w:t xml:space="preserve">: Technical research on architectural patterns for healthcare IT ecosystem integration</w:t>
      </w:r>
    </w:p>
    <w:bookmarkEnd w:id="96"/>
    <w:bookmarkStart w:id="97"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26"/>
        </w:numPr>
      </w:pPr>
      <w:r>
        <w:rPr>
          <w:b/>
          <w:bCs/>
        </w:rPr>
        <w:t xml:space="preserve">Longitudinal Outcome Studies</w:t>
      </w:r>
      <w:r>
        <w:t xml:space="preserve">: Multi-year implementations to assess sustained benefits and organizational evolution</w:t>
      </w:r>
    </w:p>
    <w:p>
      <w:pPr>
        <w:pStyle w:val="Compact"/>
        <w:numPr>
          <w:ilvl w:val="0"/>
          <w:numId w:val="1026"/>
        </w:numPr>
      </w:pPr>
      <w:r>
        <w:rPr>
          <w:b/>
          <w:bCs/>
        </w:rPr>
        <w:t xml:space="preserve">Comparative Effectiveness Research</w:t>
      </w:r>
      <w:r>
        <w:t xml:space="preserve">: Head-to-head comparisons of different conversational AI approaches</w:t>
      </w:r>
    </w:p>
    <w:p>
      <w:pPr>
        <w:pStyle w:val="Compact"/>
        <w:numPr>
          <w:ilvl w:val="0"/>
          <w:numId w:val="1026"/>
        </w:numPr>
      </w:pPr>
      <w:r>
        <w:rPr>
          <w:b/>
          <w:bCs/>
        </w:rPr>
        <w:t xml:space="preserve">Training Methodology Optimization</w:t>
      </w:r>
      <w:r>
        <w:t xml:space="preserve">: Evidence-based approaches for transitioning from traditional to conversational analytics</w:t>
      </w:r>
    </w:p>
    <w:bookmarkEnd w:id="97"/>
    <w:bookmarkStart w:id="98"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27"/>
        </w:numPr>
      </w:pPr>
      <w:r>
        <w:rPr>
          <w:b/>
          <w:bCs/>
        </w:rPr>
        <w:t xml:space="preserve">Organizational Transformation Studies</w:t>
      </w:r>
      <w:r>
        <w:t xml:space="preserve">: Research on how conversational AI platforms reshape healthcare organizational capabilities</w:t>
      </w:r>
    </w:p>
    <w:p>
      <w:pPr>
        <w:pStyle w:val="Compact"/>
        <w:numPr>
          <w:ilvl w:val="0"/>
          <w:numId w:val="1027"/>
        </w:numPr>
      </w:pPr>
      <w:r>
        <w:rPr>
          <w:b/>
          <w:bCs/>
        </w:rPr>
        <w:t xml:space="preserve">Clinical Outcome Impact Assessment</w:t>
      </w:r>
      <w:r>
        <w:t xml:space="preserve">: Studies linking improved analytics access to patient care outcomes</w:t>
      </w:r>
    </w:p>
    <w:p>
      <w:pPr>
        <w:pStyle w:val="Compact"/>
        <w:numPr>
          <w:ilvl w:val="0"/>
          <w:numId w:val="1027"/>
        </w:numPr>
      </w:pPr>
      <w:r>
        <w:rPr>
          <w:b/>
          <w:bCs/>
        </w:rPr>
        <w:t xml:space="preserve">Predictive Analytics Integration</w:t>
      </w:r>
      <w:r>
        <w:t xml:space="preserve">: Research on combining conversational interfaces with advanced predictive modeling</w:t>
      </w:r>
    </w:p>
    <w:bookmarkEnd w:id="98"/>
    <w:bookmarkEnd w:id="99"/>
    <w:bookmarkStart w:id="103"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100"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0"/>
    <w:bookmarkStart w:id="101"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p>
    <w:p>
      <w:pPr>
        <w:pStyle w:val="Compact"/>
        <w:numPr>
          <w:ilvl w:val="0"/>
          <w:numId w:val="1028"/>
        </w:numPr>
      </w:pPr>
      <w:r>
        <w:rPr>
          <w:b/>
          <w:bCs/>
        </w:rPr>
        <w:t xml:space="preserve">Executive Commitment</w:t>
      </w:r>
      <w:r>
        <w:t xml:space="preserve">: Strong leadership support throughout the 18-month average implementation timeline</w:t>
      </w:r>
    </w:p>
    <w:p>
      <w:pPr>
        <w:pStyle w:val="Compact"/>
        <w:numPr>
          <w:ilvl w:val="0"/>
          <w:numId w:val="1028"/>
        </w:numPr>
      </w:pPr>
      <w:r>
        <w:rPr>
          <w:b/>
          <w:bCs/>
        </w:rPr>
        <w:t xml:space="preserve">Change Management Investment</w:t>
      </w:r>
      <w:r>
        <w:t xml:space="preserve">: Comprehensive training and support programs to ensure user adoption</w:t>
      </w:r>
    </w:p>
    <w:p>
      <w:pPr>
        <w:pStyle w:val="Compact"/>
        <w:numPr>
          <w:ilvl w:val="0"/>
          <w:numId w:val="1028"/>
        </w:numPr>
      </w:pPr>
      <w:r>
        <w:rPr>
          <w:b/>
          <w:bCs/>
        </w:rPr>
        <w:t xml:space="preserve">Phased Deployment</w:t>
      </w:r>
      <w:r>
        <w:t xml:space="preserve">: Gradual rollout beginning with analytics-savvy early adopters</w:t>
      </w:r>
    </w:p>
    <w:p>
      <w:pPr>
        <w:pStyle w:val="Compact"/>
        <w:numPr>
          <w:ilvl w:val="0"/>
          <w:numId w:val="1028"/>
        </w:numPr>
      </w:pPr>
      <w:r>
        <w:rPr>
          <w:b/>
          <w:bCs/>
        </w:rPr>
        <w:t xml:space="preserve">Governance Framework Development</w:t>
      </w:r>
      <w:r>
        <w:t xml:space="preserve">: New policies and procedures for democratized analytics</w:t>
      </w:r>
    </w:p>
    <w:bookmarkEnd w:id="101"/>
    <w:bookmarkStart w:id="102"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2"/>
    <w:bookmarkEnd w:id="103"/>
    <w:bookmarkEnd w:id="104"/>
    <w:bookmarkStart w:id="108"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5"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2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9"/>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29"/>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5"/>
    <w:bookmarkStart w:id="106"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6"/>
    <w:bookmarkStart w:id="107"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7"/>
    <w:bookmarkEnd w:id="108"/>
    <w:bookmarkStart w:id="10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9"/>
    <w:bookmarkStart w:id="110" w:name="competing-interests"/>
    <w:p>
      <w:pPr>
        <w:pStyle w:val="Heading1"/>
      </w:pPr>
      <w:r>
        <w:rPr>
          <w:rStyle w:val="SectionNumber"/>
        </w:rPr>
        <w:t xml:space="preserve">9</w:t>
      </w:r>
      <w:r>
        <w:tab/>
      </w:r>
      <w:r>
        <w:t xml:space="preserve">Competing Interests</w:t>
      </w:r>
    </w:p>
    <w:p>
      <w:pPr>
        <w:pStyle w:val="FirstParagraph"/>
      </w:pPr>
      <w:r>
        <w:t xml:space="preserve">Samuel T Harrold is founder of Yuimedi and a Data Scientist at Indiana University Health. The views and opinions expressed in this paper are those of the author and do not necessarily reflect the official policy or position of Indiana University Health or any other organization. This research was conducted independently and does not constitute an endorsement by any affiliated institution.</w:t>
      </w:r>
    </w:p>
    <w:bookmarkEnd w:id="110"/>
    <w:bookmarkStart w:id="111" w:name="data-availability"/>
    <w:p>
      <w:pPr>
        <w:pStyle w:val="Heading1"/>
      </w:pPr>
      <w:r>
        <w:rPr>
          <w:rStyle w:val="SectionNumber"/>
        </w:rPr>
        <w:t xml:space="preserve">10</w:t>
      </w:r>
      <w:r>
        <w:tab/>
      </w:r>
      <w:r>
        <w:t xml:space="preserve">Data Availability</w:t>
      </w:r>
    </w:p>
    <w:p>
      <w:pPr>
        <w:pStyle w:val="FirstParagraph"/>
      </w:pPr>
      <w:r>
        <w:t xml:space="preserve">This is a narrative review. No datasets were generated or analyzed during this study.</w:t>
      </w:r>
    </w:p>
    <w:bookmarkEnd w:id="111"/>
    <w:bookmarkStart w:id="11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2"/>
    <w:bookmarkStart w:id="113" w:name="funding"/>
    <w:p>
      <w:pPr>
        <w:pStyle w:val="Heading1"/>
      </w:pPr>
      <w:r>
        <w:rPr>
          <w:rStyle w:val="SectionNumber"/>
        </w:rPr>
        <w:t xml:space="preserve">12</w:t>
      </w:r>
      <w:r>
        <w:tab/>
      </w:r>
      <w:r>
        <w:t xml:space="preserve">Funding</w:t>
      </w:r>
    </w:p>
    <w:p>
      <w:pPr>
        <w:pStyle w:val="FirstParagraph"/>
      </w:pPr>
      <w:r>
        <w:t xml:space="preserve">This research received no external funding.</w:t>
      </w:r>
    </w:p>
    <w:bookmarkEnd w:id="113"/>
    <w:bookmarkStart w:id="116" w:name="references"/>
    <w:p>
      <w:pPr>
        <w:pStyle w:val="Heading1"/>
      </w:pPr>
      <w:r>
        <w:rPr>
          <w:rStyle w:val="SectionNumber"/>
        </w:rPr>
        <w:t xml:space="preserve">13</w:t>
      </w:r>
      <w:r>
        <w:tab/>
      </w:r>
      <w:r>
        <w:t xml:space="preserve">References</w:t>
      </w:r>
    </w:p>
    <w:bookmarkStart w:id="11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w:t>
      </w:r>
      <w:r>
        <w:t xml:space="preserve">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w:t>
      </w:r>
      <w:r>
        <w:t xml:space="preserve">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w:t>
      </w:r>
      <w:r>
        <w:t xml:space="preserve">.1531606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14"/>
    <w:bookmarkStart w:id="11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w:t>
      </w:r>
      <w:r>
        <w:t xml:space="preserve"> </w:t>
      </w:r>
      <w:r>
        <w:t xml:space="preserve">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w:t>
      </w:r>
      <w:r>
        <w:t xml:space="preserve">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w:t>
      </w:r>
      <w:r>
        <w:t xml:space="preserve">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w:t>
      </w:r>
      <w:r>
        <w:t xml:space="preserve">haven-the-amazon-berkshire-jpmorgan-venture-to-disrupt-healthcare-is-disbanding.html</w:t>
      </w:r>
    </w:p>
    <w:bookmarkEnd w:id="115"/>
    <w:bookmarkEnd w:id="116"/>
    <w:bookmarkStart w:id="123" w:name="appendices"/>
    <w:p>
      <w:pPr>
        <w:pStyle w:val="Heading1"/>
      </w:pPr>
      <w:r>
        <w:rPr>
          <w:rStyle w:val="SectionNumber"/>
        </w:rPr>
        <w:t xml:space="preserve">14</w:t>
      </w:r>
      <w:r>
        <w:tab/>
      </w:r>
      <w:r>
        <w:t xml:space="preserve">Appendices</w:t>
      </w:r>
    </w:p>
    <w:bookmarkStart w:id="11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7"/>
    <w:bookmarkStart w:id="11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8"/>
    <w:bookmarkStart w:id="122" w:name="Xbfd30549e6247e2f3e5132a039875af0e2849bb"/>
    <w:p>
      <w:pPr>
        <w:pStyle w:val="Heading2"/>
      </w:pPr>
      <w:r>
        <w:rPr>
          <w:rStyle w:val="SectionNumber"/>
        </w:rPr>
        <w:t xml:space="preserve">14.3</w:t>
      </w:r>
      <w:r>
        <w:tab/>
      </w:r>
      <w:r>
        <w:t xml:space="preserve">Appendix C: Healthcare NL2SQL Query Examples</w:t>
      </w:r>
    </w:p>
    <w:bookmarkStart w:id="11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9"/>
    <w:bookmarkStart w:id="12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0"/>
    <w:bookmarkStart w:id="12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2025-12-13T17:05:49Z</dcterms:created>
  <dcterms:modified xsi:type="dcterms:W3CDTF">2025-12-13T17:05:49Z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