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multimedia-appendix-1"/>
    <w:p>
      <w:pPr>
        <w:pStyle w:val="Heading1"/>
      </w:pPr>
      <w:r>
        <w:t xml:space="preserve">Multimedia Appendix 1</w:t>
      </w:r>
    </w:p>
    <w:bookmarkStart w:id="9" w:name="X90f75ebb40d73f3e0fb31374ab2e38ebaf83b91"/>
    <w:p>
      <w:pPr>
        <w:pStyle w:val="Heading2"/>
      </w:pPr>
      <w:r>
        <w:t xml:space="preserve">Appendix A: HIMSS Analytics Maturity Assessment Model (AMAM) Stages</w:t>
      </w:r>
    </w:p>
    <w:tbl>
      <w:tblPr>
        <w:tblStyle w:val="Table"/>
        <w:tblW w:type="pct" w:w="4946"/>
        <w:tblLayout w:type="fixed"/>
        <w:tblLook w:firstRow="1" w:lastRow="0" w:firstColumn="0" w:lastColumn="0" w:noHBand="0" w:noVBand="0" w:val="0020"/>
      </w:tblPr>
      <w:tblGrid>
        <w:gridCol w:w="428"/>
        <w:gridCol w:w="1327"/>
        <w:gridCol w:w="3039"/>
        <w:gridCol w:w="30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</w:t>
            </w:r>
          </w:p>
        </w:tc>
        <w:tc>
          <w:tcPr/>
          <w:p>
            <w:pPr>
              <w:pStyle w:val="Compac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1</w:t>
            </w:r>
          </w:p>
        </w:tc>
        <w:tc>
          <w:tcPr/>
          <w:p>
            <w:pPr>
              <w:pStyle w:val="Compac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</w:t>
            </w:r>
          </w:p>
        </w:tc>
        <w:tc>
          <w:tcPr/>
          <w:p>
            <w:pPr>
              <w:pStyle w:val="Compac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3</w:t>
            </w:r>
          </w:p>
        </w:tc>
        <w:tc>
          <w:tcPr/>
          <w:p>
            <w:pPr>
              <w:pStyle w:val="Compac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4</w:t>
            </w:r>
          </w:p>
        </w:tc>
        <w:tc>
          <w:tcPr/>
          <w:p>
            <w:pPr>
              <w:pStyle w:val="Compac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5</w:t>
            </w:r>
          </w:p>
        </w:tc>
        <w:tc>
          <w:tcPr/>
          <w:p>
            <w:pPr>
              <w:pStyle w:val="Compac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6</w:t>
            </w:r>
          </w:p>
        </w:tc>
        <w:tc>
          <w:tcPr/>
          <w:p>
            <w:pPr>
              <w:pStyle w:val="Compac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7</w:t>
            </w:r>
          </w:p>
        </w:tc>
        <w:tc>
          <w:tcPr/>
          <w:p>
            <w:pPr>
              <w:pStyle w:val="Compac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</w:pPr>
            <w:r>
              <w:t xml:space="preserve">Personalized care, genomic analytics</w:t>
            </w:r>
          </w:p>
        </w:tc>
      </w:tr>
    </w:tbl>
    <w:bookmarkEnd w:id="9"/>
    <w:bookmarkStart w:id="13" w:name="Xafdc6f5709a984387b887f928d997299a99e485"/>
    <w:p>
      <w:pPr>
        <w:pStyle w:val="Heading2"/>
      </w:pPr>
      <w:r>
        <w:t xml:space="preserve">Appendix B: Healthcare NL2SQL Query Examples</w:t>
      </w:r>
    </w:p>
    <w:bookmarkStart w:id="10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Aligned with NCQA HEDIS measures for Comprehensive Diabetes Care (CDC), monitoring HbA1c testing compliance in older adult populations.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10"/>
    <w:bookmarkStart w:id="11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1"/>
    <w:bookmarkStart w:id="12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</dc:creator>
  <dc:language>en-US</dc:language>
  <cp:keywords/>
  <dcterms:created xsi:type="dcterms:W3CDTF">2026-01-15T17:24:04Z</dcterms:created>
  <dcterms:modified xsi:type="dcterms:W3CDTF">2026-01-15T17:24:04Z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