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convergence of challenges that affect their ability to leverage data for improved patient outcomes and operational efficiency. This research examines evidence across three interconnected domains: persistently low healthcare analytics maturity, significant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healthcare IT staff turnover was measured at 34% (as of 2004) [A10]—the highest among IT sectors at that time—creating institutional memory loss with knowledge loss costs reaching three times annual salary budgets [A24].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functioning as healthcare knowledge portals [A25] that preserve institutional knowledge through encoded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This review identifies an analytical framework connecting these challenges. The three-pillar model presented herein offers healthcare organizations a structured approach for assessing their analytics capabilities, workforce knowledge vulnerabilities, and technical barriers to data access.</w:t>
      </w:r>
    </w:p>
    <w:bookmarkEnd w:id="20"/>
    <w:bookmarkStart w:id="32"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mission—or worse, that divert resources and attention without improving care delivery—represent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[A10]—the highest rate among all IT organization types studied at that time—creating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low-healthcare-analytics-maturity"/>
    <w:p>
      <w:pPr>
        <w:pStyle w:val="Heading3"/>
      </w:pPr>
      <w:r>
        <w:rPr>
          <w:rStyle w:val="SectionNumber"/>
        </w:rPr>
        <w:t xml:space="preserve">2.2.1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2"/>
    <w:bookmarkStart w:id="23" w:name="technical-barriers-to-data-access"/>
    <w:p>
      <w:pPr>
        <w:pStyle w:val="Heading3"/>
      </w:pPr>
      <w:r>
        <w:rPr>
          <w:rStyle w:val="SectionNumber"/>
        </w:rPr>
        <w:t xml:space="preserve">2.2.2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3"/>
    <w:bookmarkStart w:id="24" w:name="Xbcc4dadd7fefc7631b0e8a8a9c4816ce0327f63"/>
    <w:p>
      <w:pPr>
        <w:pStyle w:val="Heading3"/>
      </w:pPr>
      <w:r>
        <w:rPr>
          <w:rStyle w:val="SectionNumber"/>
        </w:rPr>
        <w:t xml:space="preserve">2.2.3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8"/>
    <w:bookmarkEnd w:id="29"/>
    <w:bookmarkStart w:id="30" w:name="contributions"/>
    <w:p>
      <w:pPr>
        <w:pStyle w:val="Heading2"/>
      </w:pPr>
      <w:r>
        <w:rPr>
          <w:rStyle w:val="SectionNumber"/>
        </w:rPr>
        <w:t xml:space="preserve">2.4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domains—healthcare analytics maturity, workforce turnover, and natural language processing—into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30"/>
    <w:bookmarkStart w:id="31" w:name="document-structure"/>
    <w:p>
      <w:pPr>
        <w:pStyle w:val="Heading2"/>
      </w:pPr>
      <w:r>
        <w:rPr>
          <w:rStyle w:val="SectionNumber"/>
        </w:rPr>
        <w:t xml:space="preserve">2.5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1"/>
    <w:bookmarkEnd w:id="32"/>
    <w:bookmarkStart w:id="39" w:name="methodology"/>
    <w:p>
      <w:pPr>
        <w:pStyle w:val="Heading1"/>
      </w:pPr>
      <w:r>
        <w:rPr>
          <w:rStyle w:val="SectionNumber"/>
        </w:rPr>
        <w:t xml:space="preserve">3</w:t>
      </w:r>
      <w:r>
        <w:tab/>
      </w:r>
      <w:r>
        <w:t xml:space="preserve">Methodology</w:t>
      </w:r>
    </w:p>
    <w:bookmarkStart w:id="33" w:name="review-approach"/>
    <w:p>
      <w:pPr>
        <w:pStyle w:val="Heading2"/>
      </w:pPr>
      <w:r>
        <w:rPr>
          <w:rStyle w:val="SectionNumber"/>
        </w:rPr>
        <w:t xml:space="preserve">3.1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3"/>
    <w:bookmarkStart w:id="34" w:name="literature-search"/>
    <w:p>
      <w:pPr>
        <w:pStyle w:val="Heading2"/>
      </w:pPr>
      <w:r>
        <w:rPr>
          <w:rStyle w:val="SectionNumber"/>
        </w:rPr>
        <w:t xml:space="preserve">3.2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4"/>
    <w:bookmarkStart w:id="35" w:name="source-selection"/>
    <w:p>
      <w:pPr>
        <w:pStyle w:val="Heading2"/>
      </w:pPr>
      <w:r>
        <w:rPr>
          <w:rStyle w:val="SectionNumber"/>
        </w:rPr>
        <w:t xml:space="preserve">3.3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5"/>
    <w:bookmarkStart w:id="36" w:name="evidence-synthesis"/>
    <w:p>
      <w:pPr>
        <w:pStyle w:val="Heading2"/>
      </w:pPr>
      <w:r>
        <w:rPr>
          <w:rStyle w:val="SectionNumber"/>
        </w:rPr>
        <w:t xml:space="preserve">3.4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6"/>
    <w:bookmarkStart w:id="37" w:name="grey-literature-quality-assessment"/>
    <w:p>
      <w:pPr>
        <w:pStyle w:val="Heading2"/>
      </w:pPr>
      <w:r>
        <w:rPr>
          <w:rStyle w:val="SectionNumber"/>
        </w:rPr>
        <w:t xml:space="preserve">3.5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7"/>
    <w:bookmarkStart w:id="38" w:name="methodological-limitations"/>
    <w:p>
      <w:pPr>
        <w:pStyle w:val="Heading2"/>
      </w:pPr>
      <w:r>
        <w:rPr>
          <w:rStyle w:val="SectionNumber"/>
        </w:rPr>
        <w:t xml:space="preserve">3.6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8"/>
    <w:bookmarkEnd w:id="39"/>
    <w:bookmarkStart w:id="43" w:name="framework-development-and-validation"/>
    <w:p>
      <w:pPr>
        <w:pStyle w:val="Heading1"/>
      </w:pPr>
      <w:r>
        <w:rPr>
          <w:rStyle w:val="SectionNumber"/>
        </w:rPr>
        <w:t xml:space="preserve">4</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40" w:name="framework-development-process"/>
    <w:p>
      <w:pPr>
        <w:pStyle w:val="Heading2"/>
      </w:pPr>
      <w:r>
        <w:rPr>
          <w:rStyle w:val="SectionNumber"/>
        </w:rPr>
        <w:t xml:space="preserve">4.1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40"/>
    <w:bookmarkStart w:id="41" w:name="theoretical-grounding"/>
    <w:p>
      <w:pPr>
        <w:pStyle w:val="Heading2"/>
      </w:pPr>
      <w:r>
        <w:rPr>
          <w:rStyle w:val="SectionNumber"/>
        </w:rPr>
        <w:t xml:space="preserve">4.2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1"/>
    <w:bookmarkStart w:id="42" w:name="framework-scope-and-limitations"/>
    <w:p>
      <w:pPr>
        <w:pStyle w:val="Heading2"/>
      </w:pPr>
      <w:r>
        <w:rPr>
          <w:rStyle w:val="SectionNumber"/>
        </w:rPr>
        <w:t xml:space="preserve">4.3</w:t>
      </w:r>
      <w:r>
        <w:tab/>
      </w:r>
      <w:r>
        <w:t xml:space="preserve">Framework Scope and Limitations</w:t>
      </w:r>
    </w:p>
    <w:p>
      <w:pPr>
        <w:pStyle w:val="FirstParagraph"/>
      </w:pPr>
      <w:r>
        <w:t xml:space="preserve">The framework is descriptive rather than prescriptive—it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2"/>
    <w:bookmarkEnd w:id="43"/>
    <w:bookmarkStart w:id="68" w:name="X85f1c6778b7ce1289d057c0d7f7b4fecbd614f8"/>
    <w:p>
      <w:pPr>
        <w:pStyle w:val="Heading1"/>
      </w:pPr>
      <w:r>
        <w:rPr>
          <w:rStyle w:val="SectionNumber"/>
        </w:rPr>
        <w:t xml:space="preserve">5</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7" w:name="X79e53be5adb6b9863f8ca49c43cb7059ea634a1"/>
    <w:p>
      <w:pPr>
        <w:pStyle w:val="Heading2"/>
      </w:pPr>
      <w:r>
        <w:rPr>
          <w:rStyle w:val="SectionNumber"/>
        </w:rPr>
        <w:t xml:space="preserve">5.1</w:t>
      </w:r>
      <w:r>
        <w:tab/>
      </w:r>
      <w:r>
        <w:t xml:space="preserve">1. Current State of Natural Language to SQL Generation</w:t>
      </w:r>
    </w:p>
    <w:bookmarkStart w:id="44" w:name="evolution-and-technical-advances"/>
    <w:p>
      <w:pPr>
        <w:pStyle w:val="Heading3"/>
      </w:pPr>
      <w:r>
        <w:rPr>
          <w:rStyle w:val="SectionNumber"/>
        </w:rPr>
        <w:t xml:space="preserve">5.1.1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4"/>
    <w:bookmarkStart w:id="45" w:name="healthcare-specific-challenges"/>
    <w:p>
      <w:pPr>
        <w:pStyle w:val="Heading3"/>
      </w:pPr>
      <w:r>
        <w:rPr>
          <w:rStyle w:val="SectionNumber"/>
        </w:rPr>
        <w:t xml:space="preserve">5.1.2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5"/>
    <w:bookmarkStart w:id="46" w:name="promising-approaches-and-limitations"/>
    <w:p>
      <w:pPr>
        <w:pStyle w:val="Heading3"/>
      </w:pPr>
      <w:r>
        <w:rPr>
          <w:rStyle w:val="SectionNumber"/>
        </w:rPr>
        <w:t xml:space="preserve">5.1.3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6"/>
    <w:bookmarkEnd w:id="47"/>
    <w:bookmarkStart w:id="51" w:name="state-of-healthcare-analytics-maturity"/>
    <w:p>
      <w:pPr>
        <w:pStyle w:val="Heading2"/>
      </w:pPr>
      <w:r>
        <w:rPr>
          <w:rStyle w:val="SectionNumber"/>
        </w:rPr>
        <w:t xml:space="preserve">5.2</w:t>
      </w:r>
      <w:r>
        <w:tab/>
      </w:r>
      <w:r>
        <w:t xml:space="preserve">2. State of Healthcare Analytics Maturity</w:t>
      </w:r>
    </w:p>
    <w:bookmarkStart w:id="48" w:name="low-organizational-maturity"/>
    <w:p>
      <w:pPr>
        <w:pStyle w:val="Heading3"/>
      </w:pPr>
      <w:r>
        <w:rPr>
          <w:rStyle w:val="SectionNumber"/>
        </w:rPr>
        <w:t xml:space="preserve">5.2.1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8"/>
    <w:bookmarkStart w:id="49" w:name="barriers-to-analytics-adoption"/>
    <w:p>
      <w:pPr>
        <w:pStyle w:val="Heading3"/>
      </w:pPr>
      <w:r>
        <w:rPr>
          <w:rStyle w:val="SectionNumber"/>
        </w:rPr>
        <w:t xml:space="preserve">5.2.2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9"/>
    <w:bookmarkStart w:id="50" w:name="the-analytics-skills-gap"/>
    <w:p>
      <w:pPr>
        <w:pStyle w:val="Heading3"/>
      </w:pPr>
      <w:r>
        <w:rPr>
          <w:rStyle w:val="SectionNumber"/>
        </w:rPr>
        <w:t xml:space="preserve">5.2.3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50"/>
    <w:bookmarkEnd w:id="51"/>
    <w:bookmarkStart w:id="55" w:name="X033aaa01add75caa19416ed7b909f71ff5bd76d"/>
    <w:p>
      <w:pPr>
        <w:pStyle w:val="Heading2"/>
      </w:pPr>
      <w:r>
        <w:rPr>
          <w:rStyle w:val="SectionNumber"/>
        </w:rPr>
        <w:t xml:space="preserve">5.3</w:t>
      </w:r>
      <w:r>
        <w:tab/>
      </w:r>
      <w:r>
        <w:t xml:space="preserve">3. Healthcare Workforce Turnover and Knowledge Loss</w:t>
      </w:r>
    </w:p>
    <w:bookmarkStart w:id="52" w:name="turnover-rates-and-financial-impact"/>
    <w:p>
      <w:pPr>
        <w:pStyle w:val="Heading3"/>
      </w:pPr>
      <w:r>
        <w:rPr>
          <w:rStyle w:val="SectionNumber"/>
        </w:rPr>
        <w:t xml:space="preserve">5.3.1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institutions—where IT serves as a support function rather than core business—had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departing—creating a perpetual cycle where organizations lose experienced staff before fully recouping their training investment.</w:t>
      </w:r>
    </w:p>
    <w:bookmarkEnd w:id="52"/>
    <w:bookmarkStart w:id="53" w:name="institutional-memory-loss"/>
    <w:p>
      <w:pPr>
        <w:pStyle w:val="Heading3"/>
      </w:pPr>
      <w:r>
        <w:rPr>
          <w:rStyle w:val="SectionNumber"/>
        </w:rPr>
        <w:t xml:space="preserve">5.3.2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3"/>
    <w:bookmarkStart w:id="54" w:name="traditional-approaches-inadequate"/>
    <w:p>
      <w:pPr>
        <w:pStyle w:val="Heading3"/>
      </w:pPr>
      <w:r>
        <w:rPr>
          <w:rStyle w:val="SectionNumber"/>
        </w:rPr>
        <w:t xml:space="preserve">5.3.3</w:t>
      </w:r>
      <w:r>
        <w:tab/>
      </w:r>
      <w:r>
        <w:t xml:space="preserve">Traditional Approaches Inadequate</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4"/>
    <w:bookmarkEnd w:id="55"/>
    <w:bookmarkStart w:id="59" w:name="X4fcdb465b5d130fc136a191f4ad96d06b004362"/>
    <w:p>
      <w:pPr>
        <w:pStyle w:val="Heading2"/>
      </w:pPr>
      <w:r>
        <w:rPr>
          <w:rStyle w:val="SectionNumber"/>
        </w:rPr>
        <w:t xml:space="preserve">5.4</w:t>
      </w:r>
      <w:r>
        <w:tab/>
      </w:r>
      <w:r>
        <w:t xml:space="preserve">4. Integration of Evidence: The Case for Conversational AI</w:t>
      </w:r>
    </w:p>
    <w:bookmarkStart w:id="56" w:name="bridging-technical-and-domain-expertise"/>
    <w:p>
      <w:pPr>
        <w:pStyle w:val="Heading3"/>
      </w:pPr>
      <w:r>
        <w:rPr>
          <w:rStyle w:val="SectionNumber"/>
        </w:rPr>
        <w:t xml:space="preserve">5.4.1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56"/>
    <w:bookmarkStart w:id="57" w:name="knowledge-preservation-mechanisms"/>
    <w:p>
      <w:pPr>
        <w:pStyle w:val="Heading3"/>
      </w:pPr>
      <w:r>
        <w:rPr>
          <w:rStyle w:val="SectionNumber"/>
        </w:rPr>
        <w:t xml:space="preserve">5.4.2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7"/>
    <w:bookmarkStart w:id="58" w:name="X6d083e238594fa23b80808bd7cfd83ad906b4ff"/>
    <w:p>
      <w:pPr>
        <w:pStyle w:val="Heading3"/>
      </w:pPr>
      <w:r>
        <w:rPr>
          <w:rStyle w:val="SectionNumber"/>
        </w:rPr>
        <w:t xml:space="preserve">5.4.3</w:t>
      </w:r>
      <w:r>
        <w:tab/>
      </w:r>
      <w:r>
        <w:t xml:space="preserve">Empirical Support for Low-Code Healthcare Solutions</w:t>
      </w:r>
    </w:p>
    <w:p>
      <w:pPr>
        <w:pStyle w:val="FirstParagraph"/>
      </w:pPr>
      <w:r>
        <w:t xml:space="preserve">Academic research provides growing evidence for low-code and AI-driven approaches in healthcare.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Industry implementations provide additional validation.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Pennington [A22] found AI in revenue cycle management accelerated payment cycles from 90 days to 40 days, while Atobatele et al. [A23] documented how low-code platforms enable non-technical staff to build applications, leading to efficiency gains.</w:t>
      </w:r>
    </w:p>
    <w:bookmarkEnd w:id="58"/>
    <w:bookmarkEnd w:id="59"/>
    <w:bookmarkStart w:id="63" w:name="Xe532debb859e62ad2038db373f15ff8608a8c3a"/>
    <w:p>
      <w:pPr>
        <w:pStyle w:val="Heading2"/>
      </w:pPr>
      <w:r>
        <w:rPr>
          <w:rStyle w:val="SectionNumber"/>
        </w:rPr>
        <w:t xml:space="preserve">5.5</w:t>
      </w:r>
      <w:r>
        <w:tab/>
      </w:r>
      <w:r>
        <w:t xml:space="preserve">5. Implications for Healthcare Organizations</w:t>
      </w:r>
    </w:p>
    <w:bookmarkStart w:id="60" w:name="strategic-alignment-with-industry-trends"/>
    <w:p>
      <w:pPr>
        <w:pStyle w:val="Heading3"/>
      </w:pPr>
      <w:r>
        <w:rPr>
          <w:rStyle w:val="SectionNumber"/>
        </w:rPr>
        <w:t xml:space="preserve">5.5.1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60"/>
    <w:bookmarkStart w:id="61" w:name="return-on-investment-evidence"/>
    <w:p>
      <w:pPr>
        <w:pStyle w:val="Heading3"/>
      </w:pPr>
      <w:r>
        <w:rPr>
          <w:rStyle w:val="SectionNumber"/>
        </w:rPr>
        <w:t xml:space="preserve">5.5.2</w:t>
      </w:r>
      <w:r>
        <w:tab/>
      </w:r>
      <w:r>
        <w:t xml:space="preserve">Return on Investment Evidence</w:t>
      </w:r>
    </w:p>
    <w:p>
      <w:pPr>
        <w:pStyle w:val="FirstParagraph"/>
      </w:pPr>
      <w:r>
        <w:t xml:space="preserve">Academic research documents multiple pathways to ROI for low-code and conversational AI implementations.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Sezgin et al. [A19] proposed chatbot implementations that reduce clinic overhead.</w:t>
      </w:r>
    </w:p>
    <w:p>
      <w:pPr>
        <w:pStyle w:val="BodyText"/>
      </w:pPr>
      <w:r>
        <w:t xml:space="preserve">Industry-sponsored research from Forrester [I5] projects 206% three-year ROI from Power Platform implementations; however, these figures should be interpreted cautiously given vendor sponsorship. Market research supports continued investment: Precedence Research [I7] projects the healthcare analytics market to grow from $64.49 billion in 2025 to $369.66 billion by 2034 (21.41% CAGR), driven by demand for accessible analytics solutions.</w:t>
      </w:r>
    </w:p>
    <w:bookmarkEnd w:id="61"/>
    <w:bookmarkStart w:id="62" w:name="Xe6fa002d43c62898b44d68560b42a19c9fcb56d"/>
    <w:p>
      <w:pPr>
        <w:pStyle w:val="Heading3"/>
      </w:pPr>
      <w:r>
        <w:rPr>
          <w:rStyle w:val="SectionNumber"/>
        </w:rPr>
        <w:t xml:space="preserve">5.5.3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2"/>
    <w:bookmarkEnd w:id="63"/>
    <w:bookmarkStart w:id="64" w:name="gaps-in-current-literature"/>
    <w:p>
      <w:pPr>
        <w:pStyle w:val="Heading2"/>
      </w:pPr>
      <w:r>
        <w:rPr>
          <w:rStyle w:val="SectionNumber"/>
        </w:rPr>
        <w:t xml:space="preserve">5.6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bookmarkEnd w:id="64"/>
    <w:bookmarkStart w:id="67" w:name="why-the-problem-persists"/>
    <w:p>
      <w:pPr>
        <w:pStyle w:val="Heading2"/>
      </w:pPr>
      <w:r>
        <w:rPr>
          <w:rStyle w:val="SectionNumber"/>
        </w:rPr>
        <w:t xml:space="preserve">5.7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5" w:name="failed-standardization-approaches"/>
    <w:p>
      <w:pPr>
        <w:pStyle w:val="Heading3"/>
      </w:pPr>
      <w:r>
        <w:rPr>
          <w:rStyle w:val="SectionNumber"/>
        </w:rPr>
        <w:t xml:space="preserve">5.7.1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venture—backed by Amazon, Berkshire Hathaway, and JPMorgan Chase—disbanded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5"/>
    <w:bookmarkStart w:id="66" w:name="deployment-constraint-mismatch"/>
    <w:p>
      <w:pPr>
        <w:pStyle w:val="Heading3"/>
      </w:pPr>
      <w:r>
        <w:rPr>
          <w:rStyle w:val="SectionNumber"/>
        </w:rPr>
        <w:t xml:space="preserve">5.7.2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6"/>
    <w:bookmarkEnd w:id="67"/>
    <w:bookmarkEnd w:id="68"/>
    <w:bookmarkStart w:id="89" w:name="discussion"/>
    <w:p>
      <w:pPr>
        <w:pStyle w:val="Heading1"/>
      </w:pPr>
      <w:r>
        <w:rPr>
          <w:rStyle w:val="SectionNumber"/>
        </w:rPr>
        <w:t xml:space="preserve">6</w:t>
      </w:r>
      <w:r>
        <w:tab/>
      </w:r>
      <w:r>
        <w:t xml:space="preserve">Discussion</w:t>
      </w:r>
    </w:p>
    <w:bookmarkStart w:id="74"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9" w:name="validated-benchmarking-data"/>
    <w:p>
      <w:pPr>
        <w:pStyle w:val="Heading3"/>
      </w:pPr>
      <w:r>
        <w:rPr>
          <w:rStyle w:val="SectionNumber"/>
        </w:rPr>
        <w:t xml:space="preserve">6.1.1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9"/>
    <w:bookmarkStart w:id="70" w:name="real-world-implementation-evidence"/>
    <w:p>
      <w:pPr>
        <w:pStyle w:val="Heading3"/>
      </w:pPr>
      <w:r>
        <w:rPr>
          <w:rStyle w:val="SectionNumber"/>
        </w:rPr>
        <w:t xml:space="preserve">6.1.2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70"/>
    <w:bookmarkStart w:id="71" w:name="X4bdb3f96981e95785fd307c52a030d26fb6f97c"/>
    <w:p>
      <w:pPr>
        <w:pStyle w:val="Heading3"/>
      </w:pPr>
      <w:r>
        <w:rPr>
          <w:rStyle w:val="SectionNumber"/>
        </w:rPr>
        <w:t xml:space="preserve">6.1.3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1"/>
    <w:bookmarkStart w:id="72" w:name="strong-economic-justification"/>
    <w:p>
      <w:pPr>
        <w:pStyle w:val="Heading3"/>
      </w:pPr>
      <w:r>
        <w:rPr>
          <w:rStyle w:val="SectionNumber"/>
        </w:rPr>
        <w:t xml:space="preserve">6.1.4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2"/>
    <w:bookmarkStart w:id="73" w:name="honest-assessment-of-limitations"/>
    <w:p>
      <w:pPr>
        <w:pStyle w:val="Heading3"/>
      </w:pPr>
      <w:r>
        <w:rPr>
          <w:rStyle w:val="SectionNumber"/>
        </w:rPr>
        <w:t xml:space="preserve">6.1.5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3"/>
    <w:bookmarkEnd w:id="74"/>
    <w:bookmarkStart w:id="8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75" w:name="implementation-complexity"/>
    <w:p>
      <w:pPr>
        <w:pStyle w:val="Heading3"/>
      </w:pPr>
      <w:r>
        <w:rPr>
          <w:rStyle w:val="SectionNumber"/>
        </w:rPr>
        <w:t xml:space="preserve">6.2.1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5"/>
    <w:bookmarkStart w:id="76" w:name="X45f8c7a46a04784e9744b636e11bc2977732e83"/>
    <w:p>
      <w:pPr>
        <w:pStyle w:val="Heading3"/>
      </w:pPr>
      <w:r>
        <w:rPr>
          <w:rStyle w:val="SectionNumber"/>
        </w:rPr>
        <w:t xml:space="preserve">6.2.2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6"/>
    <w:bookmarkStart w:id="77" w:name="long-term-outcome-uncertainties"/>
    <w:p>
      <w:pPr>
        <w:pStyle w:val="Heading3"/>
      </w:pPr>
      <w:r>
        <w:rPr>
          <w:rStyle w:val="SectionNumber"/>
        </w:rPr>
        <w:t xml:space="preserve">6.2.3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7"/>
    <w:bookmarkStart w:id="78" w:name="X2274a69eeb0cb360e25f4a0c6de53a1a41ef3b2"/>
    <w:p>
      <w:pPr>
        <w:pStyle w:val="Heading3"/>
      </w:pPr>
      <w:r>
        <w:rPr>
          <w:rStyle w:val="SectionNumber"/>
        </w:rPr>
        <w:t xml:space="preserve">6.2.4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8"/>
    <w:bookmarkStart w:id="79" w:name="specialty-specific-application-gaps"/>
    <w:p>
      <w:pPr>
        <w:pStyle w:val="Heading3"/>
      </w:pPr>
      <w:r>
        <w:rPr>
          <w:rStyle w:val="SectionNumber"/>
        </w:rPr>
        <w:t xml:space="preserve">6.2.5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9"/>
    <w:bookmarkStart w:id="80" w:name="methodological-considerations"/>
    <w:p>
      <w:pPr>
        <w:pStyle w:val="Heading3"/>
      </w:pPr>
      <w:r>
        <w:rPr>
          <w:rStyle w:val="SectionNumber"/>
        </w:rPr>
        <w:t xml:space="preserve">6.2.6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0"/>
    <w:bookmarkEnd w:id="81"/>
    <w:bookmarkStart w:id="8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82" w:name="short-term-research-priorities-1-year"/>
    <w:p>
      <w:pPr>
        <w:pStyle w:val="Heading3"/>
      </w:pPr>
      <w:r>
        <w:rPr>
          <w:rStyle w:val="SectionNumber"/>
        </w:rPr>
        <w:t xml:space="preserve">6.3.1</w:t>
      </w:r>
      <w:r>
        <w:tab/>
      </w:r>
      <w:r>
        <w:t xml:space="preserve">Short-Term Research Priorities (&lt;1 year)</w:t>
      </w:r>
    </w:p>
    <w:p>
      <w:pPr>
        <w:pStyle w:val="Compact"/>
        <w:numPr>
          <w:ilvl w:val="0"/>
          <w:numId w:val="1017"/>
        </w:numPr>
      </w:pPr>
      <w:r>
        <w:rPr>
          <w:b/>
          <w:bCs/>
        </w:rPr>
        <w:t xml:space="preserve">Specialty Domain Validation</w:t>
      </w:r>
      <w:r>
        <w:t xml:space="preserve">: Empirical studies in specialized clinical areas to validate generalizability</w:t>
      </w:r>
    </w:p>
    <w:p>
      <w:pPr>
        <w:pStyle w:val="Compact"/>
        <w:numPr>
          <w:ilvl w:val="0"/>
          <w:numId w:val="1017"/>
        </w:numPr>
      </w:pPr>
      <w:r>
        <w:rPr>
          <w:b/>
          <w:bCs/>
        </w:rPr>
        <w:t xml:space="preserve">Governance Framework Development</w:t>
      </w:r>
      <w:r>
        <w:t xml:space="preserve">: Research on optimal governance models for democratized analytics</w:t>
      </w:r>
    </w:p>
    <w:p>
      <w:pPr>
        <w:pStyle w:val="Compact"/>
        <w:numPr>
          <w:ilvl w:val="0"/>
          <w:numId w:val="1017"/>
        </w:numPr>
      </w:pPr>
      <w:r>
        <w:rPr>
          <w:b/>
          <w:bCs/>
        </w:rPr>
        <w:t xml:space="preserve">Integration Pattern Analysis</w:t>
      </w:r>
      <w:r>
        <w:t xml:space="preserve">: Technical research on architectural patterns for healthcare IT ecosystem integration</w:t>
      </w:r>
    </w:p>
    <w:bookmarkEnd w:id="82"/>
    <w:bookmarkStart w:id="8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w:t>
      </w:r>
    </w:p>
    <w:p>
      <w:pPr>
        <w:pStyle w:val="Compact"/>
        <w:numPr>
          <w:ilvl w:val="0"/>
          <w:numId w:val="1018"/>
        </w:numPr>
      </w:pPr>
      <w:r>
        <w:rPr>
          <w:b/>
          <w:bCs/>
        </w:rPr>
        <w:t xml:space="preserve">Training Methodology Optimization</w:t>
      </w:r>
      <w:r>
        <w:t xml:space="preserve">: Evidence-based approaches for transitioning from traditional to conversational analytics</w:t>
      </w:r>
    </w:p>
    <w:bookmarkEnd w:id="83"/>
    <w:bookmarkStart w:id="84" w:name="long-term-research-priorities-2-years"/>
    <w:p>
      <w:pPr>
        <w:pStyle w:val="Heading3"/>
      </w:pPr>
      <w:r>
        <w:rPr>
          <w:rStyle w:val="SectionNumber"/>
        </w:rPr>
        <w:t xml:space="preserve">6.3.3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Predictive Analytics Integration</w:t>
      </w:r>
      <w:r>
        <w:t xml:space="preserve">: Research on combining conversational interfaces with advanced predictive modeling</w:t>
      </w:r>
    </w:p>
    <w:bookmarkEnd w:id="84"/>
    <w:bookmarkEnd w:id="85"/>
    <w:bookmarkStart w:id="88"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implications for healthcare leaders considering analytics strategy:</w:t>
      </w:r>
    </w:p>
    <w:bookmarkStart w:id="86" w:name="X2f23efe7d260cae22651f913590ba1e30f02493"/>
    <w:p>
      <w:pPr>
        <w:pStyle w:val="Heading3"/>
      </w:pPr>
      <w:r>
        <w:rPr>
          <w:rStyle w:val="SectionNumber"/>
        </w:rPr>
        <w:t xml:space="preserve">6.4.1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6"/>
    <w:bookmarkStart w:id="87" w:name="implementation-considerations"/>
    <w:p>
      <w:pPr>
        <w:pStyle w:val="Heading3"/>
      </w:pPr>
      <w:r>
        <w:rPr>
          <w:rStyle w:val="SectionNumber"/>
        </w:rPr>
        <w:t xml:space="preserve">6.4.2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7"/>
    <w:bookmarkEnd w:id="88"/>
    <w:bookmarkEnd w:id="89"/>
    <w:bookmarkStart w:id="96" w:name="conclusion"/>
    <w:p>
      <w:pPr>
        <w:pStyle w:val="Heading1"/>
      </w:pPr>
      <w:r>
        <w:rPr>
          <w:rStyle w:val="SectionNumber"/>
        </w:rPr>
        <w:t xml:space="preserve">7</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90" w:name="the-dual-dimensions-of-harm"/>
    <w:p>
      <w:pPr>
        <w:pStyle w:val="Heading2"/>
      </w:pPr>
      <w:r>
        <w:rPr>
          <w:rStyle w:val="SectionNumber"/>
        </w:rPr>
        <w:t xml:space="preserve">7.1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90"/>
    <w:bookmarkStart w:id="91" w:name="summary-of-contributions"/>
    <w:p>
      <w:pPr>
        <w:pStyle w:val="Heading2"/>
      </w:pPr>
      <w:r>
        <w:rPr>
          <w:rStyle w:val="SectionNumber"/>
        </w:rPr>
        <w:t xml:space="preserve">7.2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1"/>
    <w:bookmarkStart w:id="92" w:name="key-findings"/>
    <w:p>
      <w:pPr>
        <w:pStyle w:val="Heading2"/>
      </w:pPr>
      <w:r>
        <w:rPr>
          <w:rStyle w:val="SectionNumber"/>
        </w:rPr>
        <w:t xml:space="preserve">7.3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[A10]—the highest among IT sectors at that time—and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2"/>
    <w:bookmarkStart w:id="93" w:name="X763cadd1601e4aaf67a245ab2df69f095516d3d"/>
    <w:p>
      <w:pPr>
        <w:pStyle w:val="Heading2"/>
      </w:pPr>
      <w:r>
        <w:rPr>
          <w:rStyle w:val="SectionNumber"/>
        </w:rPr>
        <w:t xml:space="preserve">7.4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3"/>
    <w:bookmarkStart w:id="94" w:name="future-research-directions-1"/>
    <w:p>
      <w:pPr>
        <w:pStyle w:val="Heading2"/>
      </w:pPr>
      <w:r>
        <w:rPr>
          <w:rStyle w:val="SectionNumber"/>
        </w:rPr>
        <w:t xml:space="preserve">7.5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Specialty-specific validation</w:t>
      </w:r>
      <w:r>
        <w:t xml:space="preserve">: Evidence primarily addresses general acute care settings; specialized clinical domains (oncology, cardiology, mental health) require targeted investigation</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p>
      <w:pPr>
        <w:numPr>
          <w:ilvl w:val="0"/>
          <w:numId w:val="1026"/>
        </w:numPr>
      </w:pPr>
      <w:r>
        <w:rPr>
          <w:b/>
          <w:bCs/>
        </w:rPr>
        <w:t xml:space="preserve">Comparative effectiveness</w:t>
      </w:r>
      <w:r>
        <w:t xml:space="preserve">: Head-to-head comparisons of different technological approaches to addressing the three-pillar challenges remain sparse</w:t>
      </w:r>
    </w:p>
    <w:bookmarkEnd w:id="94"/>
    <w:bookmarkStart w:id="95" w:name="closing-reflection"/>
    <w:p>
      <w:pPr>
        <w:pStyle w:val="Heading2"/>
      </w:pPr>
      <w:r>
        <w:rPr>
          <w:rStyle w:val="SectionNumber"/>
        </w:rPr>
        <w:t xml:space="preserve">7.6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review—institutional memory loss, analytics capability gaps, and technical barriers to data access—merit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5"/>
    <w:bookmarkEnd w:id="96"/>
    <w:bookmarkStart w:id="97" w:name="acknowledgments"/>
    <w:p>
      <w:pPr>
        <w:pStyle w:val="Heading1"/>
      </w:pPr>
      <w:r>
        <w:rPr>
          <w:rStyle w:val="SectionNumber"/>
        </w:rPr>
        <w:t xml:space="preserve">8</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7"/>
    <w:bookmarkStart w:id="98"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98"/>
    <w:bookmarkStart w:id="99" w:name="competing-interests"/>
    <w:p>
      <w:pPr>
        <w:pStyle w:val="Heading1"/>
      </w:pPr>
      <w:r>
        <w:rPr>
          <w:rStyle w:val="SectionNumber"/>
        </w:rPr>
        <w:t xml:space="preserve">10</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9"/>
    <w:bookmarkStart w:id="100" w:name="data-availability"/>
    <w:p>
      <w:pPr>
        <w:pStyle w:val="Heading1"/>
      </w:pPr>
      <w:r>
        <w:rPr>
          <w:rStyle w:val="SectionNumber"/>
        </w:rPr>
        <w:t xml:space="preserve">11</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0"/>
    <w:bookmarkStart w:id="101" w:name="code-availability"/>
    <w:p>
      <w:pPr>
        <w:pStyle w:val="Heading1"/>
      </w:pPr>
      <w:r>
        <w:rPr>
          <w:rStyle w:val="SectionNumber"/>
        </w:rPr>
        <w:t xml:space="preserve">12</w:t>
      </w:r>
      <w:r>
        <w:tab/>
      </w:r>
      <w:r>
        <w:t xml:space="preserve">Code Availability</w:t>
      </w:r>
    </w:p>
    <w:p>
      <w:pPr>
        <w:pStyle w:val="FirstParagraph"/>
      </w:pPr>
      <w:r>
        <w:t xml:space="preserve">Not applicable. No custom code was developed for this research.</w:t>
      </w:r>
    </w:p>
    <w:bookmarkEnd w:id="101"/>
    <w:bookmarkStart w:id="102" w:name="funding"/>
    <w:p>
      <w:pPr>
        <w:pStyle w:val="Heading1"/>
      </w:pPr>
      <w:r>
        <w:rPr>
          <w:rStyle w:val="SectionNumber"/>
        </w:rPr>
        <w:t xml:space="preserve">13</w:t>
      </w:r>
      <w:r>
        <w:tab/>
      </w:r>
      <w:r>
        <w:t xml:space="preserve">Funding</w:t>
      </w:r>
    </w:p>
    <w:p>
      <w:pPr>
        <w:pStyle w:val="FirstParagraph"/>
      </w:pPr>
      <w:r>
        <w:t xml:space="preserve">Yuimedi provided funding for the author’s time writing and researching this manuscript.</w:t>
      </w:r>
    </w:p>
    <w:bookmarkEnd w:id="102"/>
    <w:bookmarkStart w:id="105" w:name="references"/>
    <w:p>
      <w:pPr>
        <w:pStyle w:val="Heading1"/>
      </w:pPr>
      <w:r>
        <w:rPr>
          <w:rStyle w:val="SectionNumber"/>
        </w:rPr>
        <w:t xml:space="preserve">14</w:t>
      </w:r>
      <w:r>
        <w:tab/>
      </w:r>
      <w:r>
        <w:t xml:space="preserve">References</w:t>
      </w:r>
    </w:p>
    <w:bookmarkStart w:id="103" w:name="academic-sources"/>
    <w:p>
      <w:pPr>
        <w:pStyle w:val="Heading2"/>
      </w:pPr>
      <w:r>
        <w:rPr>
          <w:rStyle w:val="SectionNumber"/>
        </w:rPr>
        <w:t xml:space="preserve">14.1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3"/>
    <w:bookmarkStart w:id="104" w:name="industry-sources"/>
    <w:p>
      <w:pPr>
        <w:pStyle w:val="Heading2"/>
      </w:pPr>
      <w:r>
        <w:rPr>
          <w:rStyle w:val="SectionNumber"/>
        </w:rPr>
        <w:t xml:space="preserve">14.2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4"/>
    <w:bookmarkEnd w:id="105"/>
    <w:bookmarkStart w:id="112" w:name="appendices"/>
    <w:p>
      <w:pPr>
        <w:pStyle w:val="Heading1"/>
      </w:pPr>
      <w:r>
        <w:rPr>
          <w:rStyle w:val="SectionNumber"/>
        </w:rPr>
        <w:t xml:space="preserve">15</w:t>
      </w:r>
      <w:r>
        <w:tab/>
      </w:r>
      <w:r>
        <w:t xml:space="preserve">Appendices</w:t>
      </w:r>
    </w:p>
    <w:bookmarkStart w:id="106"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6"/>
    <w:bookmarkStart w:id="107"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7"/>
    <w:bookmarkStart w:id="111" w:name="Xbfd30549e6247e2f3e5132a039875af0e2849bb"/>
    <w:p>
      <w:pPr>
        <w:pStyle w:val="Heading2"/>
      </w:pPr>
      <w:r>
        <w:rPr>
          <w:rStyle w:val="SectionNumber"/>
        </w:rPr>
        <w:t xml:space="preserve">15.3</w:t>
      </w:r>
      <w:r>
        <w:tab/>
      </w:r>
      <w:r>
        <w:t xml:space="preserve">Appendix C: Healthcare NL2SQL Query Examples</w:t>
      </w:r>
    </w:p>
    <w:bookmarkStart w:id="108"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8"/>
    <w:bookmarkStart w:id="109" w:name="operational-metrics"/>
    <w:p>
      <w:pPr>
        <w:pStyle w:val="Heading3"/>
      </w:pPr>
      <w:r>
        <w:rPr>
          <w:rStyle w:val="SectionNumber"/>
        </w:rPr>
        <w:t xml:space="preserve">15.3.2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9"/>
    <w:bookmarkStart w:id="110"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10"/>
    <w:bookmarkEnd w:id="111"/>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2025-12-17T01:59:37Z</dcterms:created>
  <dcterms:modified xsi:type="dcterms:W3CDTF">2025-12-17T01:59:37Z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2004)—the highest among IT sectors at that time—creates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