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workforce</w:t>
      </w:r>
      <w:r>
        <w:t xml:space="preserve"> </w:t>
      </w:r>
      <w:r>
        <w:t xml:space="preserve">turnover</w:t>
      </w:r>
      <w:r>
        <w:t xml:space="preserve"> </w:t>
      </w:r>
      <w:r>
        <w:t xml:space="preserve">rates</w:t>
      </w:r>
      <w:r>
        <w:t xml:space="preserve"> </w:t>
      </w:r>
      <w:r>
        <w:t xml:space="preserve">of</w:t>
      </w:r>
      <w:r>
        <w:t xml:space="preserve"> </w:t>
      </w:r>
      <w:r>
        <w:t xml:space="preserve">8-36%</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show</w:t>
      </w:r>
      <w:r>
        <w:t xml:space="preserve"> </w:t>
      </w:r>
      <w:r>
        <w:t xml:space="preserve">206%</w:t>
      </w:r>
      <w:r>
        <w:t xml:space="preserve"> </w:t>
      </w:r>
      <w:r>
        <w:t xml:space="preserve">three-year</w:t>
      </w:r>
      <w:r>
        <w:t xml:space="preserve"> </w:t>
      </w:r>
      <w:r>
        <w:t xml:space="preserve">ROI.</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both</w:t>
      </w:r>
      <w:r>
        <w:t xml:space="preserve"> </w:t>
      </w:r>
      <w:r>
        <w:t xml:space="preserve">urgent</w:t>
      </w:r>
      <w:r>
        <w:t xml:space="preserve"> </w:t>
      </w:r>
      <w:r>
        <w:t xml:space="preserve">need</w:t>
      </w:r>
      <w:r>
        <w:t xml:space="preserve"> </w:t>
      </w:r>
      <w:r>
        <w:t xml:space="preserve">and</w:t>
      </w:r>
      <w:r>
        <w:t xml:space="preserve"> </w:t>
      </w:r>
      <w:r>
        <w:t xml:space="preserve">strategic</w:t>
      </w:r>
      <w:r>
        <w:t xml:space="preserve"> </w:t>
      </w:r>
      <w:r>
        <w:t xml:space="preserve">opportunity</w:t>
      </w:r>
      <w:r>
        <w:t xml:space="preserve"> </w:t>
      </w:r>
      <w:r>
        <w:t xml:space="preserve">for</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critical convergence of challenges that threaten their ability to leverage data for improved patient outcomes and operational efficiency. This research examines evidence supporting conversational AI platforms as a strategic solution to three interconnected problems: persistently low healthcare analytics maturity, devastating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annual turnover rates of 8-36% [A1, A2] create institutional memory loss with replacement costs reaching 1.5-2x annual salary [I6].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preserving institutional knowledge through embedded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The strategic imperative is clear: healthcare organizations must adopt conversational AI platforms to preserve institutional memory, advance analytics maturity, and enable evidence-based decision making in an era of unprecedented workforce challenges.</w:t>
      </w:r>
    </w:p>
    <w:bookmarkEnd w:id="20"/>
    <w:bookmarkStart w:id="31"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7—the highest level characterized by predictive analytics and AI integration.</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Annual turnover of 15-36% for clinical and technical staff creates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X70c45db3b23de77e45d01bc0a6d1bcac60aa7a7"/>
    <w:p>
      <w:pPr>
        <w:pStyle w:val="Heading3"/>
      </w:pPr>
      <w:r>
        <w:rPr>
          <w:rStyle w:val="SectionNumber"/>
        </w:rPr>
        <w:t xml:space="preserve">2.2.1</w:t>
      </w:r>
      <w:r>
        <w:tab/>
      </w:r>
      <w:r>
        <w:t xml:space="preserve">Challenge 1: 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This low maturity severely constrains evidence-based decision making and operational optimization.</w:t>
      </w:r>
    </w:p>
    <w:bookmarkEnd w:id="22"/>
    <w:bookmarkStart w:id="23" w:name="X146ebf1328c0a3ed26f0c18bb5e066c0c3f4778"/>
    <w:p>
      <w:pPr>
        <w:pStyle w:val="Heading3"/>
      </w:pPr>
      <w:r>
        <w:rPr>
          <w:rStyle w:val="SectionNumber"/>
        </w:rPr>
        <w:t xml:space="preserve">2.2.2</w:t>
      </w:r>
      <w:r>
        <w:tab/>
      </w:r>
      <w:r>
        <w:t xml:space="preserve">Challenge 2: 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schemas—capabilities that clinical staff neither possess nor have time to develop. This creates a fundamental disconnect between those who understand the clinical questions and those who can access the data to answer them. Modern code modernization approaches demonstrate that AI-assisted interfaces can bridge this gap by transforming legacy technical requirements into natural language interactions [I8].</w:t>
      </w:r>
    </w:p>
    <w:bookmarkEnd w:id="23"/>
    <w:bookmarkStart w:id="24" w:name="X36e5be34b716a8e231e44f3b19cb38a26c25f6b"/>
    <w:p>
      <w:pPr>
        <w:pStyle w:val="Heading3"/>
      </w:pPr>
      <w:r>
        <w:rPr>
          <w:rStyle w:val="SectionNumber"/>
        </w:rPr>
        <w:t xml:space="preserve">2.2.3</w:t>
      </w:r>
      <w:r>
        <w:tab/>
      </w:r>
      <w:r>
        <w:t xml:space="preserve">Challenge 3: Institutional Memory Loss from Workforce Turnover</w:t>
      </w:r>
    </w:p>
    <w:p>
      <w:pPr>
        <w:pStyle w:val="FirstParagraph"/>
      </w:pPr>
      <w:r>
        <w:t xml:space="preserve">Healthcare workforce turnover rates of 15-36% annually create devastating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cost of inaction is substantial. Organizations continue investing in analytics infrastructure while struggling to realize value from their data assets. Clinical professionals make decisions without access to relevant insights, operational inefficiencies persist, and competitive advantages remain unrealized.</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r>
        <w:t xml:space="preserve"> </w:t>
      </w:r>
      <w:r>
        <w:t xml:space="preserve">- Specific vendor comparisons or product recommendations</w:t>
      </w:r>
      <w:r>
        <w:t xml:space="preserve"> </w:t>
      </w:r>
      <w:r>
        <w:t xml:space="preserve">- Implementation details for particular healthcare IT environments</w:t>
      </w:r>
      <w:r>
        <w:t xml:space="preserve"> </w:t>
      </w:r>
      <w:r>
        <w:t xml:space="preserve">- Regulatory compliance strategies for specific jurisdictions</w:t>
      </w:r>
      <w:r>
        <w:t xml:space="preserve"> </w:t>
      </w:r>
      <w:r>
        <w:t xml:space="preserve">- Technical architecture specifications for conversational AI systems</w:t>
      </w:r>
    </w:p>
    <w:bookmarkEnd w:id="28"/>
    <w:bookmarkEnd w:id="29"/>
    <w:bookmarkStart w:id="30" w:name="document-structure"/>
    <w:p>
      <w:pPr>
        <w:pStyle w:val="Heading2"/>
      </w:pPr>
      <w:r>
        <w:rPr>
          <w:rStyle w:val="SectionNumber"/>
        </w:rPr>
        <w:t xml:space="preserve">2.4</w:t>
      </w:r>
      <w:r>
        <w:tab/>
      </w:r>
      <w:r>
        <w:t xml:space="preserve">Document Structure</w:t>
      </w:r>
    </w:p>
    <w:p>
      <w:pPr>
        <w:pStyle w:val="FirstParagraph"/>
      </w:pPr>
      <w:r>
        <w:t xml:space="preserve">Following this introduction, the paper proceeds through five main sections. The Literature Review synthesizes evidence across the three challenge domains, establishing the current state of natural language processing in healthcare, analytics maturity research, and workforce turnover impacts. The Proposed Solution section presents conversational AI platforms as an integrated response to these challenges. The Evaluation section synthesizes empirical evidence from early implementations and academic studies. The Discussion examines implications, limitations, and future research directions. Finally, the Conclusion reinforces the evidence-based case for conversational AI adoption in healthcare analytics.</w:t>
      </w:r>
    </w:p>
    <w:bookmarkEnd w:id="30"/>
    <w:bookmarkEnd w:id="31"/>
    <w:bookmarkStart w:id="53" w:name="X85f1c6778b7ce1289d057c0d7f7b4fecbd614f8"/>
    <w:p>
      <w:pPr>
        <w:pStyle w:val="Heading1"/>
      </w:pPr>
      <w:r>
        <w:rPr>
          <w:rStyle w:val="SectionNumber"/>
        </w:rPr>
        <w:t xml:space="preserve">3</w:t>
      </w:r>
      <w:r>
        <w:tab/>
      </w:r>
      <w:r>
        <w:t xml:space="preserve">Literature Review: Natural Language Analytics in Healthcare - Evidence for Institutional Memory Preservation</w:t>
      </w:r>
    </w:p>
    <w:p>
      <w:pPr>
        <w:pStyle w:val="FirstParagraph"/>
      </w:pPr>
      <w:r>
        <w:t xml:space="preserve">This literature review examines peer-reviewed evidence supporting the implementation of natural language analytics platforms in healthcare systems. Analysis of recent systematic reviews, medical administration journals, and empirical studies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35" w:name="X79e53be5adb6b9863f8ca49c43cb7059ea634a1"/>
    <w:p>
      <w:pPr>
        <w:pStyle w:val="Heading2"/>
      </w:pPr>
      <w:r>
        <w:rPr>
          <w:rStyle w:val="SectionNumber"/>
        </w:rPr>
        <w:t xml:space="preserve">3.1</w:t>
      </w:r>
      <w:r>
        <w:tab/>
      </w:r>
      <w:r>
        <w:t xml:space="preserve">1. Current State of Natural Language to SQL Generation</w:t>
      </w:r>
    </w:p>
    <w:bookmarkStart w:id="32" w:name="evolution-and-technical-advances"/>
    <w:p>
      <w:pPr>
        <w:pStyle w:val="Heading3"/>
      </w:pPr>
      <w:r>
        <w:rPr>
          <w:rStyle w:val="SectionNumber"/>
        </w:rPr>
        <w:t xml:space="preserve">3.1.1</w:t>
      </w:r>
      <w:r>
        <w:tab/>
      </w:r>
      <w:r>
        <w:t xml:space="preserve">1.1 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[A9, A10]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32"/>
    <w:bookmarkStart w:id="33" w:name="healthcare-specific-challenges"/>
    <w:p>
      <w:pPr>
        <w:pStyle w:val="Heading3"/>
      </w:pPr>
      <w:r>
        <w:rPr>
          <w:rStyle w:val="SectionNumber"/>
        </w:rPr>
        <w:t xml:space="preserve">3.1.2</w:t>
      </w:r>
      <w:r>
        <w:tab/>
      </w:r>
      <w:r>
        <w:t xml:space="preserve">1.2 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and Lee et al. [A8] demonstrate that healthcare NL2SQL methods must move beyond the constraints of exact or string-based matching to fully encompass the semantic complexities of clinical terminology. Their work emphasizes that general-purpose language models fail to capture the nuanced relationships between medical concepts, diagnoses codes (ICD), procedure codes (CPT), and medication vocabularies (RxNorm).</w:t>
      </w:r>
    </w:p>
    <w:bookmarkEnd w:id="33"/>
    <w:bookmarkStart w:id="34" w:name="promising-approaches-and-limitations"/>
    <w:p>
      <w:pPr>
        <w:pStyle w:val="Heading3"/>
      </w:pPr>
      <w:r>
        <w:rPr>
          <w:rStyle w:val="SectionNumber"/>
        </w:rPr>
        <w:t xml:space="preserve">3.1.3</w:t>
      </w:r>
      <w:r>
        <w:tab/>
      </w:r>
      <w:r>
        <w:t xml:space="preserve">1.3 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[A9, A10]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34"/>
    <w:bookmarkEnd w:id="35"/>
    <w:bookmarkStart w:id="39" w:name="state-of-healthcare-analytics-maturity"/>
    <w:p>
      <w:pPr>
        <w:pStyle w:val="Heading2"/>
      </w:pPr>
      <w:r>
        <w:rPr>
          <w:rStyle w:val="SectionNumber"/>
        </w:rPr>
        <w:t xml:space="preserve">3.2</w:t>
      </w:r>
      <w:r>
        <w:tab/>
      </w:r>
      <w:r>
        <w:t xml:space="preserve">2. State of Healthcare Analytics Maturity</w:t>
      </w:r>
    </w:p>
    <w:bookmarkStart w:id="36" w:name="low-organizational-maturity"/>
    <w:p>
      <w:pPr>
        <w:pStyle w:val="Heading3"/>
      </w:pPr>
      <w:r>
        <w:rPr>
          <w:rStyle w:val="SectionNumber"/>
        </w:rPr>
        <w:t xml:space="preserve">3.2.1</w:t>
      </w:r>
      <w:r>
        <w:tab/>
      </w:r>
      <w:r>
        <w:t xml:space="preserve">2.1 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The newly revised AMAM model shifts focus from technical capabilities to outcomes, measuring the real impact of analytics on patient care, system-wide operations, and governance.</w:t>
      </w:r>
    </w:p>
    <w:bookmarkEnd w:id="36"/>
    <w:bookmarkStart w:id="37" w:name="barriers-to-analytics-adoption"/>
    <w:p>
      <w:pPr>
        <w:pStyle w:val="Heading3"/>
      </w:pPr>
      <w:r>
        <w:rPr>
          <w:rStyle w:val="SectionNumber"/>
        </w:rPr>
        <w:t xml:space="preserve">3.2.2</w:t>
      </w:r>
      <w:r>
        <w:tab/>
      </w:r>
      <w:r>
        <w:t xml:space="preserve">2.2 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corroborates these findings, documenting that most healthcare organizations remain at Stages 0-3, characterized by:</w:t>
      </w:r>
      <w:r>
        <w:t xml:space="preserve"> </w:t>
      </w:r>
      <w:r>
        <w:t xml:space="preserve">- Fragmented data sources without integration</w:t>
      </w:r>
      <w:r>
        <w:t xml:space="preserve"> </w:t>
      </w:r>
      <w:r>
        <w:t xml:space="preserve">- Limited automated reporting capabilities</w:t>
      </w:r>
      <w:r>
        <w:t xml:space="preserve"> </w:t>
      </w:r>
      <w:r>
        <w:t xml:space="preserve">- Lack of standardized data governance</w:t>
      </w:r>
      <w:r>
        <w:t xml:space="preserve"> </w:t>
      </w:r>
      <w:r>
        <w:t xml:space="preserve">- Minimal predictive or prescriptive analytics</w:t>
      </w:r>
      <w:r>
        <w:t xml:space="preserve"> </w:t>
      </w:r>
      <w:r>
        <w:t xml:space="preserve">- Absence of real-time decision support</w:t>
      </w:r>
    </w:p>
    <w:bookmarkEnd w:id="37"/>
    <w:bookmarkStart w:id="38" w:name="the-analytics-skills-gap"/>
    <w:p>
      <w:pPr>
        <w:pStyle w:val="Heading3"/>
      </w:pPr>
      <w:r>
        <w:rPr>
          <w:rStyle w:val="SectionNumber"/>
        </w:rPr>
        <w:t xml:space="preserve">3.2.3</w:t>
      </w:r>
      <w:r>
        <w:tab/>
      </w:r>
      <w:r>
        <w:t xml:space="preserve">2.3 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Traditional approaches to analytics require extensive technical expertise that healthcare professionals typically lack, creating a fundamental barrier to analytics adoption.</w:t>
      </w:r>
    </w:p>
    <w:bookmarkEnd w:id="38"/>
    <w:bookmarkEnd w:id="39"/>
    <w:bookmarkStart w:id="43" w:name="X033aaa01add75caa19416ed7b909f71ff5bd76d"/>
    <w:p>
      <w:pPr>
        <w:pStyle w:val="Heading2"/>
      </w:pPr>
      <w:r>
        <w:rPr>
          <w:rStyle w:val="SectionNumber"/>
        </w:rPr>
        <w:t xml:space="preserve">3.3</w:t>
      </w:r>
      <w:r>
        <w:tab/>
      </w:r>
      <w:r>
        <w:t xml:space="preserve">3. Healthcare Workforce Turnover and Knowledge Loss</w:t>
      </w:r>
    </w:p>
    <w:bookmarkStart w:id="40" w:name="turnover-rates-and-financial-impact"/>
    <w:p>
      <w:pPr>
        <w:pStyle w:val="Heading3"/>
      </w:pPr>
      <w:r>
        <w:rPr>
          <w:rStyle w:val="SectionNumber"/>
        </w:rPr>
        <w:t xml:space="preserve">3.3.1</w:t>
      </w:r>
      <w:r>
        <w:tab/>
      </w:r>
      <w:r>
        <w:t xml:space="preserve">3.1 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Industry analysis documents turnover costs at 0.5-2.0 times annual salary, with knowledge-intensive positions reaching the higher end [I6]. Oracle documents the cascading costs of turnover including knowledge loss, decreased productivity, and project delays.</w:t>
      </w:r>
    </w:p>
    <w:bookmarkEnd w:id="40"/>
    <w:bookmarkStart w:id="41" w:name="institutional-memory-loss"/>
    <w:p>
      <w:pPr>
        <w:pStyle w:val="Heading3"/>
      </w:pPr>
      <w:r>
        <w:rPr>
          <w:rStyle w:val="SectionNumber"/>
        </w:rPr>
        <w:t xml:space="preserve">3.3.2</w:t>
      </w:r>
      <w:r>
        <w:tab/>
      </w:r>
      <w:r>
        <w:t xml:space="preserve">3.2 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41"/>
    <w:bookmarkStart w:id="42" w:name="traditional-approaches-inadequate"/>
    <w:p>
      <w:pPr>
        <w:pStyle w:val="Heading3"/>
      </w:pPr>
      <w:r>
        <w:rPr>
          <w:rStyle w:val="SectionNumber"/>
        </w:rPr>
        <w:t xml:space="preserve">3.3.3</w:t>
      </w:r>
      <w:r>
        <w:tab/>
      </w:r>
      <w:r>
        <w:t xml:space="preserve">3.3 Traditional Approaches Inadequate</w:t>
      </w:r>
    </w:p>
    <w:p>
      <w:pPr>
        <w:pStyle w:val="FirstParagraph"/>
      </w:pPr>
      <w:r>
        <w:t xml:space="preserve">The literature demonstrates that conventional knowledge management approaches fail in healthcare contexts:</w:t>
      </w:r>
      <w:r>
        <w:t xml:space="preserve"> </w:t>
      </w:r>
      <w:r>
        <w:t xml:space="preserve">- Traditional knowledge transfer mechanisms show limited effectiveness</w:t>
      </w:r>
      <w:r>
        <w:t xml:space="preserve"> </w:t>
      </w:r>
      <w:r>
        <w:t xml:space="preserve">- Organizations struggle to capture and maintain analytical expertise</w:t>
      </w:r>
      <w:r>
        <w:t xml:space="preserve"> </w:t>
      </w:r>
      <w:r>
        <w:t xml:space="preserve">- Knowledge repositories require constant maintenance to remain relevant</w:t>
      </w:r>
      <w:r>
        <w:t xml:space="preserve"> </w:t>
      </w:r>
      <w:r>
        <w:t xml:space="preserve">- Person-to-person knowledge transfer fails during rapid turnover cycles</w:t>
      </w:r>
    </w:p>
    <w:bookmarkEnd w:id="42"/>
    <w:bookmarkEnd w:id="43"/>
    <w:bookmarkStart w:id="47" w:name="X4fcdb465b5d130fc136a191f4ad96d06b004362"/>
    <w:p>
      <w:pPr>
        <w:pStyle w:val="Heading2"/>
      </w:pPr>
      <w:r>
        <w:rPr>
          <w:rStyle w:val="SectionNumber"/>
        </w:rPr>
        <w:t xml:space="preserve">3.4</w:t>
      </w:r>
      <w:r>
        <w:tab/>
      </w:r>
      <w:r>
        <w:t xml:space="preserve">4. Integration of Evidence: The Case for Conversational AI</w:t>
      </w:r>
    </w:p>
    <w:bookmarkStart w:id="44" w:name="bridging-technical-and-domain-expertise"/>
    <w:p>
      <w:pPr>
        <w:pStyle w:val="Heading3"/>
      </w:pPr>
      <w:r>
        <w:rPr>
          <w:rStyle w:val="SectionNumber"/>
        </w:rPr>
        <w:t xml:space="preserve">3.4.1</w:t>
      </w:r>
      <w:r>
        <w:tab/>
      </w:r>
      <w:r>
        <w:t xml:space="preserve">4.1 Bridging Technical and Domain Expertise</w:t>
      </w:r>
    </w:p>
    <w:p>
      <w:pPr>
        <w:pStyle w:val="FirstParagraph"/>
      </w:pPr>
      <w:r>
        <w:t xml:space="preserve">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44"/>
    <w:bookmarkStart w:id="45" w:name="knowledge-preservation-mechanisms"/>
    <w:p>
      <w:pPr>
        <w:pStyle w:val="Heading3"/>
      </w:pPr>
      <w:r>
        <w:rPr>
          <w:rStyle w:val="SectionNumber"/>
        </w:rPr>
        <w:t xml:space="preserve">3.4.2</w:t>
      </w:r>
      <w:r>
        <w:tab/>
      </w:r>
      <w:r>
        <w:t xml:space="preserve">4.2 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r>
        <w:t xml:space="preserve"> </w:t>
      </w:r>
      <w:r>
        <w:t xml:space="preserve">- Capturing decision-making patterns through usage</w:t>
      </w:r>
      <w:r>
        <w:t xml:space="preserve"> </w:t>
      </w:r>
      <w:r>
        <w:t xml:space="preserve">- Encoding best practices in accessible formats</w:t>
      </w:r>
      <w:r>
        <w:t xml:space="preserve"> </w:t>
      </w:r>
      <w:r>
        <w:t xml:space="preserve">- Providing context-aware guidance to new users</w:t>
      </w:r>
      <w:r>
        <w:t xml:space="preserve"> </w:t>
      </w:r>
      <w:r>
        <w:t xml:space="preserve">- Maintaining knowledge currency through continuous learning</w:t>
      </w:r>
    </w:p>
    <w:p>
      <w:pPr>
        <w:pStyle w:val="BodyText"/>
      </w:pPr>
      <w:r>
        <w:t xml:space="preserve">These principles align with conversational AI approaches that embed institutional knowledge within the AI model itself, making expertise permanently accessible regardless of staff turnover.</w:t>
      </w:r>
    </w:p>
    <w:bookmarkEnd w:id="45"/>
    <w:bookmarkStart w:id="46" w:name="X6d083e238594fa23b80808bd7cfd83ad906b4ff"/>
    <w:p>
      <w:pPr>
        <w:pStyle w:val="Heading3"/>
      </w:pPr>
      <w:r>
        <w:rPr>
          <w:rStyle w:val="SectionNumber"/>
        </w:rPr>
        <w:t xml:space="preserve">3.4.3</w:t>
      </w:r>
      <w:r>
        <w:tab/>
      </w:r>
      <w:r>
        <w:t xml:space="preserve">4.3 Empirical Support for Low-Code Healthcare Solutions</w:t>
      </w:r>
    </w:p>
    <w:p>
      <w:pPr>
        <w:pStyle w:val="FirstParagraph"/>
      </w:pPr>
      <w:r>
        <w:t xml:space="preserve">Industry implementations provide validation for low-code approaches in healthcare settings.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w:t>
      </w:r>
    </w:p>
    <w:p>
      <w:pPr>
        <w:pStyle w:val="BodyText"/>
      </w:pPr>
      <w:r>
        <w:t xml:space="preserve">Forrester Research [I5] documents 206% ROI from Power Apps implementations, with organizations achieving significant development time savings and cost reductions. A 2024 Forrester study found composite organizations experienced benefits of $46.1 million over three years versus costs of $15.1 million.</w:t>
      </w:r>
    </w:p>
    <w:bookmarkEnd w:id="46"/>
    <w:bookmarkEnd w:id="47"/>
    <w:bookmarkStart w:id="51" w:name="Xe532debb859e62ad2038db373f15ff8608a8c3a"/>
    <w:p>
      <w:pPr>
        <w:pStyle w:val="Heading2"/>
      </w:pPr>
      <w:r>
        <w:rPr>
          <w:rStyle w:val="SectionNumber"/>
        </w:rPr>
        <w:t xml:space="preserve">3.5</w:t>
      </w:r>
      <w:r>
        <w:tab/>
      </w:r>
      <w:r>
        <w:t xml:space="preserve">5. Implications for Healthcare Organizations</w:t>
      </w:r>
    </w:p>
    <w:bookmarkStart w:id="48" w:name="strategic-alignment-with-industry-trends"/>
    <w:p>
      <w:pPr>
        <w:pStyle w:val="Heading3"/>
      </w:pPr>
      <w:r>
        <w:rPr>
          <w:rStyle w:val="SectionNumber"/>
        </w:rPr>
        <w:t xml:space="preserve">3.5.1</w:t>
      </w:r>
      <w:r>
        <w:tab/>
      </w:r>
      <w:r>
        <w:t xml:space="preserve">5.1 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48"/>
    <w:bookmarkStart w:id="49" w:name="return-on-investment-evidence"/>
    <w:p>
      <w:pPr>
        <w:pStyle w:val="Heading3"/>
      </w:pPr>
      <w:r>
        <w:rPr>
          <w:rStyle w:val="SectionNumber"/>
        </w:rPr>
        <w:t xml:space="preserve">3.5.2</w:t>
      </w:r>
      <w:r>
        <w:tab/>
      </w:r>
      <w:r>
        <w:t xml:space="preserve">5.2 Return on Investment Evidence</w:t>
      </w:r>
    </w:p>
    <w:p>
      <w:pPr>
        <w:pStyle w:val="FirstParagraph"/>
      </w:pPr>
      <w:r>
        <w:t xml:space="preserve">Economic analyses provide strong ROI evidence for low-code and conversational AI implementations. Forrester Research [I5] found that Power Platform implementations delivered 206% three-year ROI, with significant reductions in development time and contractor costs.</w:t>
      </w:r>
    </w:p>
    <w:p>
      <w:pPr>
        <w:pStyle w:val="BodyText"/>
      </w:pPr>
      <w:r>
        <w:t xml:space="preserve">Market research supports continued investment in this space. Precedence Research [I7] projects the healthcare analytics market to grow from $64.49 billion in 2025 to $369.66 billion by 2034 (21.41% CAGR), driven by demand for accessible analytics solutions. North America dominates the market with 48.62% share in 2024.</w:t>
      </w:r>
    </w:p>
    <w:bookmarkEnd w:id="49"/>
    <w:bookmarkStart w:id="50" w:name="Xe6fa002d43c62898b44d68560b42a19c9fcb56d"/>
    <w:p>
      <w:pPr>
        <w:pStyle w:val="Heading3"/>
      </w:pPr>
      <w:r>
        <w:rPr>
          <w:rStyle w:val="SectionNumber"/>
        </w:rPr>
        <w:t xml:space="preserve">3.5.3</w:t>
      </w:r>
      <w:r>
        <w:tab/>
      </w:r>
      <w:r>
        <w:t xml:space="preserve">5.3 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50"/>
    <w:bookmarkEnd w:id="51"/>
    <w:bookmarkStart w:id="52" w:name="gaps-in-current-literature"/>
    <w:p>
      <w:pPr>
        <w:pStyle w:val="Heading2"/>
      </w:pPr>
      <w:r>
        <w:rPr>
          <w:rStyle w:val="SectionNumber"/>
        </w:rPr>
        <w:t xml:space="preserve">3.6</w:t>
      </w:r>
      <w:r>
        <w:tab/>
      </w:r>
      <w:r>
        <w:t xml:space="preserve">6. Gaps in Current Literature</w:t>
      </w:r>
    </w:p>
    <w:p>
      <w:pPr>
        <w:pStyle w:val="FirstParagraph"/>
      </w:pPr>
      <w:r>
        <w:t xml:space="preserve">Despite substantial evidence supporting conversational AI in healthcare analytics, several research gaps persist:</w:t>
      </w:r>
    </w:p>
    <w:p>
      <w:pPr>
        <w:pStyle w:val="Compact"/>
        <w:numPr>
          <w:ilvl w:val="0"/>
          <w:numId w:val="1002"/>
        </w:numPr>
      </w:pPr>
      <w:r>
        <w:rPr>
          <w:b/>
          <w:bCs/>
        </w:rPr>
        <w:t xml:space="preserve">Long-term outcomes</w:t>
      </w:r>
      <w:r>
        <w:t xml:space="preserve">: Most studies examine 6-24 month implementations; multi-year impacts remain understudied</w:t>
      </w:r>
    </w:p>
    <w:p>
      <w:pPr>
        <w:pStyle w:val="Compact"/>
        <w:numPr>
          <w:ilvl w:val="0"/>
          <w:numId w:val="1002"/>
        </w:numPr>
      </w:pPr>
      <w:r>
        <w:rPr>
          <w:b/>
          <w:bCs/>
        </w:rPr>
        <w:t xml:space="preserve">Scalability across specialties</w:t>
      </w:r>
      <w:r>
        <w:t xml:space="preserve">: Evidence primarily focuses on general acute care; specialty-specific applications need investigation</w:t>
      </w:r>
    </w:p>
    <w:p>
      <w:pPr>
        <w:pStyle w:val="Compact"/>
        <w:numPr>
          <w:ilvl w:val="0"/>
          <w:numId w:val="1002"/>
        </w:numPr>
      </w:pPr>
      <w:r>
        <w:rPr>
          <w:b/>
          <w:bCs/>
        </w:rPr>
        <w:t xml:space="preserve">Governance frameworks</w:t>
      </w:r>
      <w:r>
        <w:t xml:space="preserve">: Limited research on optimal governance models for democratized analytics</w:t>
      </w:r>
    </w:p>
    <w:p>
      <w:pPr>
        <w:pStyle w:val="Compact"/>
        <w:numPr>
          <w:ilvl w:val="0"/>
          <w:numId w:val="1002"/>
        </w:numPr>
      </w:pPr>
      <w:r>
        <w:rPr>
          <w:b/>
          <w:bCs/>
        </w:rPr>
        <w:t xml:space="preserve">Training methodologies</w:t>
      </w:r>
      <w:r>
        <w:t xml:space="preserve">: Best practices for transitioning from traditional to conversational analytics lack empirical validation</w:t>
      </w:r>
    </w:p>
    <w:p>
      <w:pPr>
        <w:pStyle w:val="Compact"/>
        <w:numPr>
          <w:ilvl w:val="0"/>
          <w:numId w:val="1002"/>
        </w:numPr>
      </w:pPr>
      <w:r>
        <w:rPr>
          <w:b/>
          <w:bCs/>
        </w:rPr>
        <w:t xml:space="preserve">Integration patterns</w:t>
      </w:r>
      <w:r>
        <w:t xml:space="preserve">: Architectural guidance for incorporating conversational AI into existing healthcare IT ecosystems remains sparse</w:t>
      </w:r>
    </w:p>
    <w:bookmarkEnd w:id="52"/>
    <w:bookmarkEnd w:id="53"/>
    <w:bookmarkStart w:id="68" w:name="X31921694b73dcf3ee7cef592b6f3cc25a3db813"/>
    <w:p>
      <w:pPr>
        <w:pStyle w:val="Heading1"/>
      </w:pPr>
      <w:r>
        <w:rPr>
          <w:rStyle w:val="SectionNumber"/>
        </w:rPr>
        <w:t xml:space="preserve">4</w:t>
      </w:r>
      <w:r>
        <w:tab/>
      </w:r>
      <w:r>
        <w:t xml:space="preserve">Proposed Solution: Conversational AI Platforms for Healthcare Analytics</w:t>
      </w:r>
    </w:p>
    <w:p>
      <w:pPr>
        <w:pStyle w:val="FirstParagraph"/>
      </w:pPr>
      <w:r>
        <w:t xml:space="preserve">Based on the literature review evidence, this section presents conversational AI platforms as an integrated solution to healthcare’s three-pillar analytics challenge. The proposed approach directly addresses the technical barriers, maturity constraints, and institutional memory loss identified in the research while building on proven NL2SQL advances and successful healthcare implementations.</w:t>
      </w:r>
    </w:p>
    <w:bookmarkStart w:id="54" w:name="solution-overview"/>
    <w:p>
      <w:pPr>
        <w:pStyle w:val="Heading2"/>
      </w:pPr>
      <w:r>
        <w:rPr>
          <w:rStyle w:val="SectionNumber"/>
        </w:rPr>
        <w:t xml:space="preserve">4.1</w:t>
      </w:r>
      <w:r>
        <w:tab/>
      </w:r>
      <w:r>
        <w:t xml:space="preserve">Solution Overview</w:t>
      </w:r>
    </w:p>
    <w:p>
      <w:pPr>
        <w:pStyle w:val="FirstParagraph"/>
      </w:pPr>
      <w:r>
        <w:t xml:space="preserve">Conversational AI platforms represent a paradigm shift from traditional analytics tools to natural language interfaces that democratize data access while preserving institutional knowledge. Rather than requiring clinical professionals to learn SQL, statistical software, or complex analytics tools, these platforms enable healthcare users to ask questions in natural language and receive accurate, contextual insights drawn from organizational data.</w:t>
      </w:r>
    </w:p>
    <w:p>
      <w:pPr>
        <w:pStyle w:val="BodyText"/>
      </w:pPr>
      <w:r>
        <w:t xml:space="preserve">The solution architecture addresses each identified challenge:</w:t>
      </w:r>
    </w:p>
    <w:p>
      <w:pPr>
        <w:pStyle w:val="Compact"/>
        <w:numPr>
          <w:ilvl w:val="0"/>
          <w:numId w:val="1003"/>
        </w:numPr>
      </w:pPr>
      <w:r>
        <w:rPr>
          <w:b/>
          <w:bCs/>
        </w:rPr>
        <w:t xml:space="preserve">Technical Barrier Elimination</w:t>
      </w:r>
      <w:r>
        <w:t xml:space="preserve">: Natural language interfaces replace SQL requirements</w:t>
      </w:r>
    </w:p>
    <w:p>
      <w:pPr>
        <w:pStyle w:val="Compact"/>
        <w:numPr>
          <w:ilvl w:val="0"/>
          <w:numId w:val="1003"/>
        </w:numPr>
      </w:pPr>
      <w:r>
        <w:rPr>
          <w:b/>
          <w:bCs/>
        </w:rPr>
        <w:t xml:space="preserve">Analytics Maturity Acceleration</w:t>
      </w:r>
      <w:r>
        <w:t xml:space="preserve">: Democratized access enables broader organizational capability</w:t>
      </w:r>
    </w:p>
    <w:p>
      <w:pPr>
        <w:pStyle w:val="Compact"/>
        <w:numPr>
          <w:ilvl w:val="0"/>
          <w:numId w:val="1003"/>
        </w:numPr>
      </w:pPr>
      <w:r>
        <w:rPr>
          <w:b/>
          <w:bCs/>
        </w:rPr>
        <w:t xml:space="preserve">Institutional Memory Preservation</w:t>
      </w:r>
      <w:r>
        <w:t xml:space="preserve">: AI models embed organizational knowledge and expertise</w:t>
      </w:r>
    </w:p>
    <w:p>
      <w:pPr>
        <w:pStyle w:val="SourceCode"/>
      </w:pPr>
      <w:r>
        <w:rPr>
          <w:rStyle w:val="VerbatimChar"/>
        </w:rPr>
        <w:t xml:space="preserve">graph TD</w:t>
      </w:r>
      <w:r>
        <w:br/>
      </w:r>
      <w:r>
        <w:rPr>
          <w:rStyle w:val="VerbatimChar"/>
        </w:rPr>
        <w:t xml:space="preserve">    A[Clinical User] --&gt;|Natural Language Query| B[Conversational AI Interface]</w:t>
      </w:r>
      <w:r>
        <w:br/>
      </w:r>
      <w:r>
        <w:rPr>
          <w:rStyle w:val="VerbatimChar"/>
        </w:rPr>
        <w:t xml:space="preserve">    B --&gt; C[Healthcare NLP Engine]</w:t>
      </w:r>
      <w:r>
        <w:br/>
      </w:r>
      <w:r>
        <w:rPr>
          <w:rStyle w:val="VerbatimChar"/>
        </w:rPr>
        <w:t xml:space="preserve">    C --&gt; D[Context-Aware SQL Generation]</w:t>
      </w:r>
      <w:r>
        <w:br/>
      </w:r>
      <w:r>
        <w:rPr>
          <w:rStyle w:val="VerbatimChar"/>
        </w:rPr>
        <w:t xml:space="preserve">    D --&gt; E[Healthcare Data Warehouse]</w:t>
      </w:r>
      <w:r>
        <w:br/>
      </w:r>
      <w:r>
        <w:rPr>
          <w:rStyle w:val="VerbatimChar"/>
        </w:rPr>
        <w:t xml:space="preserve">    E --&gt; F[Intelligent Response Generation]</w:t>
      </w:r>
      <w:r>
        <w:br/>
      </w:r>
      <w:r>
        <w:rPr>
          <w:rStyle w:val="VerbatimChar"/>
        </w:rPr>
        <w:t xml:space="preserve">    F --&gt; G[Contextual Insights &amp; Visualizations]</w:t>
      </w:r>
      <w:r>
        <w:br/>
      </w:r>
      <w:r>
        <w:rPr>
          <w:rStyle w:val="VerbatimChar"/>
        </w:rPr>
        <w:t xml:space="preserve">    G --&gt; A</w:t>
      </w:r>
      <w:r>
        <w:br/>
      </w:r>
      <w:r>
        <w:br/>
      </w:r>
      <w:r>
        <w:rPr>
          <w:rStyle w:val="VerbatimChar"/>
        </w:rPr>
        <w:t xml:space="preserve">    H[Institutional Knowledge Base] --&gt; C</w:t>
      </w:r>
      <w:r>
        <w:br/>
      </w:r>
      <w:r>
        <w:rPr>
          <w:rStyle w:val="VerbatimChar"/>
        </w:rPr>
        <w:t xml:space="preserve">    I[Healthcare Ontologies] --&gt; C</w:t>
      </w:r>
      <w:r>
        <w:br/>
      </w:r>
      <w:r>
        <w:rPr>
          <w:rStyle w:val="VerbatimChar"/>
        </w:rPr>
        <w:t xml:space="preserve">    J[Organizational Memory] --&gt; H</w:t>
      </w:r>
      <w:r>
        <w:br/>
      </w:r>
      <w:r>
        <w:rPr>
          <w:rStyle w:val="VerbatimChar"/>
        </w:rPr>
        <w:t xml:space="preserve">    K[Best Practices Repository] --&gt; H</w:t>
      </w:r>
    </w:p>
    <w:bookmarkEnd w:id="54"/>
    <w:bookmarkStart w:id="59" w:name="core-capabilities"/>
    <w:p>
      <w:pPr>
        <w:pStyle w:val="Heading2"/>
      </w:pPr>
      <w:r>
        <w:rPr>
          <w:rStyle w:val="SectionNumber"/>
        </w:rPr>
        <w:t xml:space="preserve">4.2</w:t>
      </w:r>
      <w:r>
        <w:tab/>
      </w:r>
      <w:r>
        <w:t xml:space="preserve">Core Capabilities</w:t>
      </w:r>
    </w:p>
    <w:bookmarkStart w:id="55" w:name="X5b5cb56f47d7a7344a0b84a0a61c200c141779c"/>
    <w:p>
      <w:pPr>
        <w:pStyle w:val="Heading3"/>
      </w:pPr>
      <w:r>
        <w:rPr>
          <w:rStyle w:val="SectionNumber"/>
        </w:rPr>
        <w:t xml:space="preserve">4.2.1</w:t>
      </w:r>
      <w:r>
        <w:tab/>
      </w:r>
      <w:r>
        <w:t xml:space="preserve">1. Healthcare-Optimized Natural Language Processing</w:t>
      </w:r>
    </w:p>
    <w:p>
      <w:pPr>
        <w:pStyle w:val="FirstParagraph"/>
      </w:pPr>
      <w:r>
        <w:rPr>
          <w:b/>
          <w:bCs/>
        </w:rPr>
        <w:t xml:space="preserve">Purpose</w:t>
      </w:r>
      <w:r>
        <w:t xml:space="preserve">: Accurately interpret clinical terminology and healthcare-specific queries while understanding organizational context and data structures.</w:t>
      </w:r>
    </w:p>
    <w:p>
      <w:pPr>
        <w:pStyle w:val="BodyText"/>
      </w:pPr>
      <w:r>
        <w:rPr>
          <w:b/>
          <w:bCs/>
        </w:rPr>
        <w:t xml:space="preserve">Key Features</w:t>
      </w:r>
      <w:r>
        <w:t xml:space="preserve">:</w:t>
      </w:r>
      <w:r>
        <w:t xml:space="preserve"> </w:t>
      </w:r>
      <w:r>
        <w:t xml:space="preserve">-</w:t>
      </w:r>
      <w:r>
        <w:t xml:space="preserve"> </w:t>
      </w:r>
      <w:r>
        <w:rPr>
          <w:b/>
          <w:bCs/>
        </w:rPr>
        <w:t xml:space="preserve">Medical Terminology Recognition</w:t>
      </w:r>
      <w:r>
        <w:t xml:space="preserve">: Integration with ICD-10, CPT, RxNorm, and SNOMED vocabularies</w:t>
      </w:r>
      <w:r>
        <w:t xml:space="preserve"> </w:t>
      </w:r>
      <w:r>
        <w:t xml:space="preserve">-</w:t>
      </w:r>
      <w:r>
        <w:t xml:space="preserve"> </w:t>
      </w:r>
      <w:r>
        <w:rPr>
          <w:b/>
          <w:bCs/>
        </w:rPr>
        <w:t xml:space="preserve">Context-Aware Processing</w:t>
      </w:r>
      <w:r>
        <w:t xml:space="preserve">: Understanding of clinical workflows and temporal relationships</w:t>
      </w:r>
      <w:r>
        <w:t xml:space="preserve"> </w:t>
      </w:r>
      <w:r>
        <w:t xml:space="preserve">-</w:t>
      </w:r>
      <w:r>
        <w:t xml:space="preserve"> </w:t>
      </w:r>
      <w:r>
        <w:rPr>
          <w:b/>
          <w:bCs/>
        </w:rPr>
        <w:t xml:space="preserve">Ambiguity Resolution</w:t>
      </w:r>
      <w:r>
        <w:t xml:space="preserve">: Intelligent disambiguation of medical terms based on organizational usage patterns</w:t>
      </w:r>
      <w:r>
        <w:t xml:space="preserve"> </w:t>
      </w:r>
      <w:r>
        <w:t xml:space="preserve">-</w:t>
      </w:r>
      <w:r>
        <w:t xml:space="preserve"> </w:t>
      </w:r>
      <w:r>
        <w:rPr>
          <w:b/>
          <w:bCs/>
        </w:rPr>
        <w:t xml:space="preserve">Query Intent Classification</w:t>
      </w:r>
      <w:r>
        <w:t xml:space="preserve">: Recognition of different analysis types (population health, clinical outcomes, operational metrics)</w:t>
      </w:r>
    </w:p>
    <w:p>
      <w:pPr>
        <w:pStyle w:val="BodyText"/>
      </w:pPr>
      <w:r>
        <w:rPr>
          <w:b/>
          <w:bCs/>
        </w:rPr>
        <w:t xml:space="preserve">Evidence Base</w:t>
      </w:r>
      <w:r>
        <w:t xml:space="preserve">: Benchmarking studies [A9, A10] demonstrate that healthcare-specific language models show improved accuracy over general-purpose systems when fine-tuned on medical datasets. The TREQS/MIMICSQL [A5] and EHRSQL [A3] datasets provide validated question-SQL pairs that enable supervised learning for healthcare contexts.</w:t>
      </w:r>
    </w:p>
    <w:bookmarkEnd w:id="55"/>
    <w:bookmarkStart w:id="56" w:name="X98880b287a44233e5bbd8ef010c0f1e1c4f6bdc"/>
    <w:p>
      <w:pPr>
        <w:pStyle w:val="Heading3"/>
      </w:pPr>
      <w:r>
        <w:rPr>
          <w:rStyle w:val="SectionNumber"/>
        </w:rPr>
        <w:t xml:space="preserve">4.2.2</w:t>
      </w:r>
      <w:r>
        <w:tab/>
      </w:r>
      <w:r>
        <w:t xml:space="preserve">2. Institutional Knowledge Preservation System</w:t>
      </w:r>
    </w:p>
    <w:p>
      <w:pPr>
        <w:pStyle w:val="FirstParagraph"/>
      </w:pPr>
      <w:r>
        <w:rPr>
          <w:b/>
          <w:bCs/>
        </w:rPr>
        <w:t xml:space="preserve">Purpose</w:t>
      </w:r>
      <w:r>
        <w:t xml:space="preserve">: Capture, encode, and perpetually maintain organizational analytics expertise independent of individual staff members.</w:t>
      </w:r>
    </w:p>
    <w:p>
      <w:pPr>
        <w:pStyle w:val="BodyText"/>
      </w:pPr>
      <w:r>
        <w:rPr>
          <w:b/>
          <w:bCs/>
        </w:rPr>
        <w:t xml:space="preserve">Knowledge Preservation Mechanisms</w:t>
      </w:r>
      <w:r>
        <w:t xml:space="preserve">:</w:t>
      </w:r>
      <w:r>
        <w:t xml:space="preserve"> </w:t>
      </w:r>
      <w:r>
        <w:t xml:space="preserve">-</w:t>
      </w:r>
      <w:r>
        <w:t xml:space="preserve"> </w:t>
      </w:r>
      <w:r>
        <w:rPr>
          <w:b/>
          <w:bCs/>
        </w:rPr>
        <w:t xml:space="preserve">Usage Pattern Learning</w:t>
      </w:r>
      <w:r>
        <w:t xml:space="preserve">: AI models continuously learn from successful query patterns and analytical approaches</w:t>
      </w:r>
      <w:r>
        <w:t xml:space="preserve"> </w:t>
      </w:r>
      <w:r>
        <w:t xml:space="preserve">-</w:t>
      </w:r>
      <w:r>
        <w:t xml:space="preserve"> </w:t>
      </w:r>
      <w:r>
        <w:rPr>
          <w:b/>
          <w:bCs/>
        </w:rPr>
        <w:t xml:space="preserve">Best Practice Encoding</w:t>
      </w:r>
      <w:r>
        <w:t xml:space="preserve">: Organizational standards and preferred methodologies embedded in response generation</w:t>
      </w:r>
      <w:r>
        <w:t xml:space="preserve"> </w:t>
      </w:r>
      <w:r>
        <w:t xml:space="preserve">-</w:t>
      </w:r>
      <w:r>
        <w:t xml:space="preserve"> </w:t>
      </w:r>
      <w:r>
        <w:rPr>
          <w:b/>
          <w:bCs/>
        </w:rPr>
        <w:t xml:space="preserve">Context Memory</w:t>
      </w:r>
      <w:r>
        <w:t xml:space="preserve">: Retention of organizational data definitions, business rules, and analytical conventions</w:t>
      </w:r>
      <w:r>
        <w:t xml:space="preserve"> </w:t>
      </w:r>
      <w:r>
        <w:t xml:space="preserve">-</w:t>
      </w:r>
      <w:r>
        <w:t xml:space="preserve"> </w:t>
      </w:r>
      <w:r>
        <w:rPr>
          <w:b/>
          <w:bCs/>
        </w:rPr>
        <w:t xml:space="preserve">Expertise Modeling</w:t>
      </w:r>
      <w:r>
        <w:t xml:space="preserve">: Capture of domain expert decision-making patterns and analytical workflows</w:t>
      </w:r>
    </w:p>
    <w:p>
      <w:pPr>
        <w:pStyle w:val="BodyText"/>
      </w:pPr>
      <w:r>
        <w:rPr>
          <w:b/>
          <w:bCs/>
        </w:rPr>
        <w:t xml:space="preserve">Evidence Base</w:t>
      </w:r>
      <w:r>
        <w:t xml:space="preserve">: AI-based organizational memory systems can effectively preserve tacit knowledge through pattern recognition and continuous learning. Best practices emphasize embedding organizational knowledge in systems rather than individuals to ensure continuity.</w:t>
      </w:r>
    </w:p>
    <w:bookmarkEnd w:id="56"/>
    <w:bookmarkStart w:id="57" w:name="Xa2495297bdbab3632b8d3927ccc8594347e53d5"/>
    <w:p>
      <w:pPr>
        <w:pStyle w:val="Heading3"/>
      </w:pPr>
      <w:r>
        <w:rPr>
          <w:rStyle w:val="SectionNumber"/>
        </w:rPr>
        <w:t xml:space="preserve">4.2.3</w:t>
      </w:r>
      <w:r>
        <w:tab/>
      </w:r>
      <w:r>
        <w:t xml:space="preserve">3. Progressive Analytics Maturity Development</w:t>
      </w:r>
    </w:p>
    <w:p>
      <w:pPr>
        <w:pStyle w:val="FirstParagraph"/>
      </w:pPr>
      <w:r>
        <w:rPr>
          <w:b/>
          <w:bCs/>
        </w:rPr>
        <w:t xml:space="preserve">Purpose</w:t>
      </w:r>
      <w:r>
        <w:t xml:space="preserve">: Enable healthcare organizations to advance analytics maturity stages through democratized access while maintaining governance and quality standards.</w:t>
      </w:r>
    </w:p>
    <w:p>
      <w:pPr>
        <w:pStyle w:val="BodyText"/>
      </w:pPr>
      <w:r>
        <w:rPr>
          <w:b/>
          <w:bCs/>
        </w:rPr>
        <w:t xml:space="preserve">Maturity Advancement Features</w:t>
      </w:r>
      <w:r>
        <w:t xml:space="preserve">:</w:t>
      </w:r>
      <w:r>
        <w:t xml:space="preserve"> </w:t>
      </w:r>
      <w:r>
        <w:t xml:space="preserve">-</w:t>
      </w:r>
      <w:r>
        <w:t xml:space="preserve"> </w:t>
      </w:r>
      <w:r>
        <w:rPr>
          <w:b/>
          <w:bCs/>
        </w:rPr>
        <w:t xml:space="preserve">Guided Discovery</w:t>
      </w:r>
      <w:r>
        <w:t xml:space="preserve">: AI-assisted exploration of data relationships and analytical opportunities</w:t>
      </w:r>
      <w:r>
        <w:t xml:space="preserve"> </w:t>
      </w:r>
      <w:r>
        <w:t xml:space="preserve">-</w:t>
      </w:r>
      <w:r>
        <w:t xml:space="preserve"> </w:t>
      </w:r>
      <w:r>
        <w:rPr>
          <w:b/>
          <w:bCs/>
        </w:rPr>
        <w:t xml:space="preserve">Self-Service Analytics</w:t>
      </w:r>
      <w:r>
        <w:t xml:space="preserve">: Clinical staff independently performing complex analyses without technical training</w:t>
      </w:r>
      <w:r>
        <w:t xml:space="preserve"> </w:t>
      </w:r>
      <w:r>
        <w:t xml:space="preserve">-</w:t>
      </w:r>
      <w:r>
        <w:t xml:space="preserve"> </w:t>
      </w:r>
      <w:r>
        <w:rPr>
          <w:b/>
          <w:bCs/>
        </w:rPr>
        <w:t xml:space="preserve">Governance Integration</w:t>
      </w:r>
      <w:r>
        <w:t xml:space="preserve">: Automated compliance with organizational data policies and access controls</w:t>
      </w:r>
      <w:r>
        <w:t xml:space="preserve"> </w:t>
      </w:r>
      <w:r>
        <w:t xml:space="preserve">-</w:t>
      </w:r>
      <w:r>
        <w:t xml:space="preserve"> </w:t>
      </w:r>
      <w:r>
        <w:rPr>
          <w:b/>
          <w:bCs/>
        </w:rPr>
        <w:t xml:space="preserve">Capability Building</w:t>
      </w:r>
      <w:r>
        <w:t xml:space="preserve">: Progressive skill development through intelligent tutoring and suggestion systems</w:t>
      </w:r>
    </w:p>
    <w:p>
      <w:pPr>
        <w:pStyle w:val="BodyText"/>
      </w:pPr>
      <w:r>
        <w:rPr>
          <w:b/>
          <w:bCs/>
        </w:rPr>
        <w:t xml:space="preserve">Evidence Base</w:t>
      </w:r>
      <w:r>
        <w:t xml:space="preserve">: The HIMSS AMAM model [I1] emphasizes democratized analytics as a key maturity indicator. Industry implementations like Berkshire Healthcare NHS Trust [I4] demonstrate that natural language platforms enable healthcare professionals to independently complete complex analyses.</w:t>
      </w:r>
    </w:p>
    <w:bookmarkEnd w:id="57"/>
    <w:bookmarkStart w:id="58" w:name="X6c4476cdfb063e88453122afb5beff1c7a74592"/>
    <w:p>
      <w:pPr>
        <w:pStyle w:val="Heading3"/>
      </w:pPr>
      <w:r>
        <w:rPr>
          <w:rStyle w:val="SectionNumber"/>
        </w:rPr>
        <w:t xml:space="preserve">4.2.4</w:t>
      </w:r>
      <w:r>
        <w:tab/>
      </w:r>
      <w:r>
        <w:t xml:space="preserve">4. Adaptive Query Generation and Optimization</w:t>
      </w:r>
    </w:p>
    <w:p>
      <w:pPr>
        <w:pStyle w:val="FirstParagraph"/>
      </w:pPr>
      <w:r>
        <w:rPr>
          <w:b/>
          <w:bCs/>
        </w:rPr>
        <w:t xml:space="preserve">Purpose</w:t>
      </w:r>
      <w:r>
        <w:t xml:space="preserve">: Generate accurate, efficient SQL queries from natural language inputs while optimizing for healthcare data structures and performance requirements.</w:t>
      </w:r>
    </w:p>
    <w:p>
      <w:pPr>
        <w:pStyle w:val="BodyText"/>
      </w:pPr>
      <w:r>
        <w:rPr>
          <w:b/>
          <w:bCs/>
        </w:rPr>
        <w:t xml:space="preserve">Technical Capabilities</w:t>
      </w:r>
      <w:r>
        <w:t xml:space="preserve">:</w:t>
      </w:r>
      <w:r>
        <w:t xml:space="preserve"> </w:t>
      </w:r>
      <w:r>
        <w:t xml:space="preserve">-</w:t>
      </w:r>
      <w:r>
        <w:t xml:space="preserve"> </w:t>
      </w:r>
      <w:r>
        <w:rPr>
          <w:b/>
          <w:bCs/>
        </w:rPr>
        <w:t xml:space="preserve">Schema-Aware Generation</w:t>
      </w:r>
      <w:r>
        <w:t xml:space="preserve">: Deep understanding of healthcare data warehouse structures and relationships</w:t>
      </w:r>
      <w:r>
        <w:t xml:space="preserve"> </w:t>
      </w:r>
      <w:r>
        <w:t xml:space="preserve">-</w:t>
      </w:r>
      <w:r>
        <w:t xml:space="preserve"> </w:t>
      </w:r>
      <w:r>
        <w:rPr>
          <w:b/>
          <w:bCs/>
        </w:rPr>
        <w:t xml:space="preserve">Performance Optimization</w:t>
      </w:r>
      <w:r>
        <w:t xml:space="preserve">: Query efficiency optimization for large healthcare datasets</w:t>
      </w:r>
      <w:r>
        <w:t xml:space="preserve"> </w:t>
      </w:r>
      <w:r>
        <w:t xml:space="preserve">-</w:t>
      </w:r>
      <w:r>
        <w:t xml:space="preserve"> </w:t>
      </w:r>
      <w:r>
        <w:rPr>
          <w:b/>
          <w:bCs/>
        </w:rPr>
        <w:t xml:space="preserve">Error Detection and Correction</w:t>
      </w:r>
      <w:r>
        <w:t xml:space="preserve">: Intelligent validation and suggestion of query improvements</w:t>
      </w:r>
      <w:r>
        <w:t xml:space="preserve"> </w:t>
      </w:r>
      <w:r>
        <w:t xml:space="preserve">-</w:t>
      </w:r>
      <w:r>
        <w:t xml:space="preserve"> </w:t>
      </w:r>
      <w:r>
        <w:rPr>
          <w:b/>
          <w:bCs/>
        </w:rPr>
        <w:t xml:space="preserve">Multi-Step Analysis Support</w:t>
      </w:r>
      <w:r>
        <w:t xml:space="preserve">: Complex analytical workflows requiring multiple query steps</w:t>
      </w:r>
    </w:p>
    <w:p>
      <w:pPr>
        <w:pStyle w:val="BodyText"/>
      </w:pPr>
      <w:r>
        <w:rPr>
          <w:b/>
          <w:bCs/>
        </w:rPr>
        <w:t xml:space="preserve">Evidence Base</w:t>
      </w:r>
      <w:r>
        <w:t xml:space="preserve">: Ziletti and D’Ambrosi [A6] demonstrate that retrieval augmented generation approaches improve query accuracy on healthcare datasets. Wang et al. [A5] show that healthcare-specific NL2SQL systems achieve superior performance through semantic understanding of clinical relationships.</w:t>
      </w:r>
    </w:p>
    <w:bookmarkEnd w:id="58"/>
    <w:bookmarkEnd w:id="59"/>
    <w:bookmarkStart w:id="63" w:name="implementation-framework"/>
    <w:p>
      <w:pPr>
        <w:pStyle w:val="Heading2"/>
      </w:pPr>
      <w:r>
        <w:rPr>
          <w:rStyle w:val="SectionNumber"/>
        </w:rPr>
        <w:t xml:space="preserve">4.3</w:t>
      </w:r>
      <w:r>
        <w:tab/>
      </w:r>
      <w:r>
        <w:t xml:space="preserve">Implementation Framework</w:t>
      </w:r>
    </w:p>
    <w:bookmarkStart w:id="60" w:name="X75403bf5b032965b44e6cbee6e1a6a3ce3534ce"/>
    <w:p>
      <w:pPr>
        <w:pStyle w:val="Heading3"/>
      </w:pPr>
      <w:r>
        <w:rPr>
          <w:rStyle w:val="SectionNumber"/>
        </w:rPr>
        <w:t xml:space="preserve">4.3.1</w:t>
      </w:r>
      <w:r>
        <w:tab/>
      </w:r>
      <w:r>
        <w:t xml:space="preserve">Phase 1: Foundation and Integration (Months 1-3)</w:t>
      </w:r>
    </w:p>
    <w:p>
      <w:pPr>
        <w:pStyle w:val="FirstParagraph"/>
      </w:pPr>
      <w:r>
        <w:rPr>
          <w:b/>
          <w:bCs/>
        </w:rPr>
        <w:t xml:space="preserve">Objectives</w:t>
      </w:r>
      <w:r>
        <w:t xml:space="preserve">: Establish technical foundation and integrate with existing healthcare IT infrastructure.</w:t>
      </w:r>
    </w:p>
    <w:p>
      <w:pPr>
        <w:pStyle w:val="BodyText"/>
      </w:pPr>
      <w:r>
        <w:rPr>
          <w:b/>
          <w:bCs/>
        </w:rPr>
        <w:t xml:space="preserve">Key Activities</w:t>
      </w:r>
      <w:r>
        <w:t xml:space="preserve">:</w:t>
      </w:r>
      <w:r>
        <w:t xml:space="preserve"> </w:t>
      </w:r>
      <w:r>
        <w:t xml:space="preserve">- Healthcare data warehouse connectivity and schema mapping</w:t>
      </w:r>
      <w:r>
        <w:t xml:space="preserve"> </w:t>
      </w:r>
      <w:r>
        <w:t xml:space="preserve">- Integration with electronic health record systems and clinical data repositories</w:t>
      </w:r>
      <w:r>
        <w:t xml:space="preserve"> </w:t>
      </w:r>
      <w:r>
        <w:t xml:space="preserve">- Implementation of healthcare terminology vocabularies (ICD-10, CPT, SNOMED)</w:t>
      </w:r>
      <w:r>
        <w:t xml:space="preserve"> </w:t>
      </w:r>
      <w:r>
        <w:t xml:space="preserve">- Basic natural language processing capability deployment</w:t>
      </w:r>
      <w:r>
        <w:t xml:space="preserve"> </w:t>
      </w:r>
      <w:r>
        <w:t xml:space="preserve">- User authentication and access control integration</w:t>
      </w:r>
    </w:p>
    <w:p>
      <w:pPr>
        <w:pStyle w:val="BodyText"/>
      </w:pPr>
      <w:r>
        <w:rPr>
          <w:b/>
          <w:bCs/>
        </w:rPr>
        <w:t xml:space="preserve">Success Metrics</w:t>
      </w:r>
      <w:r>
        <w:t xml:space="preserve">:</w:t>
      </w:r>
      <w:r>
        <w:t xml:space="preserve"> </w:t>
      </w:r>
      <w:r>
        <w:t xml:space="preserve">- Successful connectivity to organizational data sources</w:t>
      </w:r>
      <w:r>
        <w:t xml:space="preserve"> </w:t>
      </w:r>
      <w:r>
        <w:t xml:space="preserve">- Accurate interpretation of basic clinical terminology</w:t>
      </w:r>
      <w:r>
        <w:t xml:space="preserve"> </w:t>
      </w:r>
      <w:r>
        <w:t xml:space="preserve">- Compliance with healthcare data governance policies</w:t>
      </w:r>
      <w:r>
        <w:t xml:space="preserve"> </w:t>
      </w:r>
      <w:r>
        <w:t xml:space="preserve">- User authentication and role-based access functioning</w:t>
      </w:r>
    </w:p>
    <w:bookmarkEnd w:id="60"/>
    <w:bookmarkStart w:id="61" w:name="X9579394e73bd7f983656bbb5ea0e67b77c00cd1"/>
    <w:p>
      <w:pPr>
        <w:pStyle w:val="Heading3"/>
      </w:pPr>
      <w:r>
        <w:rPr>
          <w:rStyle w:val="SectionNumber"/>
        </w:rPr>
        <w:t xml:space="preserve">4.3.2</w:t>
      </w:r>
      <w:r>
        <w:tab/>
      </w:r>
      <w:r>
        <w:t xml:space="preserve">Phase 2: Knowledge Capture and Learning (Months 4-6)</w:t>
      </w:r>
    </w:p>
    <w:p>
      <w:pPr>
        <w:pStyle w:val="FirstParagraph"/>
      </w:pPr>
      <w:r>
        <w:rPr>
          <w:b/>
          <w:bCs/>
        </w:rPr>
        <w:t xml:space="preserve">Objectives</w:t>
      </w:r>
      <w:r>
        <w:t xml:space="preserve">: Begin institutional knowledge capture and establish organizational context understanding.</w:t>
      </w:r>
    </w:p>
    <w:p>
      <w:pPr>
        <w:pStyle w:val="BodyText"/>
      </w:pPr>
      <w:r>
        <w:rPr>
          <w:b/>
          <w:bCs/>
        </w:rPr>
        <w:t xml:space="preserve">Key Activities</w:t>
      </w:r>
      <w:r>
        <w:t xml:space="preserve">:</w:t>
      </w:r>
      <w:r>
        <w:t xml:space="preserve"> </w:t>
      </w:r>
      <w:r>
        <w:t xml:space="preserve">- Deployment with limited user groups (data analysts, clinical informatics staff)</w:t>
      </w:r>
      <w:r>
        <w:t xml:space="preserve"> </w:t>
      </w:r>
      <w:r>
        <w:t xml:space="preserve">- Capture of organizational data definitions and business rules</w:t>
      </w:r>
      <w:r>
        <w:t xml:space="preserve"> </w:t>
      </w:r>
      <w:r>
        <w:t xml:space="preserve">- Learning from existing analytical patterns and reporting requirements</w:t>
      </w:r>
      <w:r>
        <w:t xml:space="preserve"> </w:t>
      </w:r>
      <w:r>
        <w:t xml:space="preserve">- Development of organization-specific query templates and best practices</w:t>
      </w:r>
      <w:r>
        <w:t xml:space="preserve"> </w:t>
      </w:r>
      <w:r>
        <w:t xml:space="preserve">- Integration of domain expert feedback and corrections</w:t>
      </w:r>
    </w:p>
    <w:p>
      <w:pPr>
        <w:pStyle w:val="BodyText"/>
      </w:pPr>
      <w:r>
        <w:rPr>
          <w:b/>
          <w:bCs/>
        </w:rPr>
        <w:t xml:space="preserve">Success Metrics</w:t>
      </w:r>
      <w:r>
        <w:t xml:space="preserve">:</w:t>
      </w:r>
      <w:r>
        <w:t xml:space="preserve"> </w:t>
      </w:r>
      <w:r>
        <w:t xml:space="preserve">- 80% accuracy in interpreting organizational data requests</w:t>
      </w:r>
      <w:r>
        <w:t xml:space="preserve"> </w:t>
      </w:r>
      <w:r>
        <w:t xml:space="preserve">- Successful capture of existing analytical workflows</w:t>
      </w:r>
      <w:r>
        <w:t xml:space="preserve"> </w:t>
      </w:r>
      <w:r>
        <w:t xml:space="preserve">- Positive user feedback from limited deployment groups</w:t>
      </w:r>
      <w:r>
        <w:t xml:space="preserve"> </w:t>
      </w:r>
      <w:r>
        <w:t xml:space="preserve">- Establishment of continuous learning feedback loops</w:t>
      </w:r>
    </w:p>
    <w:bookmarkEnd w:id="61"/>
    <w:bookmarkStart w:id="62" w:name="X238b9b5d024f377c949a2579f088089135fdf24"/>
    <w:p>
      <w:pPr>
        <w:pStyle w:val="Heading3"/>
      </w:pPr>
      <w:r>
        <w:rPr>
          <w:rStyle w:val="SectionNumber"/>
        </w:rPr>
        <w:t xml:space="preserve">4.3.3</w:t>
      </w:r>
      <w:r>
        <w:tab/>
      </w:r>
      <w:r>
        <w:t xml:space="preserve">Phase 3: Democratization and Scale (Months 7-12)</w:t>
      </w:r>
    </w:p>
    <w:p>
      <w:pPr>
        <w:pStyle w:val="FirstParagraph"/>
      </w:pPr>
      <w:r>
        <w:rPr>
          <w:b/>
          <w:bCs/>
        </w:rPr>
        <w:t xml:space="preserve">Objectives</w:t>
      </w:r>
      <w:r>
        <w:t xml:space="preserve">: Extend access to clinical staff and achieve organizational analytics democratization.</w:t>
      </w:r>
    </w:p>
    <w:p>
      <w:pPr>
        <w:pStyle w:val="BodyText"/>
      </w:pPr>
      <w:r>
        <w:rPr>
          <w:b/>
          <w:bCs/>
        </w:rPr>
        <w:t xml:space="preserve">Key Activities</w:t>
      </w:r>
      <w:r>
        <w:t xml:space="preserve">:</w:t>
      </w:r>
      <w:r>
        <w:t xml:space="preserve"> </w:t>
      </w:r>
      <w:r>
        <w:t xml:space="preserve">- Broader deployment to clinical departments and operational teams</w:t>
      </w:r>
      <w:r>
        <w:t xml:space="preserve"> </w:t>
      </w:r>
      <w:r>
        <w:t xml:space="preserve">- Advanced analytical capability development (predictive analytics, population health)</w:t>
      </w:r>
      <w:r>
        <w:t xml:space="preserve"> </w:t>
      </w:r>
      <w:r>
        <w:t xml:space="preserve">- Self-service analytics enablement for non-technical users</w:t>
      </w:r>
      <w:r>
        <w:t xml:space="preserve"> </w:t>
      </w:r>
      <w:r>
        <w:t xml:space="preserve">- Advanced visualization and reporting capability implementation</w:t>
      </w:r>
      <w:r>
        <w:t xml:space="preserve"> </w:t>
      </w:r>
      <w:r>
        <w:t xml:space="preserve">- Organizational change management and training programs</w:t>
      </w:r>
    </w:p>
    <w:p>
      <w:pPr>
        <w:pStyle w:val="BodyText"/>
      </w:pPr>
      <w:r>
        <w:rPr>
          <w:b/>
          <w:bCs/>
        </w:rPr>
        <w:t xml:space="preserve">Success Metrics</w:t>
      </w:r>
      <w:r>
        <w:t xml:space="preserve">:</w:t>
      </w:r>
      <w:r>
        <w:t xml:space="preserve"> </w:t>
      </w:r>
      <w:r>
        <w:t xml:space="preserve">- Significant reduction in time-to-insight for clinical users</w:t>
      </w:r>
      <w:r>
        <w:t xml:space="preserve"> </w:t>
      </w:r>
      <w:r>
        <w:t xml:space="preserve">- Substantial reduction in query development time</w:t>
      </w:r>
      <w:r>
        <w:t xml:space="preserve"> </w:t>
      </w:r>
      <w:r>
        <w:t xml:space="preserve">- High success rate for clinical users completing analyses independently</w:t>
      </w:r>
      <w:r>
        <w:t xml:space="preserve"> </w:t>
      </w:r>
      <w:r>
        <w:t xml:space="preserve">- Measurable advancement in HIMSS AMAM maturity assessment [I1]</w:t>
      </w:r>
    </w:p>
    <w:bookmarkEnd w:id="62"/>
    <w:bookmarkEnd w:id="63"/>
    <w:bookmarkStart w:id="67" w:name="risk-mitigation-and-quality-assurance"/>
    <w:p>
      <w:pPr>
        <w:pStyle w:val="Heading2"/>
      </w:pPr>
      <w:r>
        <w:rPr>
          <w:rStyle w:val="SectionNumber"/>
        </w:rPr>
        <w:t xml:space="preserve">4.4</w:t>
      </w:r>
      <w:r>
        <w:tab/>
      </w:r>
      <w:r>
        <w:t xml:space="preserve">Risk Mitigation and Quality Assurance</w:t>
      </w:r>
    </w:p>
    <w:bookmarkStart w:id="64" w:name="data-quality-and-accuracy"/>
    <w:p>
      <w:pPr>
        <w:pStyle w:val="Heading3"/>
      </w:pPr>
      <w:r>
        <w:rPr>
          <w:rStyle w:val="SectionNumber"/>
        </w:rPr>
        <w:t xml:space="preserve">4.4.1</w:t>
      </w:r>
      <w:r>
        <w:tab/>
      </w:r>
      <w:r>
        <w:t xml:space="preserve">Data Quality and Accuracy</w:t>
      </w:r>
    </w:p>
    <w:p>
      <w:pPr>
        <w:pStyle w:val="FirstParagraph"/>
      </w:pPr>
      <w:r>
        <w:rPr>
          <w:b/>
          <w:bCs/>
        </w:rPr>
        <w:t xml:space="preserve">Challenge</w:t>
      </w:r>
      <w:r>
        <w:t xml:space="preserve">: Ensuring accurate query generation and reliable analytical results in clinical contexts where errors can impact patient care.</w:t>
      </w:r>
    </w:p>
    <w:p>
      <w:pPr>
        <w:pStyle w:val="BodyText"/>
      </w:pPr>
      <w:r>
        <w:rPr>
          <w:b/>
          <w:bCs/>
        </w:rPr>
        <w:t xml:space="preserve">Mitigation Strategies</w:t>
      </w:r>
      <w:r>
        <w:t xml:space="preserve">:</w:t>
      </w:r>
      <w:r>
        <w:t xml:space="preserve"> </w:t>
      </w:r>
      <w:r>
        <w:t xml:space="preserve">- Multi-layer validation including semantic checking, statistical validation, and clinical review</w:t>
      </w:r>
      <w:r>
        <w:t xml:space="preserve"> </w:t>
      </w:r>
      <w:r>
        <w:t xml:space="preserve">- Confidence scoring for AI-generated queries with human review thresholds</w:t>
      </w:r>
      <w:r>
        <w:t xml:space="preserve"> </w:t>
      </w:r>
      <w:r>
        <w:t xml:space="preserve">- Audit trails for all analytical outputs enabling traceability and verification</w:t>
      </w:r>
      <w:r>
        <w:t xml:space="preserve"> </w:t>
      </w:r>
      <w:r>
        <w:t xml:space="preserve">- Integration with clinical decision support systems for context validation</w:t>
      </w:r>
    </w:p>
    <w:bookmarkEnd w:id="64"/>
    <w:bookmarkStart w:id="65" w:name="change-management-and-adoption"/>
    <w:p>
      <w:pPr>
        <w:pStyle w:val="Heading3"/>
      </w:pPr>
      <w:r>
        <w:rPr>
          <w:rStyle w:val="SectionNumber"/>
        </w:rPr>
        <w:t xml:space="preserve">4.4.2</w:t>
      </w:r>
      <w:r>
        <w:tab/>
      </w:r>
      <w:r>
        <w:t xml:space="preserve">Change Management and Adoption</w:t>
      </w:r>
    </w:p>
    <w:p>
      <w:pPr>
        <w:pStyle w:val="FirstParagraph"/>
      </w:pPr>
      <w:r>
        <w:rPr>
          <w:b/>
          <w:bCs/>
        </w:rPr>
        <w:t xml:space="preserve">Challenge</w:t>
      </w:r>
      <w:r>
        <w:t xml:space="preserve">: Overcoming resistance to new analytics approaches and ensuring successful organizational adoption.</w:t>
      </w:r>
    </w:p>
    <w:p>
      <w:pPr>
        <w:pStyle w:val="BodyText"/>
      </w:pPr>
      <w:r>
        <w:rPr>
          <w:b/>
          <w:bCs/>
        </w:rPr>
        <w:t xml:space="preserve">Mitigation Strategies</w:t>
      </w:r>
      <w:r>
        <w:t xml:space="preserve">:</w:t>
      </w:r>
      <w:r>
        <w:t xml:space="preserve"> </w:t>
      </w:r>
      <w:r>
        <w:t xml:space="preserve">- Gradual deployment beginning with analytics-savvy early adopters</w:t>
      </w:r>
      <w:r>
        <w:t xml:space="preserve"> </w:t>
      </w:r>
      <w:r>
        <w:t xml:space="preserve">- Comprehensive training programs tailored to clinical workflows</w:t>
      </w:r>
      <w:r>
        <w:t xml:space="preserve"> </w:t>
      </w:r>
      <w:r>
        <w:t xml:space="preserve">- Champions program utilizing domain experts as internal advocates</w:t>
      </w:r>
      <w:r>
        <w:t xml:space="preserve"> </w:t>
      </w:r>
      <w:r>
        <w:t xml:space="preserve">- Demonstration of quick wins and tangible value through pilot projects</w:t>
      </w:r>
    </w:p>
    <w:bookmarkEnd w:id="65"/>
    <w:bookmarkStart w:id="66" w:name="regulatory-compliance-and-security"/>
    <w:p>
      <w:pPr>
        <w:pStyle w:val="Heading3"/>
      </w:pPr>
      <w:r>
        <w:rPr>
          <w:rStyle w:val="SectionNumber"/>
        </w:rPr>
        <w:t xml:space="preserve">4.4.3</w:t>
      </w:r>
      <w:r>
        <w:tab/>
      </w:r>
      <w:r>
        <w:t xml:space="preserve">Regulatory Compliance and Security</w:t>
      </w:r>
    </w:p>
    <w:p>
      <w:pPr>
        <w:pStyle w:val="FirstParagraph"/>
      </w:pPr>
      <w:r>
        <w:rPr>
          <w:b/>
          <w:bCs/>
        </w:rPr>
        <w:t xml:space="preserve">Challenge</w:t>
      </w:r>
      <w:r>
        <w:t xml:space="preserve">: Maintaining compliance with healthcare regulations (HIPAA, GDPR) while enabling data democratization.</w:t>
      </w:r>
    </w:p>
    <w:p>
      <w:pPr>
        <w:pStyle w:val="BodyText"/>
      </w:pPr>
      <w:r>
        <w:rPr>
          <w:b/>
          <w:bCs/>
        </w:rPr>
        <w:t xml:space="preserve">Mitigation Strategies</w:t>
      </w:r>
      <w:r>
        <w:t xml:space="preserve">:</w:t>
      </w:r>
      <w:r>
        <w:t xml:space="preserve"> </w:t>
      </w:r>
      <w:r>
        <w:t xml:space="preserve">- Role-based access controls integrated with existing identity management systems</w:t>
      </w:r>
      <w:r>
        <w:t xml:space="preserve"> </w:t>
      </w:r>
      <w:r>
        <w:t xml:space="preserve">- Audit logging of all data access and analytical activities</w:t>
      </w:r>
      <w:r>
        <w:t xml:space="preserve"> </w:t>
      </w:r>
      <w:r>
        <w:t xml:space="preserve">- Data de-identification and anonymization capabilities for research and training</w:t>
      </w:r>
      <w:r>
        <w:t xml:space="preserve"> </w:t>
      </w:r>
      <w:r>
        <w:t xml:space="preserve">- Regular security assessments and compliance validation</w:t>
      </w:r>
    </w:p>
    <w:bookmarkEnd w:id="66"/>
    <w:bookmarkEnd w:id="67"/>
    <w:bookmarkEnd w:id="68"/>
    <w:bookmarkStart w:id="79" w:name="X66cabc236ae7269b8de9ac30399e4499b840a55"/>
    <w:p>
      <w:pPr>
        <w:pStyle w:val="Heading1"/>
      </w:pPr>
      <w:r>
        <w:rPr>
          <w:rStyle w:val="SectionNumber"/>
        </w:rPr>
        <w:t xml:space="preserve">5</w:t>
      </w:r>
      <w:r>
        <w:tab/>
      </w:r>
      <w:r>
        <w:t xml:space="preserve">Evaluation: Empirical Evidence from Healthcare Implementations</w:t>
      </w:r>
    </w:p>
    <w:p>
      <w:pPr>
        <w:pStyle w:val="FirstParagraph"/>
      </w:pPr>
      <w:r>
        <w:t xml:space="preserve">This section synthesizes evidence from academic benchmarking studies and real-world healthcare implementations to validate the effectiveness of conversational AI platforms in addressing healthcare analytics challenges.</w:t>
      </w:r>
    </w:p>
    <w:bookmarkStart w:id="73" w:name="academic-study-results"/>
    <w:p>
      <w:pPr>
        <w:pStyle w:val="Heading2"/>
      </w:pPr>
      <w:r>
        <w:rPr>
          <w:rStyle w:val="SectionNumber"/>
        </w:rPr>
        <w:t xml:space="preserve">5.1</w:t>
      </w:r>
      <w:r>
        <w:tab/>
      </w:r>
      <w:r>
        <w:t xml:space="preserve">Academic Study Results</w:t>
      </w:r>
    </w:p>
    <w:bookmarkStart w:id="69" w:name="llm-benchmarking-in-healthcare"/>
    <w:p>
      <w:pPr>
        <w:pStyle w:val="Heading3"/>
      </w:pPr>
      <w:r>
        <w:rPr>
          <w:rStyle w:val="SectionNumber"/>
        </w:rPr>
        <w:t xml:space="preserve">5.1.1</w:t>
      </w:r>
      <w:r>
        <w:tab/>
      </w:r>
      <w:r>
        <w:t xml:space="preserve">LLM Benchmarking in Healthcare</w:t>
      </w:r>
    </w:p>
    <w:p>
      <w:pPr>
        <w:pStyle w:val="FirstParagraph"/>
      </w:pPr>
      <w:r>
        <w:t xml:space="preserve">Recent benchmarking studies provide empirical validation of AI capabilities in healthcare settings. The MedAgentBench study [A9] evaluated medical LLM agents in a virtual EHR environment, finding that Claude 3.5 Sonnet achieved the highest overall success rate of 69.67% on medical agent tasks. This highlights both the potential and current limitations of leveraging LLM agent capabilities in medical applications.</w:t>
      </w:r>
    </w:p>
    <w:p>
      <w:pPr>
        <w:pStyle w:val="BodyText"/>
      </w:pPr>
      <w:r>
        <w:t xml:space="preserve">Chen et al. [A10] conducted comprehensive evaluations of LLMs for medicine, testing models including GPT-4, Claude-3.5, and specialized medical models across clinical tasks. Their findings indicate that even the most advanced LLMs struggle with complex clinical reasoning, underscoring the gap between benchmark performance and actual clinical practice demands.</w:t>
      </w:r>
    </w:p>
    <w:bookmarkEnd w:id="69"/>
    <w:bookmarkStart w:id="70" w:name="healthcare-text-to-sql-benchmarks"/>
    <w:p>
      <w:pPr>
        <w:pStyle w:val="Heading3"/>
      </w:pPr>
      <w:r>
        <w:rPr>
          <w:rStyle w:val="SectionNumber"/>
        </w:rPr>
        <w:t xml:space="preserve">5.1.2</w:t>
      </w:r>
      <w:r>
        <w:tab/>
      </w:r>
      <w:r>
        <w:t xml:space="preserve">Healthcare Text-to-SQL Benchmarks</w:t>
      </w:r>
    </w:p>
    <w:p>
      <w:pPr>
        <w:pStyle w:val="FirstParagraph"/>
      </w:pPr>
      <w:r>
        <w:t xml:space="preserve">The EHRSQL benchmark [A3] provides a practical evaluation framework for text-to-SQL systems on electronic health records. Built on MIMIC-III and eICU datasets, it incorporates time-sensitive queries and unanswerable questions that reflect real clinical scenarios.</w:t>
      </w:r>
    </w:p>
    <w:p>
      <w:pPr>
        <w:pStyle w:val="BodyText"/>
      </w:pPr>
      <w:r>
        <w:t xml:space="preserve">The TREQS/MIMICSQL dataset [A5] established foundational benchmarks for healthcare NL2SQL, demonstrating that healthcare-specific approaches can significantly outperform general-purpose text-to-SQL systems when dealing with clinical terminology and complex medical queries.</w:t>
      </w:r>
    </w:p>
    <w:bookmarkEnd w:id="70"/>
    <w:bookmarkStart w:id="71" w:name="rag-for-healthcare-queries"/>
    <w:p>
      <w:pPr>
        <w:pStyle w:val="Heading3"/>
      </w:pPr>
      <w:r>
        <w:rPr>
          <w:rStyle w:val="SectionNumber"/>
        </w:rPr>
        <w:t xml:space="preserve">5.1.3</w:t>
      </w:r>
      <w:r>
        <w:tab/>
      </w:r>
      <w:r>
        <w:t xml:space="preserve">RAG for Healthcare Queries</w:t>
      </w:r>
    </w:p>
    <w:p>
      <w:pPr>
        <w:pStyle w:val="FirstParagraph"/>
      </w:pPr>
      <w:r>
        <w:t xml:space="preserve">Ziletti and D’Ambrosi [A6] demonstrated that retrieval augmented generation (RAG) approaches improve text-to-SQL accuracy for epidemiological questions on EHRs. Their key finding that</w:t>
      </w:r>
      <w:r>
        <w:t xml:space="preserve"> </w:t>
      </w:r>
      <w:r>
        <w:t xml:space="preserve">“</w:t>
      </w:r>
      <w:r>
        <w:t xml:space="preserve">current language models are not yet sufficiently accurate for unsupervised use</w:t>
      </w:r>
      <w:r>
        <w:t xml:space="preserve">”</w:t>
      </w:r>
      <w:r>
        <w:t xml:space="preserve"> </w:t>
      </w:r>
      <w:r>
        <w:t xml:space="preserve">provides important guidance for implementation strategies requiring human oversight.</w:t>
      </w:r>
    </w:p>
    <w:bookmarkEnd w:id="71"/>
    <w:bookmarkStart w:id="72" w:name="nlp-in-healthcare"/>
    <w:p>
      <w:pPr>
        <w:pStyle w:val="Heading3"/>
      </w:pPr>
      <w:r>
        <w:rPr>
          <w:rStyle w:val="SectionNumber"/>
        </w:rPr>
        <w:t xml:space="preserve">5.1.4</w:t>
      </w:r>
      <w:r>
        <w:tab/>
      </w:r>
      <w:r>
        <w:t xml:space="preserve">NLP in Healthcare</w:t>
      </w:r>
    </w:p>
    <w:p>
      <w:pPr>
        <w:pStyle w:val="FirstParagraph"/>
      </w:pPr>
      <w:r>
        <w:t xml:space="preserve">Research in healthcare NLP [A4] has examined applications in electronic health records, identifying challenges including the lack of annotated data and automated tools. Key areas of healthcare NLP include clinical entity recognition, information extraction, and clinical terminology processing.</w:t>
      </w:r>
    </w:p>
    <w:bookmarkEnd w:id="72"/>
    <w:bookmarkEnd w:id="73"/>
    <w:bookmarkStart w:id="75" w:name="real-world-case-studies"/>
    <w:p>
      <w:pPr>
        <w:pStyle w:val="Heading2"/>
      </w:pPr>
      <w:r>
        <w:rPr>
          <w:rStyle w:val="SectionNumber"/>
        </w:rPr>
        <w:t xml:space="preserve">5.2</w:t>
      </w:r>
      <w:r>
        <w:tab/>
      </w:r>
      <w:r>
        <w:t xml:space="preserve">Real-World Case Studies</w:t>
      </w:r>
    </w:p>
    <w:bookmarkStart w:id="74" w:name="Xe3772f52e39fc1f87b3d2974b44660530ff8036"/>
    <w:p>
      <w:pPr>
        <w:pStyle w:val="Heading3"/>
      </w:pPr>
      <w:r>
        <w:rPr>
          <w:rStyle w:val="SectionNumber"/>
        </w:rPr>
        <w:t xml:space="preserve">5.2.1</w:t>
      </w:r>
      <w:r>
        <w:tab/>
      </w:r>
      <w:r>
        <w:t xml:space="preserve">Case Study 1: Berkshire Healthcare NHS Trust</w:t>
      </w:r>
    </w:p>
    <w:p>
      <w:pPr>
        <w:pStyle w:val="FirstParagraph"/>
      </w:pPr>
      <w:r>
        <w:rPr>
          <w:b/>
          <w:bCs/>
        </w:rPr>
        <w:t xml:space="preserve">Context</w:t>
      </w:r>
      <w:r>
        <w:t xml:space="preserve">: NHS trust serving patients with complex integrated care pathways spanning acute, community, and mental health services. The organization faced challenges with analytics accessibility for clinical staff.</w:t>
      </w:r>
    </w:p>
    <w:p>
      <w:pPr>
        <w:pStyle w:val="BodyText"/>
      </w:pPr>
      <w:r>
        <w:rPr>
          <w:b/>
          <w:bCs/>
        </w:rPr>
        <w:t xml:space="preserve">Implementation</w:t>
      </w:r>
      <w:r>
        <w:t xml:space="preserve"> </w:t>
      </w:r>
      <w:r>
        <w:t xml:space="preserve">[I4]:</w:t>
      </w:r>
      <w:r>
        <w:t xml:space="preserve"> </w:t>
      </w:r>
      <w:r>
        <w:t xml:space="preserve">-</w:t>
      </w:r>
      <w:r>
        <w:t xml:space="preserve"> </w:t>
      </w:r>
      <w:r>
        <w:rPr>
          <w:b/>
          <w:bCs/>
        </w:rPr>
        <w:t xml:space="preserve">Platform</w:t>
      </w:r>
      <w:r>
        <w:t xml:space="preserve">: Microsoft Power Platform (low-code)</w:t>
      </w:r>
      <w:r>
        <w:t xml:space="preserve"> </w:t>
      </w:r>
      <w:r>
        <w:t xml:space="preserve">-</w:t>
      </w:r>
      <w:r>
        <w:t xml:space="preserve"> </w:t>
      </w:r>
      <w:r>
        <w:rPr>
          <w:b/>
          <w:bCs/>
        </w:rPr>
        <w:t xml:space="preserve">Scope</w:t>
      </w:r>
      <w:r>
        <w:t xml:space="preserve">: 800+</w:t>
      </w:r>
      <w:r>
        <w:t xml:space="preserve"> </w:t>
      </w:r>
      <w:r>
        <w:t xml:space="preserve">“</w:t>
      </w:r>
      <w:r>
        <w:t xml:space="preserve">citizen developers</w:t>
      </w:r>
      <w:r>
        <w:t xml:space="preserve">”</w:t>
      </w:r>
      <w:r>
        <w:t xml:space="preserve"> </w:t>
      </w:r>
      <w:r>
        <w:t xml:space="preserve">(over 1,600 total users)</w:t>
      </w:r>
      <w:r>
        <w:t xml:space="preserve"> </w:t>
      </w:r>
      <w:r>
        <w:t xml:space="preserve">-</w:t>
      </w:r>
      <w:r>
        <w:t xml:space="preserve"> </w:t>
      </w:r>
      <w:r>
        <w:rPr>
          <w:b/>
          <w:bCs/>
        </w:rPr>
        <w:t xml:space="preserve">Training</w:t>
      </w:r>
      <w:r>
        <w:t xml:space="preserve">: Structured citizen developer programme</w:t>
      </w:r>
    </w:p>
    <w:p>
      <w:pPr>
        <w:pStyle w:val="BodyText"/>
      </w:pPr>
      <w:r>
        <w:rPr>
          <w:b/>
          <w:bCs/>
        </w:rPr>
        <w:t xml:space="preserve">Outcomes</w:t>
      </w:r>
      <w:r>
        <w:t xml:space="preserve">:</w:t>
      </w:r>
      <w:r>
        <w:t xml:space="preserve"> </w:t>
      </w:r>
      <w:r>
        <w:t xml:space="preserve">- Healthcare professionals without IT expertise now create custom solutions and apps</w:t>
      </w:r>
      <w:r>
        <w:t xml:space="preserve"> </w:t>
      </w:r>
      <w:r>
        <w:t xml:space="preserve">- Streamlined operations and enabled data-driven decisions</w:t>
      </w:r>
      <w:r>
        <w:t xml:space="preserve"> </w:t>
      </w:r>
      <w:r>
        <w:t xml:space="preserve">- Over 65,000 observations recorded through Power Apps in patient wards</w:t>
      </w:r>
      <w:r>
        <w:t xml:space="preserve"> </w:t>
      </w:r>
      <w:r>
        <w:t xml:space="preserve">- Significant improvement in data accuracy and time given back to clinical service</w:t>
      </w:r>
      <w:r>
        <w:t xml:space="preserve"> </w:t>
      </w:r>
      <w:r>
        <w:t xml:space="preserve">- Backlog of 100+ processes submitted for automation</w:t>
      </w:r>
    </w:p>
    <w:p>
      <w:pPr>
        <w:pStyle w:val="BodyText"/>
      </w:pPr>
      <w:r>
        <w:rPr>
          <w:b/>
          <w:bCs/>
        </w:rPr>
        <w:t xml:space="preserve">Significance</w:t>
      </w:r>
      <w:r>
        <w:t xml:space="preserve">: As one of the first community and mental health NHS trusts in England to achieve Global Digital Exemplar (GDE) accreditation, Berkshire Healthcare demonstrates the potential for low-code platforms in healthcare settings.</w:t>
      </w:r>
    </w:p>
    <w:bookmarkEnd w:id="74"/>
    <w:bookmarkEnd w:id="75"/>
    <w:bookmarkStart w:id="78" w:name="economic-impact-analysis"/>
    <w:p>
      <w:pPr>
        <w:pStyle w:val="Heading2"/>
      </w:pPr>
      <w:r>
        <w:rPr>
          <w:rStyle w:val="SectionNumber"/>
        </w:rPr>
        <w:t xml:space="preserve">5.3</w:t>
      </w:r>
      <w:r>
        <w:tab/>
      </w:r>
      <w:r>
        <w:t xml:space="preserve">Economic Impact Analysis</w:t>
      </w:r>
    </w:p>
    <w:bookmarkStart w:id="76" w:name="return-on-investment-evidence-1"/>
    <w:p>
      <w:pPr>
        <w:pStyle w:val="Heading3"/>
      </w:pPr>
      <w:r>
        <w:rPr>
          <w:rStyle w:val="SectionNumber"/>
        </w:rPr>
        <w:t xml:space="preserve">5.3.1</w:t>
      </w:r>
      <w:r>
        <w:tab/>
      </w:r>
      <w:r>
        <w:t xml:space="preserve">Return on Investment Evidence</w:t>
      </w:r>
    </w:p>
    <w:p>
      <w:pPr>
        <w:pStyle w:val="FirstParagraph"/>
      </w:pPr>
      <w:r>
        <w:t xml:space="preserve">Economic analyses provide evidence for the financial benefits of low-code and conversational AI platforms. Forrester Research [I5] found:</w:t>
      </w:r>
    </w:p>
    <w:p>
      <w:pPr>
        <w:pStyle w:val="Compact"/>
        <w:numPr>
          <w:ilvl w:val="0"/>
          <w:numId w:val="1004"/>
        </w:numPr>
      </w:pPr>
      <w:r>
        <w:rPr>
          <w:b/>
          <w:bCs/>
        </w:rPr>
        <w:t xml:space="preserve">Three-Year ROI</w:t>
      </w:r>
      <w:r>
        <w:t xml:space="preserve">: 206% for Power Apps implementations</w:t>
      </w:r>
    </w:p>
    <w:p>
      <w:pPr>
        <w:pStyle w:val="Compact"/>
        <w:numPr>
          <w:ilvl w:val="0"/>
          <w:numId w:val="1004"/>
        </w:numPr>
      </w:pPr>
      <w:r>
        <w:rPr>
          <w:b/>
          <w:bCs/>
        </w:rPr>
        <w:t xml:space="preserve">NPV</w:t>
      </w:r>
      <w:r>
        <w:t xml:space="preserve">: $31.0 million over three years for composite organizations</w:t>
      </w:r>
    </w:p>
    <w:p>
      <w:pPr>
        <w:pStyle w:val="Compact"/>
        <w:numPr>
          <w:ilvl w:val="0"/>
          <w:numId w:val="1004"/>
        </w:numPr>
      </w:pPr>
      <w:r>
        <w:rPr>
          <w:b/>
          <w:bCs/>
        </w:rPr>
        <w:t xml:space="preserve">Benefits vs. Costs</w:t>
      </w:r>
      <w:r>
        <w:t xml:space="preserve">: $46.1 million benefits versus $15.1 million costs</w:t>
      </w:r>
    </w:p>
    <w:p>
      <w:pPr>
        <w:pStyle w:val="FirstParagraph"/>
      </w:pPr>
      <w:r>
        <w:t xml:space="preserve">Healthcare implementations typically show ROI approximately 20% lower than other industries due to additional regulatory compliance requirements, but still demonstrate substantial returns.</w:t>
      </w:r>
    </w:p>
    <w:bookmarkEnd w:id="76"/>
    <w:bookmarkStart w:id="77" w:name="market-validation-and-growth"/>
    <w:p>
      <w:pPr>
        <w:pStyle w:val="Heading3"/>
      </w:pPr>
      <w:r>
        <w:rPr>
          <w:rStyle w:val="SectionNumber"/>
        </w:rPr>
        <w:t xml:space="preserve">5.3.2</w:t>
      </w:r>
      <w:r>
        <w:tab/>
      </w:r>
      <w:r>
        <w:t xml:space="preserve">Market Validation and Growth</w:t>
      </w:r>
    </w:p>
    <w:p>
      <w:pPr>
        <w:pStyle w:val="FirstParagraph"/>
      </w:pPr>
      <w:r>
        <w:t xml:space="preserve">Industry market research provides validation for conversational AI adoption in healthcare analytics [I7]:</w:t>
      </w:r>
    </w:p>
    <w:p>
      <w:pPr>
        <w:pStyle w:val="BodyText"/>
      </w:pPr>
      <w:r>
        <w:rPr>
          <w:b/>
          <w:bCs/>
        </w:rPr>
        <w:t xml:space="preserve">Market Growth Evidence</w:t>
      </w:r>
      <w:r>
        <w:t xml:space="preserve">:</w:t>
      </w:r>
      <w:r>
        <w:t xml:space="preserve"> </w:t>
      </w:r>
      <w:r>
        <w:t xml:space="preserve">-</w:t>
      </w:r>
      <w:r>
        <w:t xml:space="preserve"> </w:t>
      </w:r>
      <w:r>
        <w:rPr>
          <w:b/>
          <w:bCs/>
        </w:rPr>
        <w:t xml:space="preserve">Current Market</w:t>
      </w:r>
      <w:r>
        <w:t xml:space="preserve">: $64.49 billion (2025) healthcare analytics market</w:t>
      </w:r>
      <w:r>
        <w:t xml:space="preserve"> </w:t>
      </w:r>
      <w:r>
        <w:t xml:space="preserve">-</w:t>
      </w:r>
      <w:r>
        <w:t xml:space="preserve"> </w:t>
      </w:r>
      <w:r>
        <w:rPr>
          <w:b/>
          <w:bCs/>
        </w:rPr>
        <w:t xml:space="preserve">Projected Growth</w:t>
      </w:r>
      <w:r>
        <w:t xml:space="preserve">: $369.66 billion by 2034</w:t>
      </w:r>
      <w:r>
        <w:t xml:space="preserve"> </w:t>
      </w:r>
      <w:r>
        <w:t xml:space="preserve">-</w:t>
      </w:r>
      <w:r>
        <w:t xml:space="preserve"> </w:t>
      </w:r>
      <w:r>
        <w:rPr>
          <w:b/>
          <w:bCs/>
        </w:rPr>
        <w:t xml:space="preserve">CAGR</w:t>
      </w:r>
      <w:r>
        <w:t xml:space="preserve">: 21.41% from 2025 to 2034</w:t>
      </w:r>
      <w:r>
        <w:t xml:space="preserve"> </w:t>
      </w:r>
      <w:r>
        <w:t xml:space="preserve">-</w:t>
      </w:r>
      <w:r>
        <w:t xml:space="preserve"> </w:t>
      </w:r>
      <w:r>
        <w:rPr>
          <w:b/>
          <w:bCs/>
        </w:rPr>
        <w:t xml:space="preserve">North America Share</w:t>
      </w:r>
      <w:r>
        <w:t xml:space="preserve">: 48.62% of market in 2024</w:t>
      </w:r>
      <w:r>
        <w:t xml:space="preserve"> </w:t>
      </w:r>
      <w:r>
        <w:t xml:space="preserve">-</w:t>
      </w:r>
      <w:r>
        <w:t xml:space="preserve"> </w:t>
      </w:r>
      <w:r>
        <w:rPr>
          <w:b/>
          <w:bCs/>
        </w:rPr>
        <w:t xml:space="preserve">U.S. Market</w:t>
      </w:r>
      <w:r>
        <w:t xml:space="preserve">: Expected to reach $152.03 billion by 2034</w:t>
      </w:r>
    </w:p>
    <w:bookmarkEnd w:id="77"/>
    <w:bookmarkEnd w:id="78"/>
    <w:bookmarkEnd w:id="79"/>
    <w:bookmarkStart w:id="100" w:name="discussion"/>
    <w:p>
      <w:pPr>
        <w:pStyle w:val="Heading1"/>
      </w:pPr>
      <w:r>
        <w:rPr>
          <w:rStyle w:val="SectionNumber"/>
        </w:rPr>
        <w:t xml:space="preserve">6</w:t>
      </w:r>
      <w:r>
        <w:tab/>
      </w:r>
      <w:r>
        <w:t xml:space="preserve">Discussion</w:t>
      </w:r>
    </w:p>
    <w:bookmarkStart w:id="85" w:name="strengths-of-the-evidence-base"/>
    <w:p>
      <w:pPr>
        <w:pStyle w:val="Heading2"/>
      </w:pPr>
      <w:r>
        <w:rPr>
          <w:rStyle w:val="SectionNumber"/>
        </w:rPr>
        <w:t xml:space="preserve">6.1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80" w:name="validated-benchmarking-data"/>
    <w:p>
      <w:pPr>
        <w:pStyle w:val="Heading3"/>
      </w:pPr>
      <w:r>
        <w:rPr>
          <w:rStyle w:val="SectionNumber"/>
        </w:rPr>
        <w:t xml:space="preserve">6.1.1</w:t>
      </w:r>
      <w:r>
        <w:tab/>
      </w:r>
      <w:r>
        <w:t xml:space="preserve">1. 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[A9] and comprehensive medical LLM evaluations [A10] offer reproducible, quantitative performance metrics.</w:t>
      </w:r>
    </w:p>
    <w:bookmarkEnd w:id="80"/>
    <w:bookmarkStart w:id="81" w:name="real-world-implementation-evidence"/>
    <w:p>
      <w:pPr>
        <w:pStyle w:val="Heading3"/>
      </w:pPr>
      <w:r>
        <w:rPr>
          <w:rStyle w:val="SectionNumber"/>
        </w:rPr>
        <w:t xml:space="preserve">6.1.2</w:t>
      </w:r>
      <w:r>
        <w:tab/>
      </w:r>
      <w:r>
        <w:t xml:space="preserve">2. 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81"/>
    <w:bookmarkStart w:id="82" w:name="X4af895dc88143b3f1358d690aa4dbafdaba6a52"/>
    <w:p>
      <w:pPr>
        <w:pStyle w:val="Heading3"/>
      </w:pPr>
      <w:r>
        <w:rPr>
          <w:rStyle w:val="SectionNumber"/>
        </w:rPr>
        <w:t xml:space="preserve">6.1.3</w:t>
      </w:r>
      <w:r>
        <w:tab/>
      </w:r>
      <w:r>
        <w:t xml:space="preserve">3. Address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82"/>
    <w:bookmarkStart w:id="83" w:name="strong-economic-justification"/>
    <w:p>
      <w:pPr>
        <w:pStyle w:val="Heading3"/>
      </w:pPr>
      <w:r>
        <w:rPr>
          <w:rStyle w:val="SectionNumber"/>
        </w:rPr>
        <w:t xml:space="preserve">6.1.4</w:t>
      </w:r>
      <w:r>
        <w:tab/>
      </w:r>
      <w:r>
        <w:t xml:space="preserve">4. 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83"/>
    <w:bookmarkStart w:id="84" w:name="honest-assessment-of-limitations"/>
    <w:p>
      <w:pPr>
        <w:pStyle w:val="Heading3"/>
      </w:pPr>
      <w:r>
        <w:rPr>
          <w:rStyle w:val="SectionNumber"/>
        </w:rPr>
        <w:t xml:space="preserve">6.1.5</w:t>
      </w:r>
      <w:r>
        <w:tab/>
      </w:r>
      <w:r>
        <w:t xml:space="preserve">5. 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84"/>
    <w:bookmarkEnd w:id="85"/>
    <w:bookmarkStart w:id="91" w:name="limitations-and-constraints"/>
    <w:p>
      <w:pPr>
        <w:pStyle w:val="Heading2"/>
      </w:pPr>
      <w:r>
        <w:rPr>
          <w:rStyle w:val="SectionNumber"/>
        </w:rPr>
        <w:t xml:space="preserve">6.2</w:t>
      </w:r>
      <w:r>
        <w:tab/>
      </w:r>
      <w:r>
        <w:t xml:space="preserve">Limitations and Constraints</w:t>
      </w:r>
    </w:p>
    <w:p>
      <w:pPr>
        <w:pStyle w:val="FirstParagraph"/>
      </w:pPr>
      <w:r>
        <w:t xml:space="preserve">Despite strong evidence supporting conversational AI adoption, several limitations must be acknowledged:</w:t>
      </w:r>
    </w:p>
    <w:bookmarkStart w:id="86" w:name="implementation-complexity"/>
    <w:p>
      <w:pPr>
        <w:pStyle w:val="Heading3"/>
      </w:pPr>
      <w:r>
        <w:rPr>
          <w:rStyle w:val="SectionNumber"/>
        </w:rPr>
        <w:t xml:space="preserve">6.2.1</w:t>
      </w:r>
      <w:r>
        <w:tab/>
      </w:r>
      <w:r>
        <w:t xml:space="preserve">1. 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[I8].</w:t>
      </w:r>
    </w:p>
    <w:bookmarkEnd w:id="86"/>
    <w:bookmarkStart w:id="87" w:name="X45f8c7a46a04784e9744b636e11bc2977732e83"/>
    <w:p>
      <w:pPr>
        <w:pStyle w:val="Heading3"/>
      </w:pPr>
      <w:r>
        <w:rPr>
          <w:rStyle w:val="SectionNumber"/>
        </w:rPr>
        <w:t xml:space="preserve">6.2.2</w:t>
      </w:r>
      <w:r>
        <w:tab/>
      </w:r>
      <w:r>
        <w:t xml:space="preserve">2. 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87"/>
    <w:bookmarkStart w:id="88" w:name="long-term-outcome-uncertainties"/>
    <w:p>
      <w:pPr>
        <w:pStyle w:val="Heading3"/>
      </w:pPr>
      <w:r>
        <w:rPr>
          <w:rStyle w:val="SectionNumber"/>
        </w:rPr>
        <w:t xml:space="preserve">6.2.3</w:t>
      </w:r>
      <w:r>
        <w:tab/>
      </w:r>
      <w:r>
        <w:t xml:space="preserve">3. 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[Section 6] identifies this as a priority area for future investigation.</w:t>
      </w:r>
    </w:p>
    <w:bookmarkEnd w:id="88"/>
    <w:bookmarkStart w:id="89" w:name="X2274a69eeb0cb360e25f4a0c6de53a1a41ef3b2"/>
    <w:p>
      <w:pPr>
        <w:pStyle w:val="Heading3"/>
      </w:pPr>
      <w:r>
        <w:rPr>
          <w:rStyle w:val="SectionNumber"/>
        </w:rPr>
        <w:t xml:space="preserve">6.2.4</w:t>
      </w:r>
      <w:r>
        <w:tab/>
      </w:r>
      <w:r>
        <w:t xml:space="preserve">4. 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9"/>
    <w:bookmarkStart w:id="90" w:name="specialty-specific-application-gaps"/>
    <w:p>
      <w:pPr>
        <w:pStyle w:val="Heading3"/>
      </w:pPr>
      <w:r>
        <w:rPr>
          <w:rStyle w:val="SectionNumber"/>
        </w:rPr>
        <w:t xml:space="preserve">6.2.5</w:t>
      </w:r>
      <w:r>
        <w:tab/>
      </w:r>
      <w:r>
        <w:t xml:space="preserve">5. 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90"/>
    <w:bookmarkEnd w:id="91"/>
    <w:bookmarkStart w:id="95" w:name="future-research-directions"/>
    <w:p>
      <w:pPr>
        <w:pStyle w:val="Heading2"/>
      </w:pPr>
      <w:r>
        <w:rPr>
          <w:rStyle w:val="SectionNumber"/>
        </w:rPr>
        <w:t xml:space="preserve">6.3</w:t>
      </w:r>
      <w:r>
        <w:tab/>
      </w:r>
      <w:r>
        <w:t xml:space="preserve">Future Research Directions</w:t>
      </w:r>
    </w:p>
    <w:p>
      <w:pPr>
        <w:pStyle w:val="FirstParagraph"/>
      </w:pPr>
      <w:r>
        <w:t xml:space="preserve">The evidence review identifies several priority areas for future investigation:</w:t>
      </w:r>
    </w:p>
    <w:bookmarkStart w:id="92" w:name="X70555c59219f977f9893bbbef433dd01d69129c"/>
    <w:p>
      <w:pPr>
        <w:pStyle w:val="Heading3"/>
      </w:pPr>
      <w:r>
        <w:rPr>
          <w:rStyle w:val="SectionNumber"/>
        </w:rPr>
        <w:t xml:space="preserve">6.3.1</w:t>
      </w:r>
      <w:r>
        <w:tab/>
      </w:r>
      <w:r>
        <w:t xml:space="preserve">Short-Term Research Priorities (6-12 months)</w:t>
      </w:r>
    </w:p>
    <w:p>
      <w:pPr>
        <w:pStyle w:val="Compact"/>
        <w:numPr>
          <w:ilvl w:val="0"/>
          <w:numId w:val="1005"/>
        </w:numPr>
      </w:pPr>
      <w:r>
        <w:rPr>
          <w:b/>
          <w:bCs/>
        </w:rPr>
        <w:t xml:space="preserve">Specialty Domain Validation</w:t>
      </w:r>
      <w:r>
        <w:t xml:space="preserve">: Empirical studies in specialized clinical areas to validate generalizability</w:t>
      </w:r>
    </w:p>
    <w:p>
      <w:pPr>
        <w:pStyle w:val="Compact"/>
        <w:numPr>
          <w:ilvl w:val="0"/>
          <w:numId w:val="1005"/>
        </w:numPr>
      </w:pPr>
      <w:r>
        <w:rPr>
          <w:b/>
          <w:bCs/>
        </w:rPr>
        <w:t xml:space="preserve">Governance Framework Development</w:t>
      </w:r>
      <w:r>
        <w:t xml:space="preserve">: Research on optimal governance models for democratized analytics</w:t>
      </w:r>
    </w:p>
    <w:p>
      <w:pPr>
        <w:pStyle w:val="Compact"/>
        <w:numPr>
          <w:ilvl w:val="0"/>
          <w:numId w:val="1005"/>
        </w:numPr>
      </w:pPr>
      <w:r>
        <w:rPr>
          <w:b/>
          <w:bCs/>
        </w:rPr>
        <w:t xml:space="preserve">Integration Pattern Analysis</w:t>
      </w:r>
      <w:r>
        <w:t xml:space="preserve">: Technical research on architectural patterns for healthcare IT ecosystem integration</w:t>
      </w:r>
    </w:p>
    <w:bookmarkEnd w:id="92"/>
    <w:bookmarkStart w:id="93" w:name="X7d60b5f2cd724c2ff27fb462003d9a6f0f38ecc"/>
    <w:p>
      <w:pPr>
        <w:pStyle w:val="Heading3"/>
      </w:pPr>
      <w:r>
        <w:rPr>
          <w:rStyle w:val="SectionNumber"/>
        </w:rPr>
        <w:t xml:space="preserve">6.3.2</w:t>
      </w:r>
      <w:r>
        <w:tab/>
      </w:r>
      <w:r>
        <w:t xml:space="preserve">Medium-Term Research Priorities (1-2 years)</w:t>
      </w:r>
    </w:p>
    <w:p>
      <w:pPr>
        <w:pStyle w:val="Compact"/>
        <w:numPr>
          <w:ilvl w:val="0"/>
          <w:numId w:val="1006"/>
        </w:numPr>
      </w:pPr>
      <w:r>
        <w:rPr>
          <w:b/>
          <w:bCs/>
        </w:rPr>
        <w:t xml:space="preserve">Longitudinal Outcome Studies</w:t>
      </w:r>
      <w:r>
        <w:t xml:space="preserve">: Multi-year implementations to assess sustained benefits and organizational evolution</w:t>
      </w:r>
    </w:p>
    <w:p>
      <w:pPr>
        <w:pStyle w:val="Compact"/>
        <w:numPr>
          <w:ilvl w:val="0"/>
          <w:numId w:val="1006"/>
        </w:numPr>
      </w:pPr>
      <w:r>
        <w:rPr>
          <w:b/>
          <w:bCs/>
        </w:rPr>
        <w:t xml:space="preserve">Comparative Effectiveness Research</w:t>
      </w:r>
      <w:r>
        <w:t xml:space="preserve">: Head-to-head comparisons of different conversational AI approaches</w:t>
      </w:r>
    </w:p>
    <w:p>
      <w:pPr>
        <w:pStyle w:val="Compact"/>
        <w:numPr>
          <w:ilvl w:val="0"/>
          <w:numId w:val="1006"/>
        </w:numPr>
      </w:pPr>
      <w:r>
        <w:rPr>
          <w:b/>
          <w:bCs/>
        </w:rPr>
        <w:t xml:space="preserve">Training Methodology Optimization</w:t>
      </w:r>
      <w:r>
        <w:t xml:space="preserve">: Evidence-based approaches for transitioning from traditional to conversational analytics</w:t>
      </w:r>
    </w:p>
    <w:bookmarkEnd w:id="93"/>
    <w:bookmarkStart w:id="94" w:name="long-term-research-priorities-2-years"/>
    <w:p>
      <w:pPr>
        <w:pStyle w:val="Heading3"/>
      </w:pPr>
      <w:r>
        <w:rPr>
          <w:rStyle w:val="SectionNumber"/>
        </w:rPr>
        <w:t xml:space="preserve">6.3.3</w:t>
      </w:r>
      <w:r>
        <w:tab/>
      </w:r>
      <w:r>
        <w:t xml:space="preserve">Long-Term Research Priorities (2+ years)</w:t>
      </w:r>
    </w:p>
    <w:p>
      <w:pPr>
        <w:pStyle w:val="Compact"/>
        <w:numPr>
          <w:ilvl w:val="0"/>
          <w:numId w:val="1007"/>
        </w:numPr>
      </w:pPr>
      <w:r>
        <w:rPr>
          <w:b/>
          <w:bCs/>
        </w:rPr>
        <w:t xml:space="preserve">Organizational Transformation Studies</w:t>
      </w:r>
      <w:r>
        <w:t xml:space="preserve">: Research on how conversational AI platforms reshape healthcare organizational capabilities</w:t>
      </w:r>
    </w:p>
    <w:p>
      <w:pPr>
        <w:pStyle w:val="Compact"/>
        <w:numPr>
          <w:ilvl w:val="0"/>
          <w:numId w:val="1007"/>
        </w:numPr>
      </w:pPr>
      <w:r>
        <w:rPr>
          <w:b/>
          <w:bCs/>
        </w:rPr>
        <w:t xml:space="preserve">Clinical Outcome Impact Assessment</w:t>
      </w:r>
      <w:r>
        <w:t xml:space="preserve">: Studies linking improved analytics access to patient care outcomes</w:t>
      </w:r>
    </w:p>
    <w:p>
      <w:pPr>
        <w:pStyle w:val="Compact"/>
        <w:numPr>
          <w:ilvl w:val="0"/>
          <w:numId w:val="1007"/>
        </w:numPr>
      </w:pPr>
      <w:r>
        <w:rPr>
          <w:b/>
          <w:bCs/>
        </w:rPr>
        <w:t xml:space="preserve">Predictive Analytics Integration</w:t>
      </w:r>
      <w:r>
        <w:t xml:space="preserve">: Research on combining conversational interfaces with advanced predictive modeling</w:t>
      </w:r>
    </w:p>
    <w:bookmarkEnd w:id="94"/>
    <w:bookmarkEnd w:id="95"/>
    <w:bookmarkStart w:id="99" w:name="X655f7faf8ada965dcdcaa0e7f463cb4a3ee5bd1"/>
    <w:p>
      <w:pPr>
        <w:pStyle w:val="Heading2"/>
      </w:pPr>
      <w:r>
        <w:rPr>
          <w:rStyle w:val="SectionNumber"/>
        </w:rPr>
        <w:t xml:space="preserve">6.4</w:t>
      </w:r>
      <w:r>
        <w:tab/>
      </w:r>
      <w:r>
        <w:t xml:space="preserve">Implications for Healthcare Organizations</w:t>
      </w:r>
    </w:p>
    <w:p>
      <w:pPr>
        <w:pStyle w:val="FirstParagraph"/>
      </w:pPr>
      <w:r>
        <w:t xml:space="preserve">The evidence has immediate implications for healthcare leaders considering analytics strategy:</w:t>
      </w:r>
    </w:p>
    <w:bookmarkStart w:id="96" w:name="strategic-imperative"/>
    <w:p>
      <w:pPr>
        <w:pStyle w:val="Heading3"/>
      </w:pPr>
      <w:r>
        <w:rPr>
          <w:rStyle w:val="SectionNumber"/>
        </w:rPr>
        <w:t xml:space="preserve">6.4.1</w:t>
      </w:r>
      <w:r>
        <w:tab/>
      </w:r>
      <w:r>
        <w:t xml:space="preserve">Strategic Imperative</w:t>
      </w:r>
    </w:p>
    <w:p>
      <w:pPr>
        <w:pStyle w:val="FirstParagraph"/>
      </w:pPr>
      <w:r>
        <w:t xml:space="preserve">The convergence of low analytics maturity, workforce turnover challenges, and technical barriers creates a strategic imperative for action. Organizations that delay conversational AI adoption risk falling further behind in analytics capabilities while continuing to lose institutional knowledge through turnover.</w:t>
      </w:r>
    </w:p>
    <w:bookmarkEnd w:id="96"/>
    <w:bookmarkStart w:id="97" w:name="implementation-approach"/>
    <w:p>
      <w:pPr>
        <w:pStyle w:val="Heading3"/>
      </w:pPr>
      <w:r>
        <w:rPr>
          <w:rStyle w:val="SectionNumber"/>
        </w:rPr>
        <w:t xml:space="preserve">6.4.2</w:t>
      </w:r>
      <w:r>
        <w:tab/>
      </w:r>
      <w:r>
        <w:t xml:space="preserve">Implementation Approach</w:t>
      </w:r>
    </w:p>
    <w:p>
      <w:pPr>
        <w:pStyle w:val="FirstParagraph"/>
      </w:pPr>
      <w:r>
        <w:t xml:space="preserve">Evidence suggests that successful implementations require:</w:t>
      </w:r>
      <w:r>
        <w:t xml:space="preserve"> </w:t>
      </w:r>
      <w:r>
        <w:t xml:space="preserve">-</w:t>
      </w:r>
      <w:r>
        <w:t xml:space="preserve"> </w:t>
      </w:r>
      <w:r>
        <w:rPr>
          <w:b/>
          <w:bCs/>
        </w:rPr>
        <w:t xml:space="preserve">Executive Commitment</w:t>
      </w:r>
      <w:r>
        <w:t xml:space="preserve">: Strong leadership support throughout the 18-month average implementation timeline</w:t>
      </w:r>
      <w:r>
        <w:t xml:space="preserve"> </w:t>
      </w:r>
      <w:r>
        <w:t xml:space="preserve">-</w:t>
      </w:r>
      <w:r>
        <w:t xml:space="preserve"> </w:t>
      </w:r>
      <w:r>
        <w:rPr>
          <w:b/>
          <w:bCs/>
        </w:rPr>
        <w:t xml:space="preserve">Change Management Investment</w:t>
      </w:r>
      <w:r>
        <w:t xml:space="preserve">: Comprehensive training and support programs to ensure user adoption</w:t>
      </w:r>
      <w:r>
        <w:t xml:space="preserve"> </w:t>
      </w:r>
      <w:r>
        <w:t xml:space="preserve">-</w:t>
      </w:r>
      <w:r>
        <w:t xml:space="preserve"> </w:t>
      </w:r>
      <w:r>
        <w:rPr>
          <w:b/>
          <w:bCs/>
        </w:rPr>
        <w:t xml:space="preserve">Phased Deployment</w:t>
      </w:r>
      <w:r>
        <w:t xml:space="preserve">: Gradual rollout beginning with analytics-savvy early adopters</w:t>
      </w:r>
      <w:r>
        <w:t xml:space="preserve"> </w:t>
      </w:r>
      <w:r>
        <w:t xml:space="preserve">-</w:t>
      </w:r>
      <w:r>
        <w:t xml:space="preserve"> </w:t>
      </w:r>
      <w:r>
        <w:rPr>
          <w:b/>
          <w:bCs/>
        </w:rPr>
        <w:t xml:space="preserve">Governance Framework Development</w:t>
      </w:r>
      <w:r>
        <w:t xml:space="preserve">: New policies and procedures for democratized analytics</w:t>
      </w:r>
    </w:p>
    <w:bookmarkEnd w:id="97"/>
    <w:bookmarkStart w:id="98" w:name="competitive-advantage"/>
    <w:p>
      <w:pPr>
        <w:pStyle w:val="Heading3"/>
      </w:pPr>
      <w:r>
        <w:rPr>
          <w:rStyle w:val="SectionNumber"/>
        </w:rPr>
        <w:t xml:space="preserve">6.4.3</w:t>
      </w:r>
      <w:r>
        <w:tab/>
      </w:r>
      <w:r>
        <w:t xml:space="preserve">Competitive Advantage</w:t>
      </w:r>
    </w:p>
    <w:p>
      <w:pPr>
        <w:pStyle w:val="FirstParagraph"/>
      </w:pPr>
      <w:r>
        <w:t xml:space="preserve">Early adopters gain significant competitive advantages through improved decision-making speed, operational efficiency, and clinical insights. The Berkshire Healthcare NHS Trust example [I4] demonstrates how low-code platforms enable healthcare professionals to independently create solutions, creating operational advantages.</w:t>
      </w:r>
    </w:p>
    <w:bookmarkEnd w:id="98"/>
    <w:bookmarkEnd w:id="99"/>
    <w:bookmarkEnd w:id="100"/>
    <w:bookmarkStart w:id="104" w:name="conclusion"/>
    <w:p>
      <w:pPr>
        <w:pStyle w:val="Heading1"/>
      </w:pPr>
      <w:r>
        <w:rPr>
          <w:rStyle w:val="SectionNumber"/>
        </w:rPr>
        <w:t xml:space="preserve">7</w:t>
      </w:r>
      <w:r>
        <w:tab/>
      </w:r>
      <w:r>
        <w:t xml:space="preserve">Conclusion</w:t>
      </w:r>
    </w:p>
    <w:p>
      <w:pPr>
        <w:pStyle w:val="FirstParagraph"/>
      </w:pPr>
      <w:r>
        <w:t xml:space="preserve">The peer-reviewed literature provides compelling evidence for implementing conversational AI platforms in healthcare settings. The convergence of technical advances in natural language to SQL generation, critically low analytics maturity in healthcare organizations, and devastating institutional memory loss from workforce turnover creates both urgent need and strategic opportunity.</w:t>
      </w:r>
    </w:p>
    <w:bookmarkStart w:id="101" w:name="key-findings"/>
    <w:p>
      <w:pPr>
        <w:pStyle w:val="Heading2"/>
      </w:pPr>
      <w:r>
        <w:rPr>
          <w:rStyle w:val="SectionNumber"/>
        </w:rPr>
        <w:t xml:space="preserve">7.1</w:t>
      </w:r>
      <w:r>
        <w:tab/>
      </w:r>
      <w:r>
        <w:t xml:space="preserve">Key Findings</w:t>
      </w:r>
    </w:p>
    <w:p>
      <w:pPr>
        <w:pStyle w:val="FirstParagraph"/>
      </w:pPr>
      <w:r>
        <w:t xml:space="preserve">This review of academic and industry sources establishes several critical findings:</w:t>
      </w:r>
    </w:p>
    <w:p>
      <w:pPr>
        <w:numPr>
          <w:ilvl w:val="0"/>
          <w:numId w:val="1008"/>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08"/>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08"/>
        </w:numPr>
      </w:pPr>
      <w:r>
        <w:rPr>
          <w:b/>
          <w:bCs/>
        </w:rPr>
        <w:t xml:space="preserve">Workforce Impact</w:t>
      </w:r>
      <w:r>
        <w:t xml:space="preserve">: Healthcare workforce turnover rates of 8-36% [A1, A2] create institutional memory loss, with replacement costs reaching 1.5-2x annual salary [I6]. This creates urgent need for knowledge preservation approaches.</w:t>
      </w:r>
    </w:p>
    <w:p>
      <w:pPr>
        <w:numPr>
          <w:ilvl w:val="0"/>
          <w:numId w:val="1008"/>
        </w:numPr>
      </w:pPr>
      <w:r>
        <w:rPr>
          <w:b/>
          <w:bCs/>
        </w:rPr>
        <w:t xml:space="preserve">Implementation Evidence</w:t>
      </w:r>
      <w:r>
        <w:t xml:space="preserve">: Real-world implementations like Berkshire Healthcare NHS Trust [I4] demonstrate that low-code platforms can enable 800+ citizen developers in healthcare settings, with Forrester Research [I5] documenting 206% three-year ROI.</w:t>
      </w:r>
    </w:p>
    <w:bookmarkEnd w:id="101"/>
    <w:bookmarkStart w:id="102" w:name="strategic-implications"/>
    <w:p>
      <w:pPr>
        <w:pStyle w:val="Heading2"/>
      </w:pPr>
      <w:r>
        <w:rPr>
          <w:rStyle w:val="SectionNumber"/>
        </w:rPr>
        <w:t xml:space="preserve">7.2</w:t>
      </w:r>
      <w:r>
        <w:tab/>
      </w:r>
      <w:r>
        <w:t xml:space="preserve">Strategic Implications</w:t>
      </w:r>
    </w:p>
    <w:p>
      <w:pPr>
        <w:pStyle w:val="FirstParagraph"/>
      </w:pPr>
      <w:r>
        <w:t xml:space="preserve">Healthcare organizations face a clear strategic choice: continue struggling with inaccessible analytics tools that require extensive technical expertise, or adopt conversational AI platforms that democratize data access while preserving institutional knowledge. The evidence supports the latter approach, with appropriate human oversight.</w:t>
      </w:r>
    </w:p>
    <w:p>
      <w:pPr>
        <w:pStyle w:val="BodyText"/>
      </w:pPr>
      <w:r>
        <w:t xml:space="preserve">The financial case is supported by industry analysis showing 206% three-year ROI [I5] and a healthcare analytics market growing to $369.66 billion by 2034 [I7]. The organizational capability development enabled by conversational AI platforms positions healthcare organizations for competitive advantage in an increasingly data-driven industry.</w:t>
      </w:r>
    </w:p>
    <w:bookmarkEnd w:id="102"/>
    <w:bookmarkStart w:id="103" w:name="call-to-action"/>
    <w:p>
      <w:pPr>
        <w:pStyle w:val="Heading2"/>
      </w:pPr>
      <w:r>
        <w:rPr>
          <w:rStyle w:val="SectionNumber"/>
        </w:rPr>
        <w:t xml:space="preserve">7.3</w:t>
      </w:r>
      <w:r>
        <w:tab/>
      </w:r>
      <w:r>
        <w:t xml:space="preserve">Call to Action</w:t>
      </w:r>
    </w:p>
    <w:p>
      <w:pPr>
        <w:pStyle w:val="FirstParagraph"/>
      </w:pPr>
      <w:r>
        <w:t xml:space="preserve">Healthcare leaders should prioritize conversational AI platform evaluation and implementation as a strategic response to analytics challenges, workforce constraints, and institutional memory preservation needs. The evidence base is sufficient to justify immediate action, while delays risk falling further behind in organizational analytics maturity.</w:t>
      </w:r>
    </w:p>
    <w:p>
      <w:pPr>
        <w:pStyle w:val="BodyText"/>
      </w:pPr>
      <w:r>
        <w:t xml:space="preserve">Future research should focus on longitudinal outcomes, specialty-specific applications, and optimal implementation frameworks. However, current evidence provides sufficient justification for healthcare organizations to begin conversational AI platform implementations as a critical component of their digital transformation strategies.</w:t>
      </w:r>
    </w:p>
    <w:p>
      <w:pPr>
        <w:pStyle w:val="BodyText"/>
      </w:pPr>
      <w:r>
        <w:t xml:space="preserve">The question is not whether healthcare organizations should adopt conversational AI platforms, but how quickly they can implement these systems to capture the demonstrated benefits while addressing the urgent challenges facing healthcare analytics today.</w:t>
      </w:r>
    </w:p>
    <w:bookmarkEnd w:id="103"/>
    <w:bookmarkEnd w:id="104"/>
    <w:bookmarkStart w:id="107" w:name="references"/>
    <w:p>
      <w:pPr>
        <w:pStyle w:val="Heading1"/>
      </w:pPr>
      <w:r>
        <w:rPr>
          <w:rStyle w:val="SectionNumber"/>
        </w:rPr>
        <w:t xml:space="preserve">8</w:t>
      </w:r>
      <w:r>
        <w:tab/>
      </w:r>
      <w:r>
        <w:t xml:space="preserve">References</w:t>
      </w:r>
    </w:p>
    <w:bookmarkStart w:id="105" w:name="academic-sources"/>
    <w:p>
      <w:pPr>
        <w:pStyle w:val="Heading2"/>
      </w:pPr>
      <w:r>
        <w:rPr>
          <w:rStyle w:val="SectionNumber"/>
        </w:rPr>
        <w:t xml:space="preserve">8.1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Lee, J., Kim, S., &amp; Park, H. (2022). Medical entity recognition and SQL query generation using semantic parsing for electronic health records.</w:t>
      </w:r>
      <w:r>
        <w:t xml:space="preserve"> </w:t>
      </w:r>
      <w:r>
        <w:rPr>
          <w:i/>
          <w:iCs/>
        </w:rPr>
        <w:t xml:space="preserve">Journal of Biomedical Informatics</w:t>
      </w:r>
      <w:r>
        <w:t xml:space="preserve">, 128, 104037. DOI: 10.1016/j.jbi.2022.104037. https://www.sciencedirect.com/science/article/pii/S1532046422000533</w:t>
      </w:r>
    </w:p>
    <w:p>
      <w:pPr>
        <w:pStyle w:val="BodyText"/>
      </w:pPr>
      <w:r>
        <w:t xml:space="preserve">[A9]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[A10]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bookmarkEnd w:id="105"/>
    <w:bookmarkStart w:id="106" w:name="industry-sources"/>
    <w:p>
      <w:pPr>
        <w:pStyle w:val="Heading2"/>
      </w:pPr>
      <w:r>
        <w:rPr>
          <w:rStyle w:val="SectionNumber"/>
        </w:rPr>
        <w:t xml:space="preserve">8.2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bookmarkEnd w:id="106"/>
    <w:bookmarkEnd w:id="107"/>
    <w:bookmarkStart w:id="114" w:name="appendices"/>
    <w:p>
      <w:pPr>
        <w:pStyle w:val="Heading1"/>
      </w:pPr>
      <w:r>
        <w:rPr>
          <w:rStyle w:val="SectionNumber"/>
        </w:rPr>
        <w:t xml:space="preserve">9</w:t>
      </w:r>
      <w:r>
        <w:tab/>
      </w:r>
      <w:r>
        <w:t xml:space="preserve">Appendices</w:t>
      </w:r>
    </w:p>
    <w:bookmarkStart w:id="108" w:name="appendix-a-healthcare-analytics-glossary"/>
    <w:p>
      <w:pPr>
        <w:pStyle w:val="Heading2"/>
      </w:pPr>
      <w:r>
        <w:rPr>
          <w:rStyle w:val="SectionNumber"/>
        </w:rPr>
        <w:t xml:space="preserve">9.1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8"/>
    <w:bookmarkStart w:id="109" w:name="Xda282ad3909d53d8ac6252a99a3daf0ffe2dfbb"/>
    <w:p>
      <w:pPr>
        <w:pStyle w:val="Heading2"/>
      </w:pPr>
      <w:r>
        <w:rPr>
          <w:rStyle w:val="SectionNumber"/>
        </w:rPr>
        <w:t xml:space="preserve">9.2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9"/>
    <w:bookmarkStart w:id="113" w:name="Xbfd30549e6247e2f3e5132a039875af0e2849bb"/>
    <w:p>
      <w:pPr>
        <w:pStyle w:val="Heading2"/>
      </w:pPr>
      <w:r>
        <w:rPr>
          <w:rStyle w:val="SectionNumber"/>
        </w:rPr>
        <w:t xml:space="preserve">9.3</w:t>
      </w:r>
      <w:r>
        <w:tab/>
      </w:r>
      <w:r>
        <w:t xml:space="preserve">Appendix C: Healthcare NL2SQL Query Examples</w:t>
      </w:r>
    </w:p>
    <w:bookmarkStart w:id="110" w:name="example-1-patient-population-analysis"/>
    <w:p>
      <w:pPr>
        <w:pStyle w:val="Heading3"/>
      </w:pPr>
      <w:r>
        <w:rPr>
          <w:rStyle w:val="SectionNumber"/>
        </w:rPr>
        <w:t xml:space="preserve">9.3.1</w:t>
      </w:r>
      <w:r>
        <w:tab/>
      </w:r>
      <w:r>
        <w:t xml:space="preserve">Example 1: 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0"/>
    <w:bookmarkStart w:id="111" w:name="example-2-operational-metrics"/>
    <w:p>
      <w:pPr>
        <w:pStyle w:val="Heading3"/>
      </w:pPr>
      <w:r>
        <w:rPr>
          <w:rStyle w:val="SectionNumber"/>
        </w:rPr>
        <w:t xml:space="preserve">9.3.2</w:t>
      </w:r>
      <w:r>
        <w:tab/>
      </w:r>
      <w:r>
        <w:t xml:space="preserve">Example 2: 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1"/>
    <w:bookmarkStart w:id="112" w:name="example-3-quality-metrics"/>
    <w:p>
      <w:pPr>
        <w:pStyle w:val="Heading3"/>
      </w:pPr>
      <w:r>
        <w:rPr>
          <w:rStyle w:val="SectionNumber"/>
        </w:rPr>
        <w:t xml:space="preserve">9.3.3</w:t>
      </w:r>
      <w:r>
        <w:tab/>
      </w:r>
      <w:r>
        <w:t xml:space="preserve">Example 3: 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research@yuimedi.com</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2025-12-12T07:29:31Z</dcterms:created>
  <dcterms:modified xsi:type="dcterms:W3CDTF">2025-12-12T07:29:31Z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workforce turnover rates of 8-36% create institutional memory loss, while low-code implementations show 206% three-year ROI. The convergence of technical advances in NL2SQL generation, analytics maturity challenges in healthcare organizations, and workforce turnover creates both urgent need and strategic opportunity for conversational AI platforms with appropriate governance.</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date">
    <vt:lpwstr>December 2025</vt:lpwstr>
  </property>
  <property fmtid="{D5CDD505-2E9C-101B-9397-08002B2CF9AE}" pid="9" name="documentclass">
    <vt:lpwstr>article</vt:lpwstr>
  </property>
  <property fmtid="{D5CDD505-2E9C-101B-9397-08002B2CF9AE}" pid="10" name="fontsize">
    <vt:lpwstr>11pt</vt:lpwstr>
  </property>
  <property fmtid="{D5CDD505-2E9C-101B-9397-08002B2CF9AE}" pid="11" name="footer-center">
    <vt:lpwstr/>
  </property>
  <property fmtid="{D5CDD505-2E9C-101B-9397-08002B2CF9AE}" pid="12" name="footer-left">
    <vt:lpwstr/>
  </property>
  <property fmtid="{D5CDD505-2E9C-101B-9397-08002B2CF9AE}" pid="13" name="footer-right">
    <vt:lpwstr/>
  </property>
  <property fmtid="{D5CDD505-2E9C-101B-9397-08002B2CF9AE}" pid="14" name="geometry">
    <vt:lpwstr>margin=1in</vt:lpwstr>
  </property>
  <property fmtid="{D5CDD505-2E9C-101B-9397-08002B2CF9AE}" pid="15" name="header-left">
    <vt:lpwstr>NL2SQL in Healthcare</vt:lpwstr>
  </property>
  <property fmtid="{D5CDD505-2E9C-101B-9397-08002B2CF9AE}" pid="16" name="header-right">
    <vt:lpwstr>December 2025</vt:lpwstr>
  </property>
  <property fmtid="{D5CDD505-2E9C-101B-9397-08002B2CF9AE}" pid="17" name="license">
    <vt:lpwstr>CC BY 4.0</vt:lpwstr>
  </property>
  <property fmtid="{D5CDD505-2E9C-101B-9397-08002B2CF9AE}" pid="18" name="license-url">
    <vt:lpwstr>https://creativecommons.org/licenses/by/4.0/</vt:lpwstr>
  </property>
  <property fmtid="{D5CDD505-2E9C-101B-9397-08002B2CF9AE}" pid="19" name="linestretch">
    <vt:lpwstr>1.15</vt:lpwstr>
  </property>
  <property fmtid="{D5CDD505-2E9C-101B-9397-08002B2CF9AE}" pid="20" name="linkcolor">
    <vt:lpwstr>blue</vt:lpwstr>
  </property>
  <property fmtid="{D5CDD505-2E9C-101B-9397-08002B2CF9AE}" pid="21" name="listings">
    <vt:lpwstr>True</vt:lpwstr>
  </property>
  <property fmtid="{D5CDD505-2E9C-101B-9397-08002B2CF9AE}" pid="22" name="listings-no-page-break">
    <vt:lpwstr>True</vt:lpwstr>
  </property>
  <property fmtid="{D5CDD505-2E9C-101B-9397-08002B2CF9AE}" pid="23" name="mainfont">
    <vt:lpwstr>DejaVu Serif</vt:lpwstr>
  </property>
  <property fmtid="{D5CDD505-2E9C-101B-9397-08002B2CF9AE}" pid="24" name="monofont">
    <vt:lpwstr>DejaVu Sans Mono</vt:lpwstr>
  </property>
  <property fmtid="{D5CDD505-2E9C-101B-9397-08002B2CF9AE}" pid="25" name="numbersections">
    <vt:lpwstr>True</vt:lpwstr>
  </property>
  <property fmtid="{D5CDD505-2E9C-101B-9397-08002B2CF9AE}" pid="26" name="papersize">
    <vt:lpwstr>letter</vt:lpwstr>
  </property>
  <property fmtid="{D5CDD505-2E9C-101B-9397-08002B2CF9AE}" pid="27" name="prevent-widows">
    <vt:lpwstr>True</vt:lpwstr>
  </property>
  <property fmtid="{D5CDD505-2E9C-101B-9397-08002B2CF9AE}" pid="28" name="sansfont">
    <vt:lpwstr>DejaVu Sans</vt:lpwstr>
  </property>
  <property fmtid="{D5CDD505-2E9C-101B-9397-08002B2CF9AE}" pid="29" name="titlepage">
    <vt:lpwstr>True</vt:lpwstr>
  </property>
  <property fmtid="{D5CDD505-2E9C-101B-9397-08002B2CF9AE}" pid="30" name="titlepage-color">
    <vt:lpwstr>FFFFFF</vt:lpwstr>
  </property>
  <property fmtid="{D5CDD505-2E9C-101B-9397-08002B2CF9AE}" pid="31" name="titlepage-rule-color">
    <vt:lpwstr>000000</vt:lpwstr>
  </property>
  <property fmtid="{D5CDD505-2E9C-101B-9397-08002B2CF9AE}" pid="32" name="titlepage-rule-height">
    <vt:lpwstr>2</vt:lpwstr>
  </property>
  <property fmtid="{D5CDD505-2E9C-101B-9397-08002B2CF9AE}" pid="33" name="titlepage-text-color">
    <vt:lpwstr>000000</vt:lpwstr>
  </property>
  <property fmtid="{D5CDD505-2E9C-101B-9397-08002B2CF9AE}" pid="34" name="toc">
    <vt:lpwstr>True</vt:lpwstr>
  </property>
  <property fmtid="{D5CDD505-2E9C-101B-9397-08002B2CF9AE}" pid="35" name="toc-depth">
    <vt:lpwstr>3</vt:lpwstr>
  </property>
  <property fmtid="{D5CDD505-2E9C-101B-9397-08002B2CF9AE}" pid="36" name="urlcolor">
    <vt:lpwstr>blue</vt:lpwstr>
  </property>
  <property fmtid="{D5CDD505-2E9C-101B-9397-08002B2CF9AE}" pid="37" name="version">
    <vt:lpwstr>1.0.0</vt:lpwstr>
  </property>
</Properties>
</file>