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validated barriers, including perceived threat and workflow disruption, that directly impact the use of analytics tools</w:t>
      </w:r>
      <w:r>
        <w:t xml:space="preserve"> </w:t>
      </w:r>
      <w:r>
        <w:t xml:space="preserve">(</w:t>
      </w:r>
      <w:hyperlink w:anchor="ref-lin2012">
        <w:r>
          <w:rPr>
            <w:rStyle w:val="Hyperlink"/>
          </w:rPr>
          <w:t xml:space="preserve">18</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18"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17"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19</w:t>
        </w:r>
      </w:hyperlink>
      <w:r>
        <w:t xml:space="preserve">,</w:t>
      </w:r>
      <w:hyperlink w:anchor="ref-mosqueirarey2023">
        <w:r>
          <w:rPr>
            <w:rStyle w:val="Hyperlink"/>
          </w:rPr>
          <w:t xml:space="preserve">20</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17"/>
    <w:bookmarkEnd w:id="18"/>
    <w:bookmarkStart w:id="19"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19"/>
    <w:bookmarkEnd w:id="20"/>
    <w:bookmarkStart w:id="27" w:name="methodology"/>
    <w:p>
      <w:pPr>
        <w:pStyle w:val="Heading1"/>
      </w:pPr>
      <w:r>
        <w:rPr>
          <w:rStyle w:val="SectionNumber"/>
        </w:rPr>
        <w:t xml:space="preserve">2</w:t>
      </w:r>
      <w:r>
        <w:tab/>
      </w:r>
      <w:r>
        <w:t xml:space="preserve">Methodology</w:t>
      </w:r>
    </w:p>
    <w:bookmarkStart w:id="21"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21"/>
    <w:bookmarkStart w:id="2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10"/>
        </w:numPr>
      </w:pPr>
      <w:r>
        <w:t xml:space="preserve">Analytics maturity:</w:t>
      </w:r>
      <w:r>
        <w:t xml:space="preserve"> </w:t>
      </w:r>
      <w:r>
        <w:t xml:space="preserve">“healthcare analytics maturity,”</w:t>
      </w:r>
      <w:r>
        <w:t xml:space="preserve"> </w:t>
      </w:r>
      <w:r>
        <w:t xml:space="preserve">“HIMSS AMAM,”</w:t>
      </w:r>
      <w:r>
        <w:t xml:space="preserve"> </w:t>
      </w:r>
      <w:r>
        <w:t xml:space="preserve">“analytics adoption,”</w:t>
      </w:r>
      <w:r>
        <w:t xml:space="preserve"> </w:t>
      </w:r>
      <w:r>
        <w:t xml:space="preserve">“analytics standardization failure,”</w:t>
      </w:r>
      <w:r>
        <w:t xml:space="preserve"> </w:t>
      </w:r>
      <w:r>
        <w:t xml:space="preserve">“low-code healthcare ROI,”</w:t>
      </w:r>
      <w:r>
        <w:t xml:space="preserve"> </w:t>
      </w:r>
      <w:r>
        <w:t xml:space="preserve">“conversational AI platforms”</w:t>
      </w:r>
    </w:p>
    <w:p>
      <w:pPr>
        <w:pStyle w:val="Compact"/>
        <w:numPr>
          <w:ilvl w:val="0"/>
          <w:numId w:val="1010"/>
        </w:numPr>
      </w:pPr>
      <w:r>
        <w:t xml:space="preserve">Workforce turnover:</w:t>
      </w:r>
      <w:r>
        <w:t xml:space="preserve"> </w:t>
      </w:r>
      <w:r>
        <w:t xml:space="preserve">“healthcare IT tenure,”</w:t>
      </w:r>
      <w:r>
        <w:t xml:space="preserve"> </w:t>
      </w:r>
      <w:r>
        <w:t xml:space="preserve">“IT training time,”</w:t>
      </w:r>
      <w:r>
        <w:t xml:space="preserve"> </w:t>
      </w:r>
      <w:r>
        <w:t xml:space="preserve">“turnover cost salary,”</w:t>
      </w:r>
      <w:r>
        <w:t xml:space="preserve"> </w:t>
      </w:r>
      <w:r>
        <w:t xml:space="preserve">“institutional memory loss,”</w:t>
      </w:r>
      <w:r>
        <w:t xml:space="preserve"> </w:t>
      </w:r>
      <w:r>
        <w:t xml:space="preserve">“knowledge portal,”</w:t>
      </w:r>
      <w:r>
        <w:t xml:space="preserve"> </w:t>
      </w:r>
      <w:r>
        <w:t xml:space="preserve">“knowledge capture,”</w:t>
      </w:r>
      <w:r>
        <w:t xml:space="preserve"> </w:t>
      </w:r>
      <w:r>
        <w:t xml:space="preserve">“SECI model analytics”</w:t>
      </w:r>
    </w:p>
    <w:p>
      <w:pPr>
        <w:pStyle w:val="Compact"/>
        <w:numPr>
          <w:ilvl w:val="0"/>
          <w:numId w:val="1010"/>
        </w:numPr>
      </w:pPr>
      <w:r>
        <w:t xml:space="preserve">Technical barriers:</w:t>
      </w:r>
      <w:r>
        <w:t xml:space="preserve"> </w:t>
      </w:r>
      <w:r>
        <w:t xml:space="preserve">“NL2SQL healthcare,”</w:t>
      </w:r>
      <w:r>
        <w:t xml:space="preserve"> </w:t>
      </w:r>
      <w:r>
        <w:t xml:space="preserve">“text-to-SQL clinical,”</w:t>
      </w:r>
      <w:r>
        <w:t xml:space="preserve"> </w:t>
      </w:r>
      <w:r>
        <w:t xml:space="preserve">“MIMICSQL,”</w:t>
      </w:r>
      <w:r>
        <w:t xml:space="preserve"> </w:t>
      </w:r>
      <w:r>
        <w:t xml:space="preserve">“EHRSQL,”</w:t>
      </w:r>
      <w:r>
        <w:t xml:space="preserve"> </w:t>
      </w:r>
      <w:r>
        <w:t xml:space="preserve">“NL2SQL accuracy,”</w:t>
      </w:r>
      <w:r>
        <w:t xml:space="preserve"> </w:t>
      </w:r>
      <w:r>
        <w:t xml:space="preserve">“NL2SQL productivity,”</w:t>
      </w:r>
      <w:r>
        <w:t xml:space="preserve"> </w:t>
      </w:r>
      <w:r>
        <w:t xml:space="preserve">“schema discovery,”</w:t>
      </w:r>
      <w:r>
        <w:t xml:space="preserve"> </w:t>
      </w:r>
      <w:r>
        <w:t xml:space="preserve">“PK/FK discovery,”</w:t>
      </w:r>
      <w:r>
        <w:t xml:space="preserve"> </w:t>
      </w:r>
      <w:r>
        <w:t xml:space="preserve">“semantic column matching,”</w:t>
      </w:r>
      <w:r>
        <w:t xml:space="preserve"> </w:t>
      </w:r>
      <w:r>
        <w:t xml:space="preserve">“vector embeddings schema”</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“healthcare analytics maturity,”</w:t>
      </w:r>
      <w:r>
        <w:t xml:space="preserve"> </w:t>
      </w:r>
      <w:r>
        <w:t xml:space="preserve">“HIMSS AMAM,”</w:t>
      </w:r>
      <w:r>
        <w:t xml:space="preserve"> </w:t>
      </w:r>
      <w:r>
        <w:t xml:space="preserve">“NL2SQL clinical,”</w:t>
      </w:r>
      <w:r>
        <w:t xml:space="preserve"> </w:t>
      </w:r>
      <w:r>
        <w:t xml:space="preserve">“knowledge portal,”</w:t>
      </w:r>
      <w:r>
        <w:t xml:space="preserve"> </w:t>
      </w:r>
      <w:r>
        <w:t xml:space="preserve">and</w:t>
      </w:r>
      <w:r>
        <w:t xml:space="preserve"> </w:t>
      </w:r>
      <w:r>
        <w:t xml:space="preserve">“low-code ROI”</w:t>
      </w:r>
      <w:r>
        <w:t xml:space="preserve"> </w:t>
      </w:r>
      <w:r>
        <w:t xml:space="preserve">(2015-current) returned 285 results, of which 15 passed screening. PubMed searches combining workforce terms (</w:t>
      </w:r>
      <w:r>
        <w:t xml:space="preserve">“healthcare IT tenure,”</w:t>
      </w:r>
      <w:r>
        <w:t xml:space="preserve"> </w:t>
      </w:r>
      <w:r>
        <w:t xml:space="preserve">“IT training time,”</w:t>
      </w:r>
      <w:r>
        <w:t xml:space="preserve"> </w:t>
      </w:r>
      <w:r>
        <w:t xml:space="preserve">“turnover cost salary”</w:t>
      </w:r>
      <w:r>
        <w:t xml:space="preserve">) with analytics terms (</w:t>
      </w:r>
      <w:r>
        <w:t xml:space="preserve">“institutional memory,”</w:t>
      </w:r>
      <w:r>
        <w:t xml:space="preserve"> </w:t>
      </w:r>
      <w:r>
        <w:t xml:space="preserve">“analytics adoption,”</w:t>
      </w:r>
      <w:r>
        <w:t xml:space="preserve"> </w:t>
      </w:r>
      <w:r>
        <w:t xml:space="preserve">“knowledge capture”</w:t>
      </w:r>
      <w:r>
        <w:t xml:space="preserve">) (2015-current) yielded 142 results with 12 passing screening. arXiv searches in cs.CL and cs.DB categories for</w:t>
      </w:r>
      <w:r>
        <w:t xml:space="preserve"> </w:t>
      </w:r>
      <w:r>
        <w:t xml:space="preserve">“text-to-SQL”</w:t>
      </w:r>
      <w:r>
        <w:t xml:space="preserve"> </w:t>
      </w:r>
      <w:r>
        <w:t xml:space="preserve">combined with technical terms (</w:t>
      </w:r>
      <w:r>
        <w:t xml:space="preserve">“MIMICSQL,”</w:t>
      </w:r>
      <w:r>
        <w:t xml:space="preserve"> </w:t>
      </w:r>
      <w:r>
        <w:t xml:space="preserve">“EHRSQL,”</w:t>
      </w:r>
      <w:r>
        <w:t xml:space="preserve"> </w:t>
      </w:r>
      <w:r>
        <w:t xml:space="preserve">“schema discovery,”</w:t>
      </w:r>
      <w:r>
        <w:t xml:space="preserve"> </w:t>
      </w:r>
      <w:r>
        <w:t xml:space="preserve">“PK/FK discovery,”</w:t>
      </w:r>
      <w:r>
        <w:t xml:space="preserve"> </w:t>
      </w:r>
      <w:r>
        <w:t xml:space="preserve">“semantic matching,”</w:t>
      </w:r>
      <w:r>
        <w:t xml:space="preserve"> </w:t>
      </w:r>
      <w:r>
        <w:t xml:space="preserve">“vector embeddings”</w:t>
      </w:r>
      <w:r>
        <w:t xml:space="preserve">) (2020-current) produced 71 results with 6 passing screening. Semantic Scholar searches for</w:t>
      </w:r>
      <w:r>
        <w:t xml:space="preserve"> </w:t>
      </w:r>
      <w:r>
        <w:t xml:space="preserve">“NL2SQL healthcare,”</w:t>
      </w:r>
      <w:r>
        <w:t xml:space="preserve"> </w:t>
      </w:r>
      <w:r>
        <w:t xml:space="preserve">“NL2SQL productivity,”</w:t>
      </w:r>
      <w:r>
        <w:t xml:space="preserve"> </w:t>
      </w:r>
      <w:r>
        <w:t xml:space="preserve">“conversational AI clinical,”</w:t>
      </w:r>
      <w:r>
        <w:t xml:space="preserve"> </w:t>
      </w:r>
      <w:r>
        <w:t xml:space="preserve">and</w:t>
      </w:r>
      <w:r>
        <w:t xml:space="preserve"> </w:t>
      </w:r>
      <w:r>
        <w:t xml:space="preserve">“SECI model analytics”</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22"/>
    <w:bookmarkStart w:id="2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1"/>
        </w:numPr>
      </w:pPr>
      <w:r>
        <w:t xml:space="preserve">Peer-reviewed publications in healthcare informatics, medical informatics, computer science, or health services research</w:t>
      </w:r>
    </w:p>
    <w:p>
      <w:pPr>
        <w:pStyle w:val="Compact"/>
        <w:numPr>
          <w:ilvl w:val="0"/>
          <w:numId w:val="1011"/>
        </w:numPr>
      </w:pPr>
      <w:r>
        <w:t xml:space="preserve">Industry reports from established healthcare IT organizations (HIMSS, AHIMA, AMIA)</w:t>
      </w:r>
    </w:p>
    <w:p>
      <w:pPr>
        <w:pStyle w:val="Compact"/>
        <w:numPr>
          <w:ilvl w:val="0"/>
          <w:numId w:val="1011"/>
        </w:numPr>
      </w:pPr>
      <w:r>
        <w:t xml:space="preserve">Publications from 2015-current, with emphasis on 2020-current for rapidly evolving NL2SQL technologies</w:t>
      </w:r>
    </w:p>
    <w:p>
      <w:pPr>
        <w:pStyle w:val="Compact"/>
        <w:numPr>
          <w:ilvl w:val="0"/>
          <w:numId w:val="1011"/>
        </w:numPr>
      </w:pPr>
      <w:r>
        <w:t xml:space="preserve">English language publications</w:t>
      </w:r>
    </w:p>
    <w:p>
      <w:pPr>
        <w:pStyle w:val="Compact"/>
        <w:numPr>
          <w:ilvl w:val="0"/>
          <w:numId w:val="1011"/>
        </w:numPr>
      </w:pPr>
      <w:r>
        <w:t xml:space="preserve">Sources with verifiable DOIs, URLs, or institutional attribution</w:t>
      </w:r>
    </w:p>
    <w:p>
      <w:pPr>
        <w:pStyle w:val="FirstParagraph"/>
      </w:pPr>
      <w:r>
        <w:rPr>
          <w:b/>
          <w:bCs/>
        </w:rPr>
        <w:t xml:space="preserve">Exclusion Criteria:</w:t>
      </w:r>
    </w:p>
    <w:p>
      <w:pPr>
        <w:pStyle w:val="Compact"/>
        <w:numPr>
          <w:ilvl w:val="0"/>
          <w:numId w:val="1012"/>
        </w:numPr>
      </w:pPr>
      <w:r>
        <w:t xml:space="preserve">Sources without verifiable attribution or institutional backing</w:t>
      </w:r>
    </w:p>
    <w:p>
      <w:pPr>
        <w:pStyle w:val="Compact"/>
        <w:numPr>
          <w:ilvl w:val="0"/>
          <w:numId w:val="1012"/>
        </w:numPr>
      </w:pPr>
      <w:r>
        <w:t xml:space="preserve">Vendor marketing materials without independent validation</w:t>
      </w:r>
    </w:p>
    <w:p>
      <w:pPr>
        <w:pStyle w:val="Compact"/>
        <w:numPr>
          <w:ilvl w:val="0"/>
          <w:numId w:val="1012"/>
        </w:numPr>
      </w:pPr>
      <w:r>
        <w:t xml:space="preserve">Preprints without subsequent peer-reviewed publication (exception: foundational NL2SQL benchmarks where peer review is pending)</w:t>
      </w:r>
    </w:p>
    <w:p>
      <w:pPr>
        <w:pStyle w:val="Compact"/>
        <w:numPr>
          <w:ilvl w:val="0"/>
          <w:numId w:val="1012"/>
        </w:numPr>
      </w:pPr>
      <w:r>
        <w:t xml:space="preserve">Studies with unverifiable statistics or methodological concerns</w:t>
      </w:r>
    </w:p>
    <w:bookmarkEnd w:id="23"/>
    <w:bookmarkStart w:id="2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22</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24"/>
    <w:bookmarkStart w:id="25"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3"/>
        </w:numPr>
      </w:pPr>
      <w:r>
        <w:rPr>
          <w:b/>
          <w:bCs/>
        </w:rPr>
        <w:t xml:space="preserve">Analytics maturity</w:t>
      </w:r>
      <w:r>
        <w:t xml:space="preserve">: Evidence on HIMSS AMAM adoption, healthcare analytics capabilities, and organizational readiness</w:t>
      </w:r>
    </w:p>
    <w:p>
      <w:pPr>
        <w:pStyle w:val="Compact"/>
        <w:numPr>
          <w:ilvl w:val="0"/>
          <w:numId w:val="1013"/>
        </w:numPr>
      </w:pPr>
      <w:r>
        <w:rPr>
          <w:b/>
          <w:bCs/>
        </w:rPr>
        <w:t xml:space="preserve">Workforce turnover</w:t>
      </w:r>
      <w:r>
        <w:t xml:space="preserve">: Evidence on nursing and IT staff turnover rates, institutional memory loss, and knowledge transfer challenges</w:t>
      </w:r>
    </w:p>
    <w:p>
      <w:pPr>
        <w:pStyle w:val="Compact"/>
        <w:numPr>
          <w:ilvl w:val="0"/>
          <w:numId w:val="1013"/>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25"/>
    <w:bookmarkStart w:id="2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4"/>
        </w:numPr>
      </w:pPr>
      <w:r>
        <w:rPr>
          <w:b/>
          <w:bCs/>
        </w:rPr>
        <w:t xml:space="preserve">Non-exhaustive search</w:t>
      </w:r>
      <w:r>
        <w:t xml:space="preserve">: Literature identification was selective rather than exhaustive; relevant studies may have been missed</w:t>
      </w:r>
    </w:p>
    <w:p>
      <w:pPr>
        <w:pStyle w:val="Compact"/>
        <w:numPr>
          <w:ilvl w:val="0"/>
          <w:numId w:val="1014"/>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4"/>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4"/>
        </w:numPr>
      </w:pPr>
      <w:r>
        <w:rPr>
          <w:b/>
          <w:bCs/>
        </w:rPr>
        <w:t xml:space="preserve">Post-hoc selection criteria</w:t>
      </w:r>
      <w:r>
        <w:t xml:space="preserve">: Inclusion and exclusion criteria were refined during the review process rather than pre-registered</w:t>
      </w:r>
    </w:p>
    <w:p>
      <w:pPr>
        <w:pStyle w:val="Compact"/>
        <w:numPr>
          <w:ilvl w:val="0"/>
          <w:numId w:val="1014"/>
        </w:numPr>
      </w:pPr>
      <w:r>
        <w:rPr>
          <w:b/>
          <w:bCs/>
        </w:rPr>
        <w:t xml:space="preserve">No protocol registration</w:t>
      </w:r>
      <w:r>
        <w:t xml:space="preserve">: This review was not registered in PROSPERO or similar registries</w:t>
      </w:r>
    </w:p>
    <w:p>
      <w:pPr>
        <w:pStyle w:val="Compact"/>
        <w:numPr>
          <w:ilvl w:val="0"/>
          <w:numId w:val="1014"/>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26"/>
    <w:bookmarkEnd w:id="27"/>
    <w:bookmarkStart w:id="3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2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5"/>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5"/>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23</w:t>
        </w:r>
      </w:hyperlink>
      <w:r>
        <w:t xml:space="preserve">,</w:t>
      </w:r>
      <w:hyperlink w:anchor="ref-soylemez2017">
        <w:r>
          <w:rPr>
            <w:rStyle w:val="Hyperlink"/>
          </w:rPr>
          <w:t xml:space="preserve">24</w:t>
        </w:r>
      </w:hyperlink>
      <w:r>
        <w:t xml:space="preserve">)</w:t>
      </w:r>
      <w:r>
        <w:t xml:space="preserve">.</w:t>
      </w:r>
    </w:p>
    <w:p>
      <w:pPr>
        <w:pStyle w:val="Compact"/>
        <w:numPr>
          <w:ilvl w:val="0"/>
          <w:numId w:val="1015"/>
        </w:numPr>
      </w:pPr>
      <w:r>
        <w:rPr>
          <w:b/>
          <w:bCs/>
        </w:rPr>
        <w:t xml:space="preserve">Pillar Identification</w:t>
      </w:r>
      <w:r>
        <w:t xml:space="preserve">: Three orthogonal yet interconnected dimensions emerged as the organizing structure:</w:t>
      </w:r>
    </w:p>
    <w:p>
      <w:pPr>
        <w:pStyle w:val="Compact"/>
        <w:numPr>
          <w:ilvl w:val="1"/>
          <w:numId w:val="1016"/>
        </w:numPr>
      </w:pPr>
      <w:r>
        <w:rPr>
          <w:b/>
          <w:bCs/>
        </w:rPr>
        <w:t xml:space="preserve">Analytics Maturity</w:t>
      </w:r>
      <w:r>
        <w:t xml:space="preserve">: Organizational capability progression measured against HIMSS AMAM stages</w:t>
      </w:r>
    </w:p>
    <w:p>
      <w:pPr>
        <w:pStyle w:val="Compact"/>
        <w:numPr>
          <w:ilvl w:val="1"/>
          <w:numId w:val="1016"/>
        </w:numPr>
      </w:pPr>
      <w:r>
        <w:rPr>
          <w:b/>
          <w:bCs/>
        </w:rPr>
        <w:t xml:space="preserve">Workforce Agility</w:t>
      </w:r>
      <w:r>
        <w:t xml:space="preserve">: Human capital retention and tacit knowledge preservation</w:t>
      </w:r>
    </w:p>
    <w:p>
      <w:pPr>
        <w:pStyle w:val="Compact"/>
        <w:numPr>
          <w:ilvl w:val="1"/>
          <w:numId w:val="1016"/>
        </w:numPr>
      </w:pPr>
      <w:r>
        <w:rPr>
          <w:b/>
          <w:bCs/>
        </w:rPr>
        <w:t xml:space="preserve">Technical Enablement</w:t>
      </w:r>
      <w:r>
        <w:t xml:space="preserve">: NL2SQL capabilities and healthcare-specific implementation solutions</w:t>
      </w:r>
    </w:p>
    <w:p>
      <w:pPr>
        <w:pStyle w:val="Compact"/>
        <w:numPr>
          <w:ilvl w:val="0"/>
          <w:numId w:val="1015"/>
        </w:numPr>
      </w:pPr>
      <w:r>
        <w:rPr>
          <w:b/>
          <w:bCs/>
        </w:rPr>
        <w:t xml:space="preserve">Framework Validation</w:t>
      </w:r>
      <w:r>
        <w:t xml:space="preserve">: Pillar structure tested against all 92 sources to confirm comprehensive coverage without significant gaps</w:t>
      </w:r>
    </w:p>
    <w:bookmarkEnd w:id="28"/>
    <w:bookmarkStart w:id="2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29"/>
    <w:bookmarkStart w:id="3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0"/>
    <w:bookmarkEnd w:id="31"/>
    <w:bookmarkStart w:id="5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36" w:name="state-of-healthcare-analytics-maturity"/>
    <w:p>
      <w:pPr>
        <w:pStyle w:val="Heading2"/>
      </w:pPr>
      <w:r>
        <w:rPr>
          <w:rStyle w:val="SectionNumber"/>
        </w:rPr>
        <w:t xml:space="preserve">4.1</w:t>
      </w:r>
      <w:r>
        <w:tab/>
      </w:r>
      <w:r>
        <w:t xml:space="preserve">State of Healthcare Analytics Maturity</w:t>
      </w:r>
    </w:p>
    <w:bookmarkStart w:id="3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25</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26</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26</w:t>
        </w:r>
      </w:hyperlink>
      <w:r>
        <w:t xml:space="preserve">)</w:t>
      </w:r>
      <w:r>
        <w:t xml:space="preserve">,</w:t>
      </w:r>
      <w:r>
        <w:t xml:space="preserve"> </w:t>
      </w:r>
      <w:r>
        <w:t xml:space="preserve">(</w:t>
      </w:r>
      <w:hyperlink w:anchor="ref-wang2017">
        <w:r>
          <w:rPr>
            <w:rStyle w:val="Hyperlink"/>
          </w:rPr>
          <w:t xml:space="preserve">27</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28</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29</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30</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31</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32</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33</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34</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35</w:t>
        </w:r>
      </w:hyperlink>
      <w:r>
        <w:t xml:space="preserve">)</w:t>
      </w:r>
      <w:r>
        <w:t xml:space="preserve"> </w:t>
      </w:r>
      <w:r>
        <w:t xml:space="preserve">or mortality</w:t>
      </w:r>
      <w:r>
        <w:t xml:space="preserve"> </w:t>
      </w:r>
      <w:r>
        <w:t xml:space="preserve">(</w:t>
      </w:r>
      <w:hyperlink w:anchor="ref-martin2019">
        <w:r>
          <w:rPr>
            <w:rStyle w:val="Hyperlink"/>
          </w:rPr>
          <w:t xml:space="preserve">36</w:t>
        </w:r>
      </w:hyperlink>
      <w:r>
        <w:t xml:space="preserve">)</w:t>
      </w:r>
      <w:r>
        <w:t xml:space="preserve">, suggesting that maturity alone is insufficient without workforce stability.</w:t>
      </w:r>
    </w:p>
    <w:bookmarkEnd w:id="32"/>
    <w:bookmarkStart w:id="3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37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7"/>
        </w:numPr>
      </w:pPr>
      <w:r>
        <w:t xml:space="preserve">Fragmented data sources without integration</w:t>
      </w:r>
    </w:p>
    <w:p>
      <w:pPr>
        <w:pStyle w:val="Compact"/>
        <w:numPr>
          <w:ilvl w:val="0"/>
          <w:numId w:val="1017"/>
        </w:numPr>
      </w:pPr>
      <w:r>
        <w:t xml:space="preserve">Limited automated reporting capabilities</w:t>
      </w:r>
    </w:p>
    <w:p>
      <w:pPr>
        <w:pStyle w:val="Compact"/>
        <w:numPr>
          <w:ilvl w:val="0"/>
          <w:numId w:val="1017"/>
        </w:numPr>
      </w:pPr>
      <w:r>
        <w:t xml:space="preserve">Lack of standardized data governance</w:t>
      </w:r>
    </w:p>
    <w:p>
      <w:pPr>
        <w:pStyle w:val="Compact"/>
        <w:numPr>
          <w:ilvl w:val="0"/>
          <w:numId w:val="1017"/>
        </w:numPr>
      </w:pPr>
      <w:r>
        <w:t xml:space="preserve">Minimal predictive or prescriptive analytics</w:t>
      </w:r>
    </w:p>
    <w:p>
      <w:pPr>
        <w:pStyle w:val="Compact"/>
        <w:numPr>
          <w:ilvl w:val="0"/>
          <w:numId w:val="1017"/>
        </w:numPr>
      </w:pPr>
      <w:r>
        <w:t xml:space="preserve">Absence of real-time decision support</w:t>
      </w:r>
    </w:p>
    <w:bookmarkEnd w:id="33"/>
    <w:bookmarkStart w:id="3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34"/>
    <w:bookmarkStart w:id="3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35"/>
    <w:bookmarkEnd w:id="36"/>
    <w:bookmarkStart w:id="40" w:name="X033aaa01add75caa19416ed7b909f71ff5bd76d"/>
    <w:p>
      <w:pPr>
        <w:pStyle w:val="Heading2"/>
      </w:pPr>
      <w:r>
        <w:rPr>
          <w:rStyle w:val="SectionNumber"/>
        </w:rPr>
        <w:t xml:space="preserve">4.2</w:t>
      </w:r>
      <w:r>
        <w:tab/>
      </w:r>
      <w:r>
        <w:t xml:space="preserve">Healthcare Workforce Turnover and Knowledge Loss</w:t>
      </w:r>
    </w:p>
    <w:bookmarkStart w:id="37" w:name="turnover-rates-and-financial-impact"/>
    <w:p>
      <w:pPr>
        <w:pStyle w:val="Heading3"/>
      </w:pPr>
      <w:r>
        <w:rPr>
          <w:rStyle w:val="SectionNumber"/>
        </w:rPr>
        <w:t xml:space="preserve">4.2.1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57</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58</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59</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60</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61</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62</w:t>
        </w:r>
      </w:hyperlink>
      <w:r>
        <w:t xml:space="preserve">)</w:t>
      </w:r>
      <w:r>
        <w:t xml:space="preserve">. Vendor analysis from Oracle</w:t>
      </w:r>
      <w:r>
        <w:t xml:space="preserve"> </w:t>
      </w:r>
      <w:r>
        <w:t xml:space="preserve">(</w:t>
      </w:r>
      <w:hyperlink w:anchor="ref-oracle2024">
        <w:r>
          <w:rPr>
            <w:rStyle w:val="Hyperlink"/>
          </w:rPr>
          <w:t xml:space="preserve">63</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69</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70</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71</w:t>
        </w:r>
      </w:hyperlink>
      <w:r>
        <w:t xml:space="preserve">)</w:t>
      </w:r>
      <w:r>
        <w:t xml:space="preserve">. When senior executives and knowledge workers depart, organizations experience</w:t>
      </w:r>
      <w:r>
        <w:t xml:space="preserve"> </w:t>
      </w:r>
      <w:r>
        <w:t xml:space="preserve">“corporate memory loss”</w:t>
      </w:r>
      <w:r>
        <w:t xml:space="preserve"> </w:t>
      </w:r>
      <w:r>
        <w:t xml:space="preserve">that undermines organizational continuity and effectiveness</w:t>
      </w:r>
      <w:r>
        <w:t xml:space="preserve"> </w:t>
      </w:r>
      <w:r>
        <w:t xml:space="preserve">(</w:t>
      </w:r>
      <w:hyperlink w:anchor="ref-lahaie2005">
        <w:r>
          <w:rPr>
            <w:rStyle w:val="Hyperlink"/>
          </w:rPr>
          <w:t xml:space="preserve">72</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73</w:t>
        </w:r>
      </w:hyperlink>
      <w:r>
        <w:t xml:space="preserve">–</w:t>
      </w:r>
      <w:hyperlink w:anchor="ref-taner2009">
        <w:r>
          <w:rPr>
            <w:rStyle w:val="Hyperlink"/>
          </w:rPr>
          <w:t xml:space="preserve">75</w:t>
        </w:r>
      </w:hyperlink>
      <w:r>
        <w:t xml:space="preserve">)</w:t>
      </w:r>
      <w:r>
        <w:t xml:space="preserve">.</w:t>
      </w:r>
    </w:p>
    <w:bookmarkEnd w:id="37"/>
    <w:bookmarkStart w:id="3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76</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77</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79</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80</w:t>
        </w:r>
      </w:hyperlink>
      <w:r>
        <w:t xml:space="preserve">)</w:t>
      </w:r>
      <w:r>
        <w:t xml:space="preserve">.</w:t>
      </w:r>
    </w:p>
    <w:bookmarkEnd w:id="38"/>
    <w:bookmarkStart w:id="3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76</w:t>
        </w:r>
      </w:hyperlink>
      <w:r>
        <w:t xml:space="preserve">,</w:t>
      </w:r>
      <w:hyperlink w:anchor="ref-shahbaz2019">
        <w:r>
          <w:rPr>
            <w:rStyle w:val="Hyperlink"/>
          </w:rPr>
          <w:t xml:space="preserve">81</w:t>
        </w:r>
      </w:hyperlink>
      <w:r>
        <w:t xml:space="preserve">)</w:t>
      </w:r>
      <w:r>
        <w:t xml:space="preserve">:</w:t>
      </w:r>
    </w:p>
    <w:p>
      <w:pPr>
        <w:pStyle w:val="Compact"/>
        <w:numPr>
          <w:ilvl w:val="0"/>
          <w:numId w:val="1018"/>
        </w:numPr>
      </w:pPr>
      <w:r>
        <w:t xml:space="preserve">Traditional knowledge transfer mechanisms show limited effectiveness</w:t>
      </w:r>
    </w:p>
    <w:p>
      <w:pPr>
        <w:pStyle w:val="Compact"/>
        <w:numPr>
          <w:ilvl w:val="0"/>
          <w:numId w:val="1018"/>
        </w:numPr>
      </w:pPr>
      <w:r>
        <w:t xml:space="preserve">Organizations struggle to capture and maintain analytical expertise</w:t>
      </w:r>
    </w:p>
    <w:p>
      <w:pPr>
        <w:pStyle w:val="Compact"/>
        <w:numPr>
          <w:ilvl w:val="0"/>
          <w:numId w:val="1018"/>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81</w:t>
        </w:r>
      </w:hyperlink>
      <w:r>
        <w:t xml:space="preserve">)</w:t>
      </w:r>
    </w:p>
    <w:p>
      <w:pPr>
        <w:pStyle w:val="Compact"/>
        <w:numPr>
          <w:ilvl w:val="0"/>
          <w:numId w:val="1018"/>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39"/>
    <w:bookmarkEnd w:id="40"/>
    <w:bookmarkStart w:id="45" w:name="Xb8a8e2823f9f1dde7832c4cb2e15583554ebaf3"/>
    <w:p>
      <w:pPr>
        <w:pStyle w:val="Heading2"/>
      </w:pPr>
      <w:r>
        <w:rPr>
          <w:rStyle w:val="SectionNumber"/>
        </w:rPr>
        <w:t xml:space="preserve">4.3</w:t>
      </w:r>
      <w:r>
        <w:tab/>
      </w:r>
      <w:r>
        <w:t xml:space="preserve">State of Natural Language to SQL Generation</w:t>
      </w:r>
    </w:p>
    <w:bookmarkStart w:id="4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21</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r>
        <w:t xml:space="preserve">,</w:t>
      </w:r>
      <w:r>
        <w:t xml:space="preserve"> </w:t>
      </w:r>
      <w:r>
        <w:t xml:space="preserve">(</w:t>
      </w:r>
      <w:hyperlink w:anchor="ref-openai2025">
        <w:r>
          <w:rPr>
            <w:rStyle w:val="Hyperlink"/>
          </w:rPr>
          <w:t xml:space="preserve">83</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82</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41"/>
    <w:bookmarkStart w:id="4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2"/>
    <w:bookmarkStart w:id="4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87</w:t>
        </w:r>
      </w:hyperlink>
      <w:r>
        <w:t xml:space="preserve">)</w:t>
      </w:r>
      <w:r>
        <w:t xml:space="preserve"> </w:t>
      </w:r>
      <w:r>
        <w:t xml:space="preserve">and EHRSQL benchmark</w:t>
      </w:r>
      <w:r>
        <w:t xml:space="preserve"> </w:t>
      </w:r>
      <w:r>
        <w:t xml:space="preserve">(</w:t>
      </w:r>
      <w:hyperlink w:anchor="ref-lee2023">
        <w:r>
          <w:rPr>
            <w:rStyle w:val="Hyperlink"/>
          </w:rPr>
          <w:t xml:space="preserve">88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3"/>
    <w:bookmarkStart w:id="4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44"/>
    <w:bookmarkEnd w:id="45"/>
    <w:bookmarkStart w:id="49" w:name="Xca10dac733c4b284609ad3ca0d26f7400b78729"/>
    <w:p>
      <w:pPr>
        <w:pStyle w:val="Heading2"/>
      </w:pPr>
      <w:r>
        <w:rPr>
          <w:rStyle w:val="SectionNumber"/>
        </w:rPr>
        <w:t xml:space="preserve">4.4</w:t>
      </w:r>
      <w:r>
        <w:tab/>
      </w:r>
      <w:r>
        <w:t xml:space="preserve">Integration of Evidence: Synthesis Across Three Pillars</w:t>
      </w:r>
    </w:p>
    <w:bookmarkStart w:id="4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102</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102</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103</w:t>
        </w:r>
      </w:hyperlink>
      <w:r>
        <w:t xml:space="preserve">,</w:t>
      </w:r>
      <w:hyperlink w:anchor="ref-ruoff2023">
        <w:r>
          <w:rPr>
            <w:rStyle w:val="Hyperlink"/>
          </w:rPr>
          <w:t xml:space="preserve">104</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105</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106</w:t>
        </w:r>
      </w:hyperlink>
      <w:r>
        <w:t xml:space="preserve">)</w:t>
      </w:r>
      <w:r>
        <w:t xml:space="preserve">. By democratizing access, organizations can advance their effective maturity, the ability to actually use data, even while backend infrastructure remains in transition.</w:t>
      </w:r>
    </w:p>
    <w:bookmarkEnd w:id="46"/>
    <w:bookmarkStart w:id="4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9"/>
        </w:numPr>
      </w:pPr>
      <w:r>
        <w:t xml:space="preserve">Capturing decision-making patterns through usage</w:t>
      </w:r>
    </w:p>
    <w:p>
      <w:pPr>
        <w:pStyle w:val="Compact"/>
        <w:numPr>
          <w:ilvl w:val="0"/>
          <w:numId w:val="1019"/>
        </w:numPr>
      </w:pPr>
      <w:r>
        <w:t xml:space="preserve">Encoding best practices in accessible formats</w:t>
      </w:r>
    </w:p>
    <w:p>
      <w:pPr>
        <w:pStyle w:val="Compact"/>
        <w:numPr>
          <w:ilvl w:val="0"/>
          <w:numId w:val="1019"/>
        </w:numPr>
      </w:pPr>
      <w:r>
        <w:t xml:space="preserve">Providing context-aware guidance to new users</w:t>
      </w:r>
    </w:p>
    <w:p>
      <w:pPr>
        <w:pStyle w:val="Compact"/>
        <w:numPr>
          <w:ilvl w:val="0"/>
          <w:numId w:val="1019"/>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w:t>
      </w:r>
    </w:p>
    <w:bookmarkEnd w:id="47"/>
    <w:bookmarkStart w:id="4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107</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108</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109</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110</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48"/>
    <w:bookmarkEnd w:id="49"/>
    <w:bookmarkStart w:id="53" w:name="strategic-alignment-with-industry-trends"/>
    <w:p>
      <w:pPr>
        <w:pStyle w:val="Heading2"/>
      </w:pPr>
      <w:r>
        <w:rPr>
          <w:rStyle w:val="SectionNumber"/>
        </w:rPr>
        <w:t xml:space="preserve">4.5</w:t>
      </w:r>
      <w:r>
        <w:tab/>
      </w:r>
      <w:r>
        <w:t xml:space="preserve">Strategic Alignment with Industry Trends</w:t>
      </w:r>
    </w:p>
    <w:bookmarkStart w:id="5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0"/>
    <w:bookmarkStart w:id="5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112</w:t>
        </w:r>
      </w:hyperlink>
      <w:r>
        <w:t xml:space="preserve">)</w:t>
      </w:r>
      <w:r>
        <w:t xml:space="preserve">. This theoretical foundation supports embedding organizational knowledge in systems rather than individuals, ensuring continuity despite workforce turnover.</w:t>
      </w:r>
    </w:p>
    <w:bookmarkEnd w:id="51"/>
    <w:bookmarkStart w:id="5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109</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114</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116</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117</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119</w:t>
        </w:r>
      </w:hyperlink>
      <w:r>
        <w:t xml:space="preserve">)</w:t>
      </w:r>
      <w:r>
        <w:t xml:space="preserve"> </w:t>
      </w:r>
      <w:r>
        <w:t xml:space="preserve">projects the healthcare analytics market to grow from $64.49 billion in 2025 to $369.66 billion by 2034 (21.41% CAGR).</w:t>
      </w:r>
    </w:p>
    <w:bookmarkEnd w:id="52"/>
    <w:bookmarkEnd w:id="53"/>
    <w:bookmarkStart w:id="5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0"/>
        </w:numPr>
      </w:pPr>
      <w:r>
        <w:rPr>
          <w:b/>
          <w:bCs/>
        </w:rPr>
        <w:t xml:space="preserve">Long-term outcomes</w:t>
      </w:r>
      <w:r>
        <w:t xml:space="preserve">: Most studies examine 6-24 month implementations; multi-year impacts remain understudied</w:t>
      </w:r>
    </w:p>
    <w:p>
      <w:pPr>
        <w:pStyle w:val="Compact"/>
        <w:numPr>
          <w:ilvl w:val="0"/>
          <w:numId w:val="1020"/>
        </w:numPr>
      </w:pPr>
      <w:r>
        <w:rPr>
          <w:b/>
          <w:bCs/>
        </w:rPr>
        <w:t xml:space="preserve">Scalability across specialties</w:t>
      </w:r>
      <w:r>
        <w:t xml:space="preserve">: Evidence primarily focuses on general acute care; specialty-specific applications need investigation</w:t>
      </w:r>
    </w:p>
    <w:p>
      <w:pPr>
        <w:pStyle w:val="Compact"/>
        <w:numPr>
          <w:ilvl w:val="0"/>
          <w:numId w:val="1020"/>
        </w:numPr>
      </w:pPr>
      <w:r>
        <w:rPr>
          <w:b/>
          <w:bCs/>
        </w:rPr>
        <w:t xml:space="preserve">Governance frameworks</w:t>
      </w:r>
      <w:r>
        <w:t xml:space="preserve">: Limited research on optimal governance models for democratized analytics</w:t>
      </w:r>
    </w:p>
    <w:p>
      <w:pPr>
        <w:pStyle w:val="Compact"/>
        <w:numPr>
          <w:ilvl w:val="0"/>
          <w:numId w:val="1020"/>
        </w:numPr>
      </w:pPr>
      <w:r>
        <w:rPr>
          <w:b/>
          <w:bCs/>
        </w:rPr>
        <w:t xml:space="preserve">Training methodologies</w:t>
      </w:r>
      <w:r>
        <w:t xml:space="preserve">: Best practices for transitioning from traditional to conversational analytics lack empirical validation</w:t>
      </w:r>
    </w:p>
    <w:p>
      <w:pPr>
        <w:pStyle w:val="Compact"/>
        <w:numPr>
          <w:ilvl w:val="0"/>
          <w:numId w:val="1020"/>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20"/>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93</w:t>
        </w:r>
      </w:hyperlink>
      <w:r>
        <w:t xml:space="preserve">)</w:t>
      </w:r>
      <w:r>
        <w:t xml:space="preserve">,</w:t>
      </w:r>
      <w:r>
        <w:t xml:space="preserve"> </w:t>
      </w:r>
      <w:r>
        <w:t xml:space="preserve">(</w:t>
      </w:r>
      <w:hyperlink w:anchor="ref-dadi2025">
        <w:r>
          <w:rPr>
            <w:rStyle w:val="Hyperlink"/>
          </w:rPr>
          <w:t xml:space="preserve">92</w:t>
        </w:r>
      </w:hyperlink>
      <w:r>
        <w:t xml:space="preserve">)</w:t>
      </w:r>
      <w:r>
        <w:t xml:space="preserve">,</w:t>
      </w:r>
      <w:r>
        <w:t xml:space="preserve"> </w:t>
      </w:r>
      <w:r>
        <w:t xml:space="preserve">(</w:t>
      </w:r>
      <w:hyperlink w:anchor="ref-shah2020">
        <w:r>
          <w:rPr>
            <w:rStyle w:val="Hyperlink"/>
          </w:rPr>
          <w:t xml:space="preserve">96</w:t>
        </w:r>
      </w:hyperlink>
      <w:r>
        <w:t xml:space="preserve">)</w:t>
      </w:r>
      <w:r>
        <w:t xml:space="preserve">,</w:t>
      </w:r>
      <w:r>
        <w:t xml:space="preserve"> </w:t>
      </w:r>
      <w:r>
        <w:t xml:space="preserve">(</w:t>
      </w:r>
      <w:hyperlink w:anchor="ref-ipeirotis2025">
        <w:r>
          <w:rPr>
            <w:rStyle w:val="Hyperlink"/>
          </w:rPr>
          <w:t xml:space="preserve">95</w:t>
        </w:r>
      </w:hyperlink>
      <w:r>
        <w:t xml:space="preserve">)</w:t>
      </w:r>
      <w:r>
        <w:t xml:space="preserve">), longitudinal studies tracking sustained productivity improvements over multiple years remain limited</w:t>
      </w:r>
    </w:p>
    <w:p>
      <w:pPr>
        <w:pStyle w:val="Compact"/>
        <w:numPr>
          <w:ilvl w:val="0"/>
          <w:numId w:val="1020"/>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120</w:t>
        </w:r>
      </w:hyperlink>
      <w:r>
        <w:t xml:space="preserve">)</w:t>
      </w:r>
      <w:r>
        <w:t xml:space="preserve">, the methodology for quantifying their productivity contributions lacks standardization across studies</w:t>
      </w:r>
    </w:p>
    <w:p>
      <w:pPr>
        <w:pStyle w:val="Compact"/>
        <w:numPr>
          <w:ilvl w:val="0"/>
          <w:numId w:val="1020"/>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30</w:t>
        </w:r>
      </w:hyperlink>
      <w:r>
        <w:t xml:space="preserve">,</w:t>
      </w:r>
      <w:hyperlink w:anchor="ref-snowdon2024a">
        <w:r>
          <w:rPr>
            <w:rStyle w:val="Hyperlink"/>
          </w:rPr>
          <w:t xml:space="preserve">31</w:t>
        </w:r>
      </w:hyperlink>
      <w:r>
        <w:t xml:space="preserve">)</w:t>
      </w:r>
      <w:r>
        <w:t xml:space="preserve">. As of this review, AMAM-specific outcome studies remain very limited, providing only emerging evidence for analytics maturity (as distinct from EHR adoption) impact on outcomes</w:t>
      </w:r>
    </w:p>
    <w:bookmarkEnd w:id="54"/>
    <w:bookmarkStart w:id="5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121</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122</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123</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124</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125</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126</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127</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128</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129</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55"/>
    <w:bookmarkStart w:id="5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6"/>
    <w:bookmarkEnd w:id="57"/>
    <w:bookmarkEnd w:id="58"/>
    <w:bookmarkStart w:id="88" w:name="discussion"/>
    <w:p>
      <w:pPr>
        <w:pStyle w:val="Heading1"/>
      </w:pPr>
      <w:r>
        <w:rPr>
          <w:rStyle w:val="SectionNumber"/>
        </w:rPr>
        <w:t xml:space="preserve">5</w:t>
      </w:r>
      <w:r>
        <w:tab/>
      </w:r>
      <w:r>
        <w:t xml:space="preserve">Discussion</w:t>
      </w:r>
    </w:p>
    <w:bookmarkStart w:id="6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5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59"/>
    <w:bookmarkStart w:id="6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120</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0"/>
    <w:bookmarkStart w:id="6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61"/>
    <w:bookmarkStart w:id="6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119</w:t>
        </w:r>
      </w:hyperlink>
      <w:r>
        <w:t xml:space="preserve">)</w:t>
      </w:r>
      <w:r>
        <w:t xml:space="preserve"> </w:t>
      </w:r>
      <w:r>
        <w:t xml:space="preserve">showing the healthcare analytics market expanding from $64.49B to $369.66B by 2034 indicate sustained investment demand.</w:t>
      </w:r>
    </w:p>
    <w:bookmarkEnd w:id="62"/>
    <w:bookmarkStart w:id="6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21</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63"/>
    <w:bookmarkEnd w:id="64"/>
    <w:bookmarkStart w:id="71"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6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65"/>
    <w:bookmarkStart w:id="6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66"/>
    <w:bookmarkStart w:id="6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67"/>
    <w:bookmarkStart w:id="6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68"/>
    <w:bookmarkStart w:id="6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69"/>
    <w:bookmarkStart w:id="7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0"/>
    <w:bookmarkEnd w:id="71"/>
    <w:bookmarkStart w:id="7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7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1"/>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1"/>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1"/>
        </w:numPr>
      </w:pPr>
      <w:r>
        <w:rPr>
          <w:b/>
          <w:bCs/>
        </w:rPr>
        <w:t xml:space="preserve">Governance Framework Development</w:t>
      </w:r>
      <w:r>
        <w:t xml:space="preserve">: Research on optimal governance models for democratized analytics</w:t>
      </w:r>
    </w:p>
    <w:p>
      <w:pPr>
        <w:pStyle w:val="Compact"/>
        <w:numPr>
          <w:ilvl w:val="0"/>
          <w:numId w:val="1021"/>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72"/>
    <w:bookmarkStart w:id="7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2"/>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2"/>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2"/>
        </w:numPr>
      </w:pPr>
      <w:r>
        <w:rPr>
          <w:b/>
          <w:bCs/>
        </w:rPr>
        <w:t xml:space="preserve">Longitudinal Outcome Studies</w:t>
      </w:r>
      <w:r>
        <w:t xml:space="preserve">: Multi-year implementations to assess sustained benefits and organizational evolution</w:t>
      </w:r>
    </w:p>
    <w:p>
      <w:pPr>
        <w:pStyle w:val="Compact"/>
        <w:numPr>
          <w:ilvl w:val="0"/>
          <w:numId w:val="1022"/>
        </w:numPr>
      </w:pPr>
      <w:r>
        <w:rPr>
          <w:b/>
          <w:bCs/>
        </w:rPr>
        <w:t xml:space="preserve">Comparative Effectiveness Research</w:t>
      </w:r>
      <w:r>
        <w:t xml:space="preserve">: Head-to-head comparisons of different conversational AI approaches on healthcare-specific benchmarks</w:t>
      </w:r>
    </w:p>
    <w:bookmarkEnd w:id="73"/>
    <w:bookmarkStart w:id="7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3"/>
        </w:numPr>
      </w:pPr>
      <w:r>
        <w:rPr>
          <w:b/>
          <w:bCs/>
        </w:rPr>
        <w:t xml:space="preserve">Organizational Transformation Studies</w:t>
      </w:r>
      <w:r>
        <w:t xml:space="preserve">: Research on how conversational AI platforms reshape healthcare organizational capabilities</w:t>
      </w:r>
    </w:p>
    <w:p>
      <w:pPr>
        <w:pStyle w:val="Compact"/>
        <w:numPr>
          <w:ilvl w:val="0"/>
          <w:numId w:val="1023"/>
        </w:numPr>
      </w:pPr>
      <w:r>
        <w:rPr>
          <w:b/>
          <w:bCs/>
        </w:rPr>
        <w:t xml:space="preserve">Clinical Outcome Impact Assessment</w:t>
      </w:r>
      <w:r>
        <w:t xml:space="preserve">: Studies linking improved analytics access to patient care outcomes</w:t>
      </w:r>
    </w:p>
    <w:p>
      <w:pPr>
        <w:pStyle w:val="Compact"/>
        <w:numPr>
          <w:ilvl w:val="0"/>
          <w:numId w:val="1023"/>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74"/>
    <w:bookmarkEnd w:id="75"/>
    <w:bookmarkStart w:id="7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7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131</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132</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76"/>
    <w:bookmarkStart w:id="7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133</w:t>
        </w:r>
      </w:hyperlink>
      <w:r>
        <w:t xml:space="preserve">,</w:t>
      </w:r>
      <w:hyperlink w:anchor="ref-yupopa2005">
        <w:r>
          <w:rPr>
            <w:rStyle w:val="Hyperlink"/>
          </w:rPr>
          <w:t xml:space="preserve">134</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135</w:t>
        </w:r>
      </w:hyperlink>
      <w:r>
        <w:t xml:space="preserve">,</w:t>
      </w:r>
      <w:hyperlink w:anchor="ref-sivaranjani2025">
        <w:r>
          <w:rPr>
            <w:rStyle w:val="Hyperlink"/>
          </w:rPr>
          <w:t xml:space="preserve">136</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137</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141</w:t>
        </w:r>
      </w:hyperlink>
      <w:r>
        <w:t xml:space="preserve">,</w:t>
      </w:r>
      <w:hyperlink w:anchor="ref-rivard1987">
        <w:r>
          <w:rPr>
            <w:rStyle w:val="Hyperlink"/>
          </w:rPr>
          <w:t xml:space="preserve">142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135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144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77"/>
    <w:bookmarkStart w:id="7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78"/>
    <w:bookmarkEnd w:id="79"/>
    <w:bookmarkStart w:id="8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8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0"/>
    <w:bookmarkStart w:id="8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81"/>
    <w:bookmarkStart w:id="8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82"/>
    <w:bookmarkEnd w:id="83"/>
    <w:bookmarkStart w:id="8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“Higher Risk”</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wang2018">
              <w:r>
                <w:rPr>
                  <w:rStyle w:val="Hyperlink"/>
                </w:rPr>
                <w:t xml:space="preserve">26</w:t>
              </w:r>
            </w:hyperlink>
            <w:r>
              <w:t xml:space="preserve">,</w:t>
            </w:r>
            <w:hyperlink w:anchor="ref-berkshire2024">
              <w:r>
                <w:rPr>
                  <w:rStyle w:val="Hyperlink"/>
                </w:rPr>
                <w:t xml:space="preserve">120</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21</w:t>
              </w:r>
            </w:hyperlink>
            <w:r>
              <w:t xml:space="preserve">,</w:t>
            </w:r>
            <w:hyperlink w:anchor="ref-wang2020">
              <w:r>
                <w:rPr>
                  <w:rStyle w:val="Hyperlink"/>
                </w:rPr>
                <w:t xml:space="preserve">87</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64</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6</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richesson2007">
              <w:r>
                <w:rPr>
                  <w:rStyle w:val="Hyperlink"/>
                </w:rPr>
                <w:t xml:space="preserve">121</w:t>
              </w:r>
            </w:hyperlink>
            <w:r>
              <w:t xml:space="preserve">,</w:t>
            </w:r>
            <w:hyperlink w:anchor="ref-benbya2004">
              <w:r>
                <w:rPr>
                  <w:rStyle w:val="Hyperlink"/>
                </w:rPr>
                <w:t xml:space="preserve">145</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65</w:t>
              </w:r>
            </w:hyperlink>
            <w:r>
              <w:t xml:space="preserve">,</w:t>
            </w:r>
            <w:hyperlink w:anchor="ref-mantas2010">
              <w:r>
                <w:rPr>
                  <w:rStyle w:val="Hyperlink"/>
                </w:rPr>
                <w:t xml:space="preserve">66</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145</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26</w:t>
              </w:r>
            </w:hyperlink>
            <w:r>
              <w:t xml:space="preserve">,</w:t>
            </w:r>
            <w:hyperlink w:anchor="ref-pesqueira2020">
              <w:r>
                <w:rPr>
                  <w:rStyle w:val="Hyperlink"/>
                </w:rPr>
                <w:t xml:space="preserve">41</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10</w:t>
              </w:r>
            </w:hyperlink>
            <w:r>
              <w:t xml:space="preserve">,</w:t>
            </w:r>
            <w:hyperlink w:anchor="ref-bogaert2021">
              <w:r>
                <w:rPr>
                  <w:rStyle w:val="Hyperlink"/>
                </w:rPr>
                <w:t xml:space="preserve">123</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All pillars High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84"/>
    <w:bookmarkStart w:id="8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p>
    <w:p>
      <w:pPr>
        <w:pStyle w:val="Compact"/>
        <w:numPr>
          <w:ilvl w:val="0"/>
          <w:numId w:val="1025"/>
        </w:numPr>
      </w:pPr>
      <w:r>
        <w:rPr>
          <w:b/>
          <w:bCs/>
        </w:rPr>
        <w:t xml:space="preserve">Change Management</w:t>
      </w:r>
      <w:r>
        <w:t xml:space="preserve">: Training and support programs to ensure user adoption</w:t>
      </w:r>
    </w:p>
    <w:p>
      <w:pPr>
        <w:pStyle w:val="Compact"/>
        <w:numPr>
          <w:ilvl w:val="0"/>
          <w:numId w:val="1025"/>
        </w:numPr>
      </w:pPr>
      <w:r>
        <w:rPr>
          <w:b/>
          <w:bCs/>
        </w:rPr>
        <w:t xml:space="preserve">Phased Deployment</w:t>
      </w:r>
      <w:r>
        <w:t xml:space="preserve">: Gradual rollout beginning with analytics-savvy early adopters</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21</w:t>
        </w:r>
      </w:hyperlink>
      <w:r>
        <w:t xml:space="preserve">)</w:t>
      </w:r>
    </w:p>
    <w:bookmarkEnd w:id="85"/>
    <w:bookmarkStart w:id="86"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“Shadow IT.”</w:t>
      </w:r>
    </w:p>
    <w:bookmarkEnd w:id="86"/>
    <w:bookmarkEnd w:id="87"/>
    <w:bookmarkEnd w:id="88"/>
    <w:bookmarkStart w:id="94"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89"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89"/>
    <w:bookmarkStart w:id="90"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121</w:t>
        </w:r>
      </w:hyperlink>
      <w:r>
        <w:t xml:space="preserve">,</w:t>
      </w:r>
      <w:hyperlink w:anchor="ref-benbya2004">
        <w:r>
          <w:rPr>
            <w:rStyle w:val="Hyperlink"/>
          </w:rPr>
          <w:t xml:space="preserve">145</w:t>
        </w:r>
      </w:hyperlink>
      <w:r>
        <w:t xml:space="preserve">)</w:t>
      </w:r>
      <w:r>
        <w:t xml:space="preserve">, we describe the validated query cycle as one example of how the framework might inform technology design for institutional memory preservation.</w:t>
      </w:r>
    </w:p>
    <w:bookmarkEnd w:id="90"/>
    <w:bookmarkStart w:id="91"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87</w:t>
        </w:r>
      </w:hyperlink>
      <w:r>
        <w:t xml:space="preserve">,</w:t>
      </w:r>
      <w:hyperlink w:anchor="ref-lee2023">
        <w:r>
          <w:rPr>
            <w:rStyle w:val="Hyperlink"/>
          </w:rPr>
          <w:t xml:space="preserve">88</w:t>
        </w:r>
      </w:hyperlink>
      <w:r>
        <w:t xml:space="preserve">)</w:t>
      </w:r>
      <w:r>
        <w:t xml:space="preserve"> </w:t>
      </w:r>
      <w:r>
        <w:t xml:space="preserve">demonstrating substantial progress in clinical NL2SQL tasks. However,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21</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59</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120</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113</w:t>
        </w:r>
      </w:hyperlink>
      <w:r>
        <w:t xml:space="preserve">,</w:t>
      </w:r>
      <w:hyperlink w:anchor="ref-sezgin2022">
        <w:r>
          <w:rPr>
            <w:rStyle w:val="Hyperlink"/>
          </w:rPr>
          <w:t xml:space="preserve">114</w:t>
        </w:r>
      </w:hyperlink>
      <w:r>
        <w:t xml:space="preserve">)</w:t>
      </w:r>
      <w:r>
        <w:t xml:space="preserve">.</w:t>
      </w:r>
    </w:p>
    <w:bookmarkEnd w:id="91"/>
    <w:bookmarkStart w:id="92"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“not yet sufficiently accurate for unsupervised use”</w:t>
      </w:r>
      <w:r>
        <w:t xml:space="preserve"> </w:t>
      </w:r>
      <w:r>
        <w:t xml:space="preserve">(</w:t>
      </w:r>
      <w:hyperlink w:anchor="ref-ziletti2024">
        <w:r>
          <w:rPr>
            <w:rStyle w:val="Hyperlink"/>
          </w:rPr>
          <w:t xml:space="preserve">21</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2"/>
    <w:bookmarkStart w:id="93"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3"/>
    <w:bookmarkEnd w:id="94"/>
    <w:bookmarkStart w:id="95"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95"/>
    <w:bookmarkStart w:id="96"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6"/>
    <w:bookmarkStart w:id="97"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97"/>
    <w:bookmarkStart w:id="98"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98"/>
    <w:bookmarkStart w:id="99"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99"/>
    <w:bookmarkStart w:id="100"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0"/>
    <w:bookmarkStart w:id="101"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1"/>
    <w:bookmarkStart w:id="370" w:name="references"/>
    <w:p>
      <w:pPr>
        <w:pStyle w:val="Heading1"/>
      </w:pPr>
      <w:r>
        <w:rPr>
          <w:rStyle w:val="SectionNumber"/>
        </w:rPr>
        <w:t xml:space="preserve">14</w:t>
      </w:r>
      <w:r>
        <w:tab/>
      </w:r>
      <w:r>
        <w:t xml:space="preserve">References</w:t>
      </w:r>
    </w:p>
    <w:bookmarkStart w:id="369" w:name="refs"/>
    <w:bookmarkStart w:id="103"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02">
        <w:r>
          <w:rPr>
            <w:rStyle w:val="Hyperlink"/>
          </w:rPr>
          <w:t xml:space="preserve">https://www.ahima.org/news-publications/press-room-press-releases/2023-press-releases/health-information-workforce-shortages-persist-as-ai-shows-promise-ahima-survey-reveals/</w:t>
        </w:r>
      </w:hyperlink>
    </w:p>
    <w:bookmarkEnd w:id="103"/>
    <w:bookmarkStart w:id="105"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04">
        <w:r>
          <w:rPr>
            <w:rStyle w:val="Hyperlink"/>
          </w:rPr>
          <w:t xml:space="preserve">https://www.himss.org/maturity-models/amam/</w:t>
        </w:r>
      </w:hyperlink>
    </w:p>
    <w:bookmarkEnd w:id="105"/>
    <w:bookmarkStart w:id="107"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6">
        <w:r>
          <w:rPr>
            <w:rStyle w:val="Hyperlink"/>
          </w:rPr>
          <w:t xml:space="preserve">https://www.healthcareitnews.com/news/asia/himss24-apac-adoption-model-analytics-maturity-gets-facelift</w:t>
        </w:r>
      </w:hyperlink>
    </w:p>
    <w:bookmarkEnd w:id="107"/>
    <w:bookmarkStart w:id="109"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08">
        <w:r>
          <w:rPr>
            <w:rStyle w:val="Hyperlink"/>
          </w:rPr>
          <w:t xml:space="preserve">https://www.tgh.org/news/tgh-press-releases/2025/june/tampa-general-hospital-awarded-highest-designation-analytics-himss</w:t>
        </w:r>
      </w:hyperlink>
    </w:p>
    <w:bookmarkEnd w:id="109"/>
    <w:bookmarkStart w:id="111"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0">
        <w:r>
          <w:rPr>
            <w:rStyle w:val="Hyperlink"/>
          </w:rPr>
          <w:t xml:space="preserve">https://www.prnewswire.com/news-releases/taiwans-first-hospital-to-achieve-amam-stage-7-certification-302390824.html</w:t>
        </w:r>
      </w:hyperlink>
    </w:p>
    <w:bookmarkEnd w:id="111"/>
    <w:bookmarkStart w:id="113"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2">
        <w:r>
          <w:rPr>
            <w:rStyle w:val="Hyperlink"/>
          </w:rPr>
          <w:t xml:space="preserve">https://api.wittkieffer.com/wp-content/uploads/2012/10/cio-insights-the-state-of-healthcare-it-leadership-wittkieffer-october-2024.pdf</w:t>
        </w:r>
      </w:hyperlink>
    </w:p>
    <w:bookmarkEnd w:id="113"/>
    <w:bookmarkStart w:id="115"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4">
        <w:r>
          <w:rPr>
            <w:rStyle w:val="Hyperlink"/>
          </w:rPr>
          <w:t xml:space="preserve">https://www.himss.org/resources/the-future-of-workforce/</w:t>
        </w:r>
      </w:hyperlink>
    </w:p>
    <w:bookmarkEnd w:id="115"/>
    <w:bookmarkStart w:id="117"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16">
        <w:r>
          <w:rPr>
            <w:rStyle w:val="Hyperlink"/>
          </w:rPr>
          <w:t xml:space="preserve">https://academic.oup.com/jpubhealth</w:t>
        </w:r>
      </w:hyperlink>
    </w:p>
    <w:bookmarkEnd w:id="117"/>
    <w:bookmarkStart w:id="119"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8">
        <w:r>
          <w:rPr>
            <w:rStyle w:val="Hyperlink"/>
          </w:rPr>
          <w:t xml:space="preserve">https://dl.acm.org/doi/10.1145/1017114.1017118</w:t>
        </w:r>
      </w:hyperlink>
    </w:p>
    <w:bookmarkEnd w:id="119"/>
    <w:bookmarkStart w:id="121"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0">
        <w:r>
          <w:rPr>
            <w:rStyle w:val="Hyperlink"/>
          </w:rPr>
          <w:t xml:space="preserve">https://www.nyulawreview.org/issues/volume-94-number-4/data-standardization/</w:t>
        </w:r>
      </w:hyperlink>
    </w:p>
    <w:bookmarkEnd w:id="121"/>
    <w:bookmarkStart w:id="122"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2"/>
    <w:bookmarkStart w:id="124"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1">
        <w:r>
          <w:rPr>
            <w:rStyle w:val="Hyperlink"/>
          </w:rPr>
          <w:t xml:space="preserve">https://www.ingentaconnect.com/content/hsp/mih/2024/00000008/00000004/art00006</w:t>
        </w:r>
      </w:hyperlink>
    </w:p>
    <w:bookmarkEnd w:id="132"/>
    <w:bookmarkStart w:id="134"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33">
        <w:r>
          <w:rPr>
            <w:rStyle w:val="Hyperlink"/>
          </w:rPr>
          <w:t xml:space="preserve">https://publishing.emanresearch.org/Journal/FullText/6104</w:t>
        </w:r>
      </w:hyperlink>
    </w:p>
    <w:bookmarkEnd w:id="134"/>
    <w:bookmarkStart w:id="136"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5">
        <w:r>
          <w:rPr>
            <w:rStyle w:val="Hyperlink"/>
          </w:rPr>
          <w:t xml:space="preserve">https://link.springer.com/article/10.1007/s10916-011-9656-7</w:t>
        </w:r>
      </w:hyperlink>
    </w:p>
    <w:bookmarkEnd w:id="136"/>
    <w:bookmarkStart w:id="138" w:name="ref-bravorocca2023"/>
    <w:p>
      <w:pPr>
        <w:pStyle w:val="Bibliography"/>
      </w:pPr>
      <w:r>
        <w:t xml:space="preserve">19.</w:t>
      </w:r>
      <w:r>
        <w:t xml:space="preserve"> </w:t>
      </w:r>
      <w:r>
        <w:t xml:space="preserve">	</w:t>
      </w:r>
      <w:r>
        <w:t xml:space="preserve">Bravo Rocca GJ. Human-on-the-loop continual learning [Internet] [PhD thesis]. Universitat Politècnica de Catalunya; 2023. Available from:</w:t>
      </w:r>
      <w:r>
        <w:t xml:space="preserve"> </w:t>
      </w:r>
      <w:hyperlink r:id="rId137">
        <w:r>
          <w:rPr>
            <w:rStyle w:val="Hyperlink"/>
          </w:rPr>
          <w:t xml:space="preserve">https://www.tdx.cat/bitstream/handle/10803/695722/TGJBR1de1.pdf?sequence=1</w:t>
        </w:r>
      </w:hyperlink>
    </w:p>
    <w:bookmarkEnd w:id="138"/>
    <w:bookmarkStart w:id="140" w:name="ref-mosqueirarey2023"/>
    <w:p>
      <w:pPr>
        <w:pStyle w:val="Bibliography"/>
      </w:pPr>
      <w:r>
        <w:t xml:space="preserve">20.</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39">
        <w:r>
          <w:rPr>
            <w:rStyle w:val="Hyperlink"/>
          </w:rPr>
          <w:t xml:space="preserve">https://link.springer.com/content/pdf/10.1007/s10462-022-10246-w.pdf</w:t>
        </w:r>
      </w:hyperlink>
    </w:p>
    <w:bookmarkEnd w:id="140"/>
    <w:bookmarkStart w:id="142"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1">
        <w:r>
          <w:rPr>
            <w:rStyle w:val="Hyperlink"/>
          </w:rPr>
          <w:t xml:space="preserve">https://arxiv.org/abs/2403.09226</w:t>
        </w:r>
      </w:hyperlink>
    </w:p>
    <w:bookmarkEnd w:id="142"/>
    <w:bookmarkStart w:id="144" w:name="ref-tyndall2010"/>
    <w:p>
      <w:pPr>
        <w:pStyle w:val="Bibliography"/>
      </w:pPr>
      <w:r>
        <w:t xml:space="preserve">22.</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3">
        <w:r>
          <w:rPr>
            <w:rStyle w:val="Hyperlink"/>
          </w:rPr>
          <w:t xml:space="preserve">https://dspace.flinders.edu.au/jspui/bitstream/2328/3326/4/AACODS_Checklist.pdf</w:t>
        </w:r>
      </w:hyperlink>
    </w:p>
    <w:bookmarkEnd w:id="144"/>
    <w:bookmarkStart w:id="145" w:name="ref-allison2021"/>
    <w:p>
      <w:pPr>
        <w:pStyle w:val="Bibliography"/>
      </w:pPr>
      <w:r>
        <w:t xml:space="preserve">23.</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45"/>
    <w:bookmarkStart w:id="146" w:name="ref-soylemez2017"/>
    <w:p>
      <w:pPr>
        <w:pStyle w:val="Bibliography"/>
      </w:pPr>
      <w:r>
        <w:t xml:space="preserve">24.</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46"/>
    <w:bookmarkStart w:id="148"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47">
        <w:r>
          <w:rPr>
            <w:rStyle w:val="Hyperlink"/>
          </w:rPr>
          <w:t xml:space="preserve">https://legacy.himss.org/news/new-analytics-maturity-adoption-model-pushes-digital-transformation-and-data-driven-decisions</w:t>
        </w:r>
      </w:hyperlink>
    </w:p>
    <w:bookmarkEnd w:id="148"/>
    <w:bookmarkStart w:id="150" w:name="ref-wang2018"/>
    <w:p>
      <w:pPr>
        <w:pStyle w:val="Bibliography"/>
      </w:pPr>
      <w:r>
        <w:t xml:space="preserve">26.</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49">
        <w:r>
          <w:rPr>
            <w:rStyle w:val="Hyperlink"/>
          </w:rPr>
          <w:t xml:space="preserve">https://www.sciencedirect.com/science/article/abs/pii/S0040162516000500</w:t>
        </w:r>
      </w:hyperlink>
    </w:p>
    <w:bookmarkEnd w:id="150"/>
    <w:bookmarkStart w:id="152" w:name="ref-wang2017"/>
    <w:p>
      <w:pPr>
        <w:pStyle w:val="Bibliography"/>
      </w:pPr>
      <w:r>
        <w:t xml:space="preserve">27.</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51">
        <w:r>
          <w:rPr>
            <w:rStyle w:val="Hyperlink"/>
          </w:rPr>
          <w:t xml:space="preserve">https://www.sciencedirect.com/science/article/abs/pii/S0148296316304891</w:t>
        </w:r>
      </w:hyperlink>
    </w:p>
    <w:bookmarkEnd w:id="152"/>
    <w:bookmarkStart w:id="153" w:name="ref-himss2024apac"/>
    <w:p>
      <w:pPr>
        <w:pStyle w:val="Bibliography"/>
      </w:pPr>
      <w:r>
        <w:t xml:space="preserve">28.</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06">
        <w:r>
          <w:rPr>
            <w:rStyle w:val="Hyperlink"/>
          </w:rPr>
          <w:t xml:space="preserve">https://www.healthcareitnews.com/news/asia/himss24-apac-adoption-model-analytics-maturity-gets-facelift</w:t>
        </w:r>
      </w:hyperlink>
    </w:p>
    <w:bookmarkEnd w:id="153"/>
    <w:bookmarkStart w:id="155" w:name="ref-ksa2024"/>
    <w:p>
      <w:pPr>
        <w:pStyle w:val="Bibliography"/>
      </w:pPr>
      <w:r>
        <w:t xml:space="preserve">29.</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54">
        <w:r>
          <w:rPr>
            <w:rStyle w:val="Hyperlink"/>
          </w:rPr>
          <w:t xml:space="preserve">https://medicalbuyer.co.in/2-medical-groups-in-saudi-arabia-achieve-stage-7-digital-maturity/</w:t>
        </w:r>
      </w:hyperlink>
    </w:p>
    <w:bookmarkEnd w:id="155"/>
    <w:bookmarkStart w:id="157" w:name="ref-snowdon2024"/>
    <w:p>
      <w:pPr>
        <w:pStyle w:val="Bibliography"/>
      </w:pPr>
      <w:r>
        <w:t xml:space="preserve">30.</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56">
        <w:r>
          <w:rPr>
            <w:rStyle w:val="Hyperlink"/>
          </w:rPr>
          <w:t xml:space="preserve">https://www.jmir.org/2024/1/e56316</w:t>
        </w:r>
      </w:hyperlink>
    </w:p>
    <w:bookmarkEnd w:id="157"/>
    <w:bookmarkStart w:id="159" w:name="ref-snowdon2024a"/>
    <w:p>
      <w:pPr>
        <w:pStyle w:val="Bibliography"/>
      </w:pPr>
      <w:r>
        <w:t xml:space="preserve">31.</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58">
        <w:r>
          <w:rPr>
            <w:rStyle w:val="Hyperlink"/>
          </w:rPr>
          <w:t xml:space="preserve">https://journals.sagepub.com/doi/full/10.1177/23743735241253785</w:t>
        </w:r>
      </w:hyperlink>
    </w:p>
    <w:bookmarkEnd w:id="159"/>
    <w:bookmarkStart w:id="161" w:name="ref-wang2019"/>
    <w:p>
      <w:pPr>
        <w:pStyle w:val="Bibliography"/>
      </w:pPr>
      <w:r>
        <w:t xml:space="preserve">32.</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60">
        <w:r>
          <w:rPr>
            <w:rStyle w:val="Hyperlink"/>
          </w:rPr>
          <w:t xml:space="preserve">https://onlinelibrary.wiley.com/doi/abs/10.1111/1467-8551.12332</w:t>
        </w:r>
      </w:hyperlink>
    </w:p>
    <w:bookmarkEnd w:id="161"/>
    <w:bookmarkStart w:id="163" w:name="ref-gomes2025"/>
    <w:p>
      <w:pPr>
        <w:pStyle w:val="Bibliography"/>
      </w:pPr>
      <w:r>
        <w:t xml:space="preserve">33.</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62">
        <w:r>
          <w:rPr>
            <w:rStyle w:val="Hyperlink"/>
          </w:rPr>
          <w:t xml:space="preserve">https://www.mdpi.com/2227-9032/13/1/1</w:t>
        </w:r>
      </w:hyperlink>
    </w:p>
    <w:bookmarkEnd w:id="163"/>
    <w:bookmarkStart w:id="165" w:name="ref-woods2024"/>
    <w:p>
      <w:pPr>
        <w:pStyle w:val="Bibliography"/>
      </w:pPr>
      <w:r>
        <w:t xml:space="preserve">34.</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64">
        <w:r>
          <w:rPr>
            <w:rStyle w:val="Hyperlink"/>
          </w:rPr>
          <w:t xml:space="preserve">https://www.sciencedirect.com/science/article/pii/S1386505624001916</w:t>
        </w:r>
      </w:hyperlink>
    </w:p>
    <w:bookmarkEnd w:id="165"/>
    <w:bookmarkStart w:id="167" w:name="ref-saintulysse2021"/>
    <w:p>
      <w:pPr>
        <w:pStyle w:val="Bibliography"/>
      </w:pPr>
      <w:r>
        <w:t xml:space="preserve">35.</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66">
        <w:r>
          <w:rPr>
            <w:rStyle w:val="Hyperlink"/>
          </w:rPr>
          <w:t xml:space="preserve">https://scholarworks.waldenu.edu/cgi/viewcontent.cgi?article=12395&amp;context=dissertations</w:t>
        </w:r>
      </w:hyperlink>
    </w:p>
    <w:bookmarkEnd w:id="167"/>
    <w:bookmarkStart w:id="169" w:name="ref-martin2019"/>
    <w:p>
      <w:pPr>
        <w:pStyle w:val="Bibliography"/>
      </w:pPr>
      <w:r>
        <w:t xml:space="preserve">36.</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68">
        <w:r>
          <w:rPr>
            <w:rStyle w:val="Hyperlink"/>
          </w:rPr>
          <w:t xml:space="preserve">https://www.nature.com/articles/s41746-019-0118-9</w:t>
        </w:r>
      </w:hyperlink>
    </w:p>
    <w:bookmarkEnd w:id="169"/>
    <w:bookmarkStart w:id="171" w:name="ref-kamble2019"/>
    <w:p>
      <w:pPr>
        <w:pStyle w:val="Bibliography"/>
      </w:pPr>
      <w:r>
        <w:t xml:space="preserve">37.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70">
        <w:r>
          <w:rPr>
            <w:rStyle w:val="Hyperlink"/>
          </w:rPr>
          <w:t xml:space="preserve">https://www.tandfonline.com/doi/full/10.1080/20479700.2018.1531606</w:t>
        </w:r>
      </w:hyperlink>
    </w:p>
    <w:bookmarkEnd w:id="171"/>
    <w:bookmarkStart w:id="173"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72">
        <w:r>
          <w:rPr>
            <w:rStyle w:val="Hyperlink"/>
          </w:rPr>
          <w:t xml:space="preserve">https://www.healthcatalyst.com/learn/insights/healthcare-analytics-adoption-model-roadmap-analytic-maturity</w:t>
        </w:r>
      </w:hyperlink>
    </w:p>
    <w:bookmarkEnd w:id="173"/>
    <w:bookmarkStart w:id="175"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76">
        <w:r>
          <w:rPr>
            <w:rStyle w:val="Hyperlink"/>
          </w:rPr>
          <w:t xml:space="preserve">https://www.health.org.uk/publications/understanding-analytical-capability-in-health-care</w:t>
        </w:r>
      </w:hyperlink>
    </w:p>
    <w:bookmarkEnd w:id="177"/>
    <w:bookmarkStart w:id="179"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78">
        <w:r>
          <w:rPr>
            <w:rStyle w:val="Hyperlink"/>
          </w:rPr>
          <w:t xml:space="preserve">https://link.springer.com/article/10.1007/s10916-020-01665-9</w:t>
        </w:r>
      </w:hyperlink>
    </w:p>
    <w:bookmarkEnd w:id="179"/>
    <w:bookmarkStart w:id="181" w:name="ref-carvalho2019"/>
    <w:p>
      <w:pPr>
        <w:pStyle w:val="Bibliography"/>
      </w:pPr>
      <w:r>
        <w:t xml:space="preserve">42.</w:t>
      </w:r>
      <w:r>
        <w:t xml:space="preserve"> </w:t>
      </w:r>
      <w:r>
        <w:t xml:space="preserve">	</w:t>
      </w:r>
      <w:r>
        <w:t xml:space="preserve">Carvalho JV, Rocha Á, Vasconcelos J.</w:t>
      </w:r>
      <w:r>
        <w:t xml:space="preserve"> </w:t>
      </w:r>
      <w:hyperlink r:id="rId18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81"/>
    <w:bookmarkStart w:id="182"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82"/>
    <w:bookmarkStart w:id="183"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83"/>
    <w:bookmarkStart w:id="184"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84"/>
    <w:bookmarkStart w:id="185"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85"/>
    <w:bookmarkStart w:id="186"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86"/>
    <w:bookmarkStart w:id="187"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87"/>
    <w:bookmarkStart w:id="188"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88"/>
    <w:bookmarkStart w:id="189"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189"/>
    <w:bookmarkStart w:id="190"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190"/>
    <w:bookmarkStart w:id="191"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191"/>
    <w:bookmarkStart w:id="192"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192"/>
    <w:bookmarkStart w:id="193"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193"/>
    <w:bookmarkStart w:id="194"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194"/>
    <w:bookmarkStart w:id="195"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195"/>
    <w:bookmarkStart w:id="197"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96">
        <w:r>
          <w:rPr>
            <w:rStyle w:val="Hyperlink"/>
          </w:rPr>
          <w:t xml:space="preserve">https://pmc.ncbi.nlm.nih.gov/articles/PMC10802134/</w:t>
        </w:r>
      </w:hyperlink>
    </w:p>
    <w:bookmarkEnd w:id="197"/>
    <w:bookmarkStart w:id="199"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98">
        <w:r>
          <w:rPr>
            <w:rStyle w:val="Hyperlink"/>
          </w:rPr>
          <w:t xml:space="preserve">https://pmc.ncbi.nlm.nih.gov/articles/PMC11919231/</w:t>
        </w:r>
      </w:hyperlink>
    </w:p>
    <w:bookmarkEnd w:id="199"/>
    <w:bookmarkStart w:id="201" w:name="ref-massingham2018"/>
    <w:p>
      <w:pPr>
        <w:pStyle w:val="Bibliography"/>
      </w:pPr>
      <w:r>
        <w:t xml:space="preserve">59.</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00">
        <w:r>
          <w:rPr>
            <w:rStyle w:val="Hyperlink"/>
          </w:rPr>
          <w:t xml:space="preserve">https://doi.org/10.1108/JKM-08-2016-0338</w:t>
        </w:r>
      </w:hyperlink>
    </w:p>
    <w:bookmarkEnd w:id="201"/>
    <w:bookmarkStart w:id="203" w:name="ref-jones2005"/>
    <w:p>
      <w:pPr>
        <w:pStyle w:val="Bibliography"/>
      </w:pPr>
      <w:r>
        <w:t xml:space="preserve">60.</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02">
        <w:r>
          <w:rPr>
            <w:rStyle w:val="Hyperlink"/>
          </w:rPr>
          <w:t xml:space="preserve">https://journals.lww.com/jonajournal/abstract/2005/01000/the_costs_of_nurse_turnover__part_2__application.14.aspx</w:t>
        </w:r>
      </w:hyperlink>
    </w:p>
    <w:bookmarkEnd w:id="203"/>
    <w:bookmarkStart w:id="205" w:name="ref-willardgrace2019"/>
    <w:p>
      <w:pPr>
        <w:pStyle w:val="Bibliography"/>
      </w:pPr>
      <w:r>
        <w:t xml:space="preserve">61.</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04">
        <w:r>
          <w:rPr>
            <w:rStyle w:val="Hyperlink"/>
          </w:rPr>
          <w:t xml:space="preserve">https://www.annfammed.org/content/17/1/36</w:t>
        </w:r>
      </w:hyperlink>
    </w:p>
    <w:bookmarkEnd w:id="205"/>
    <w:bookmarkStart w:id="207" w:name="ref-melnick2021"/>
    <w:p>
      <w:pPr>
        <w:pStyle w:val="Bibliography"/>
      </w:pPr>
      <w:r>
        <w:t xml:space="preserve">62.</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06">
        <w:r>
          <w:rPr>
            <w:rStyle w:val="Hyperlink"/>
          </w:rPr>
          <w:t xml:space="preserve">https://jamanetwork.com/journals/jamanetworkopen/fullarticle/2784810</w:t>
        </w:r>
      </w:hyperlink>
    </w:p>
    <w:bookmarkEnd w:id="207"/>
    <w:bookmarkStart w:id="209" w:name="ref-oracle2024"/>
    <w:p>
      <w:pPr>
        <w:pStyle w:val="Bibliography"/>
      </w:pPr>
      <w:r>
        <w:t xml:space="preserve">63.</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08">
        <w:r>
          <w:rPr>
            <w:rStyle w:val="Hyperlink"/>
          </w:rPr>
          <w:t xml:space="preserve">https://www.oracle.com/human-capital-management/cost-employee-turnover-healthcare/</w:t>
        </w:r>
      </w:hyperlink>
    </w:p>
    <w:bookmarkEnd w:id="209"/>
    <w:bookmarkStart w:id="211" w:name="ref-nsi2025"/>
    <w:p>
      <w:pPr>
        <w:pStyle w:val="Bibliography"/>
      </w:pPr>
      <w:r>
        <w:t xml:space="preserve">64.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0">
        <w:r>
          <w:rPr>
            <w:rStyle w:val="Hyperlink"/>
          </w:rPr>
          <w:t xml:space="preserve">https://www.nsinursingsolutions.com/documents/library/nsi_national_health_care_retention_report.pdf</w:t>
        </w:r>
      </w:hyperlink>
    </w:p>
    <w:bookmarkEnd w:id="211"/>
    <w:bookmarkStart w:id="213" w:name="ref-ledikwe2013"/>
    <w:p>
      <w:pPr>
        <w:pStyle w:val="Bibliography"/>
      </w:pPr>
      <w:r>
        <w:t xml:space="preserve">65.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12">
        <w:r>
          <w:rPr>
            <w:rStyle w:val="Hyperlink"/>
          </w:rPr>
          <w:t xml:space="preserve">https://human-resources-health.biomedcentral.com/articles/10.1186/1478-4491-11-35</w:t>
        </w:r>
      </w:hyperlink>
    </w:p>
    <w:bookmarkEnd w:id="213"/>
    <w:bookmarkStart w:id="215" w:name="ref-mantas2010"/>
    <w:p>
      <w:pPr>
        <w:pStyle w:val="Bibliography"/>
      </w:pPr>
      <w:r>
        <w:t xml:space="preserve">66.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14">
        <w:r>
          <w:rPr>
            <w:rStyle w:val="Hyperlink"/>
          </w:rPr>
          <w:t xml:space="preserve">https://pubmed.ncbi.nlm.nih.gov/20054502/</w:t>
        </w:r>
      </w:hyperlink>
    </w:p>
    <w:bookmarkEnd w:id="215"/>
    <w:bookmarkStart w:id="217" w:name="ref-musa2023"/>
    <w:p>
      <w:pPr>
        <w:pStyle w:val="Bibliography"/>
      </w:pPr>
      <w:r>
        <w:t xml:space="preserve">67.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16">
        <w:r>
          <w:rPr>
            <w:rStyle w:val="Hyperlink"/>
          </w:rPr>
          <w:t xml:space="preserve">https://pmc.ncbi.nlm.nih.gov/articles/PMC10243608/</w:t>
        </w:r>
      </w:hyperlink>
    </w:p>
    <w:bookmarkEnd w:id="217"/>
    <w:bookmarkStart w:id="219" w:name="ref-konrad2022"/>
    <w:p>
      <w:pPr>
        <w:pStyle w:val="Bibliography"/>
      </w:pPr>
      <w:r>
        <w:t xml:space="preserve">68.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18">
        <w:r>
          <w:rPr>
            <w:rStyle w:val="Hyperlink"/>
          </w:rPr>
          <w:t xml:space="preserve">https://www.diva-portal.org/smash/record.jsf?pid=diva2:1684142</w:t>
        </w:r>
      </w:hyperlink>
    </w:p>
    <w:bookmarkEnd w:id="219"/>
    <w:bookmarkStart w:id="221" w:name="ref-rangachari2020"/>
    <w:p>
      <w:pPr>
        <w:pStyle w:val="Bibliography"/>
      </w:pPr>
      <w:r>
        <w:t xml:space="preserve">69.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20">
        <w:r>
          <w:rPr>
            <w:rStyle w:val="Hyperlink"/>
          </w:rPr>
          <w:t xml:space="preserve">https://www.mdpi.com/1660-4601/17/12/4267</w:t>
        </w:r>
      </w:hyperlink>
    </w:p>
    <w:bookmarkEnd w:id="221"/>
    <w:bookmarkStart w:id="223" w:name="ref-bae2010"/>
    <w:p>
      <w:pPr>
        <w:pStyle w:val="Bibliography"/>
      </w:pPr>
      <w:r>
        <w:t xml:space="preserve">70.</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22">
        <w:r>
          <w:rPr>
            <w:rStyle w:val="Hyperlink"/>
          </w:rPr>
          <w:t xml:space="preserve">https://onlinelibrary.wiley.com/doi/abs/10.1111/j.1547-5069.2009.01319.x</w:t>
        </w:r>
      </w:hyperlink>
    </w:p>
    <w:bookmarkEnd w:id="223"/>
    <w:bookmarkStart w:id="225" w:name="ref-wakerman2019"/>
    <w:p>
      <w:pPr>
        <w:pStyle w:val="Bibliography"/>
      </w:pPr>
      <w:r>
        <w:t xml:space="preserve">71.</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24">
        <w:r>
          <w:rPr>
            <w:rStyle w:val="Hyperlink"/>
          </w:rPr>
          <w:t xml:space="preserve">https://human-resources-health.biomedcentral.com/articles/10.1186/s12960-019-0432-y</w:t>
        </w:r>
      </w:hyperlink>
    </w:p>
    <w:bookmarkEnd w:id="225"/>
    <w:bookmarkStart w:id="227" w:name="ref-lahaie2005"/>
    <w:p>
      <w:pPr>
        <w:pStyle w:val="Bibliography"/>
      </w:pPr>
      <w:r>
        <w:t xml:space="preserve">72.</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26">
        <w:r>
          <w:rPr>
            <w:rStyle w:val="Hyperlink"/>
          </w:rPr>
          <w:t xml:space="preserve">https://www.emerald.com/insight/content/doi/10.1108/13660750510611198/full/html</w:t>
        </w:r>
      </w:hyperlink>
    </w:p>
    <w:bookmarkEnd w:id="227"/>
    <w:bookmarkStart w:id="229" w:name="ref-eriksson2022"/>
    <w:p>
      <w:pPr>
        <w:pStyle w:val="Bibliography"/>
      </w:pPr>
      <w:r>
        <w:t xml:space="preserve">73.</w:t>
      </w:r>
      <w:r>
        <w:t xml:space="preserve"> </w:t>
      </w:r>
      <w:r>
        <w:t xml:space="preserve">	</w:t>
      </w:r>
      <w:r>
        <w:t xml:space="preserve">Eriksson A, Vulkan P, Dellve L.</w:t>
      </w:r>
      <w:r>
        <w:t xml:space="preserve"> </w:t>
      </w:r>
      <w:hyperlink r:id="rId228">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29"/>
    <w:bookmarkStart w:id="230" w:name="ref-alogaidi2025"/>
    <w:p>
      <w:pPr>
        <w:pStyle w:val="Bibliography"/>
      </w:pPr>
      <w:r>
        <w:t xml:space="preserve">74.</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30"/>
    <w:bookmarkStart w:id="232" w:name="ref-taner2009"/>
    <w:p>
      <w:pPr>
        <w:pStyle w:val="Bibliography"/>
      </w:pPr>
      <w:r>
        <w:t xml:space="preserve">75.</w:t>
      </w:r>
      <w:r>
        <w:t xml:space="preserve"> </w:t>
      </w:r>
      <w:r>
        <w:t xml:space="preserve">	</w:t>
      </w:r>
      <w:r>
        <w:t xml:space="preserve">Taner M, Sezen B.</w:t>
      </w:r>
      <w:r>
        <w:t xml:space="preserve"> </w:t>
      </w:r>
      <w:hyperlink r:id="rId231">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32"/>
    <w:bookmarkStart w:id="234" w:name="ref-mayo2016"/>
    <w:p>
      <w:pPr>
        <w:pStyle w:val="Bibliography"/>
      </w:pPr>
      <w:r>
        <w:t xml:space="preserve">76.</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3">
        <w:r>
          <w:rPr>
            <w:rStyle w:val="Hyperlink"/>
          </w:rPr>
          <w:t xml:space="preserve">https://www.redjournal.org/article/S0360-3016(16)00260-1/fulltext</w:t>
        </w:r>
      </w:hyperlink>
    </w:p>
    <w:bookmarkEnd w:id="234"/>
    <w:bookmarkStart w:id="236" w:name="ref-goffin2011"/>
    <w:p>
      <w:pPr>
        <w:pStyle w:val="Bibliography"/>
      </w:pPr>
      <w:r>
        <w:t xml:space="preserve">77.</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5">
        <w:r>
          <w:rPr>
            <w:rStyle w:val="Hyperlink"/>
          </w:rPr>
          <w:t xml:space="preserve">https://onlinelibrary.wiley.com/doi/abs/10.1111/j.1540-5885.2010.00798.x</w:t>
        </w:r>
      </w:hyperlink>
    </w:p>
    <w:bookmarkEnd w:id="236"/>
    <w:bookmarkStart w:id="238" w:name="ref-foos2006"/>
    <w:p>
      <w:pPr>
        <w:pStyle w:val="Bibliography"/>
      </w:pPr>
      <w:r>
        <w:t xml:space="preserve">78.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7">
        <w:r>
          <w:rPr>
            <w:rStyle w:val="Hyperlink"/>
          </w:rPr>
          <w:t xml:space="preserve">https://www.emerald.com/insight/content/doi/10.1108/13673270610650067/full/html</w:t>
        </w:r>
      </w:hyperlink>
    </w:p>
    <w:bookmarkEnd w:id="238"/>
    <w:bookmarkStart w:id="240" w:name="ref-goffin2010"/>
    <w:p>
      <w:pPr>
        <w:pStyle w:val="Bibliography"/>
      </w:pPr>
      <w:r>
        <w:t xml:space="preserve">79.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9">
        <w:r>
          <w:rPr>
            <w:rStyle w:val="Hyperlink"/>
          </w:rPr>
          <w:t xml:space="preserve">https://www.tandfonline.com/doi/abs/10.1080/08956308.2010.11657637</w:t>
        </w:r>
      </w:hyperlink>
    </w:p>
    <w:bookmarkEnd w:id="240"/>
    <w:bookmarkStart w:id="242" w:name="ref-rintala2006"/>
    <w:p>
      <w:pPr>
        <w:pStyle w:val="Bibliography"/>
      </w:pPr>
      <w:r>
        <w:t xml:space="preserve">80.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1">
        <w:r>
          <w:rPr>
            <w:rStyle w:val="Hyperlink"/>
          </w:rPr>
          <w:t xml:space="preserve">https://www.inderscienceonline.com/doi/abs/10.1504/IJNKM.2006.009880</w:t>
        </w:r>
      </w:hyperlink>
    </w:p>
    <w:bookmarkEnd w:id="242"/>
    <w:bookmarkStart w:id="244" w:name="ref-shahbaz2019"/>
    <w:p>
      <w:pPr>
        <w:pStyle w:val="Bibliography"/>
      </w:pPr>
      <w:r>
        <w:t xml:space="preserve">81.</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43">
        <w:r>
          <w:rPr>
            <w:rStyle w:val="Hyperlink"/>
          </w:rPr>
          <w:t xml:space="preserve">https://journalofbigdata.springeropen.com/articles/10.1186/s40537-019-0170-y</w:t>
        </w:r>
      </w:hyperlink>
    </w:p>
    <w:bookmarkEnd w:id="244"/>
    <w:bookmarkStart w:id="246"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90.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91.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92.</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93.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94.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95.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100.</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101.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102.</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103.</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104.</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105.</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106.</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107.</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108.</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109.</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110.</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112.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114.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115.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117.</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120.</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121.</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122.</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123.</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124.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125.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126.</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127.</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128.</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129.</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rao2006"/>
    <w:p>
      <w:pPr>
        <w:pStyle w:val="Bibliography"/>
      </w:pPr>
      <w:r>
        <w:t xml:space="preserve">131.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0">
        <w:r>
          <w:rPr>
            <w:rStyle w:val="Hyperlink"/>
          </w:rPr>
          <w:t xml:space="preserve">https://onlinelibrary.wiley.com/doi/abs/10.1057/palgrave.emr.1500057</w:t>
        </w:r>
      </w:hyperlink>
    </w:p>
    <w:bookmarkEnd w:id="341"/>
    <w:bookmarkStart w:id="343" w:name="ref-hong2025"/>
    <w:p>
      <w:pPr>
        <w:pStyle w:val="Bibliography"/>
      </w:pPr>
      <w:r>
        <w:t xml:space="preserve">132.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2">
        <w:r>
          <w:rPr>
            <w:rStyle w:val="Hyperlink"/>
          </w:rPr>
          <w:t xml:space="preserve">https://academic.oup.com/jpart/advance-article-abstract/doi/10.1093/jopart/muaf019/8162522</w:t>
        </w:r>
      </w:hyperlink>
    </w:p>
    <w:bookmarkEnd w:id="343"/>
    <w:bookmarkStart w:id="345" w:name="ref-mannapur2025"/>
    <w:p>
      <w:pPr>
        <w:pStyle w:val="Bibliography"/>
      </w:pPr>
      <w:r>
        <w:t xml:space="preserve">133.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134.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135.</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137.</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138.</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whittaker2008"/>
    <w:p>
      <w:pPr>
        <w:pStyle w:val="Bibliography"/>
      </w:pPr>
      <w:r>
        <w:t xml:space="preserve">139.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5">
        <w:r>
          <w:rPr>
            <w:rStyle w:val="Hyperlink"/>
          </w:rPr>
          <w:t xml:space="preserve">https://www.academia.edu/download/41283190/Design_and_evaluation_of_systems_to_supp20160117-25708-98zc50.pdf</w:t>
        </w:r>
      </w:hyperlink>
    </w:p>
    <w:bookmarkEnd w:id="356"/>
    <w:bookmarkStart w:id="358" w:name="ref-moore2018"/>
    <w:p>
      <w:pPr>
        <w:pStyle w:val="Bibliography"/>
      </w:pPr>
      <w:r>
        <w:t xml:space="preserve">140.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7">
        <w:r>
          <w:rPr>
            <w:rStyle w:val="Hyperlink"/>
          </w:rPr>
          <w:t xml:space="preserve">https://wendyju.com/publications/18_ijee3593.pdf</w:t>
        </w:r>
      </w:hyperlink>
    </w:p>
    <w:bookmarkEnd w:id="358"/>
    <w:bookmarkStart w:id="360" w:name="ref-zimmermann2017"/>
    <w:p>
      <w:pPr>
        <w:pStyle w:val="Bibliography"/>
      </w:pPr>
      <w:r>
        <w:t xml:space="preserve">141.</w:t>
      </w:r>
      <w:r>
        <w:t xml:space="preserve"> </w:t>
      </w:r>
      <w:r>
        <w:t xml:space="preserve">	</w:t>
      </w:r>
      <w:r>
        <w:t xml:space="preserve">Zimmermann S, Rentrop C, Felden C.</w:t>
      </w:r>
      <w:r>
        <w:t xml:space="preserve"> </w:t>
      </w:r>
      <w:hyperlink r:id="rId359">
        <w:r>
          <w:rPr>
            <w:rStyle w:val="Hyperlink"/>
          </w:rPr>
          <w:t xml:space="preserve">A Multiple Case Study on the Nature and Management of Shadow Information Technology</w:t>
        </w:r>
      </w:hyperlink>
      <w:r>
        <w:t xml:space="preserve">. Journal of Information Systems. 2017;31(1):79–101.</w:t>
      </w:r>
      <w:r>
        <w:t xml:space="preserve"> </w:t>
      </w:r>
    </w:p>
    <w:bookmarkEnd w:id="360"/>
    <w:bookmarkStart w:id="362" w:name="ref-rivard1987"/>
    <w:p>
      <w:pPr>
        <w:pStyle w:val="Bibliography"/>
      </w:pPr>
      <w:r>
        <w:t xml:space="preserve">142.</w:t>
      </w:r>
      <w:r>
        <w:t xml:space="preserve"> </w:t>
      </w:r>
      <w:r>
        <w:t xml:space="preserve">	</w:t>
      </w:r>
      <w:r>
        <w:t xml:space="preserve">Rivard S.</w:t>
      </w:r>
      <w:r>
        <w:t xml:space="preserve"> </w:t>
      </w:r>
      <w:hyperlink r:id="rId361">
        <w:r>
          <w:rPr>
            <w:rStyle w:val="Hyperlink"/>
          </w:rPr>
          <w:t xml:space="preserve">Successful Implementation of End-User Computing</w:t>
        </w:r>
      </w:hyperlink>
      <w:r>
        <w:t xml:space="preserve">. Interfaces. 1987;17(3):25–33.</w:t>
      </w:r>
      <w:r>
        <w:t xml:space="preserve"> </w:t>
      </w:r>
    </w:p>
    <w:bookmarkEnd w:id="362"/>
    <w:bookmarkStart w:id="364" w:name="ref-kopper2020"/>
    <w:p>
      <w:pPr>
        <w:pStyle w:val="Bibliography"/>
      </w:pPr>
      <w:r>
        <w:t xml:space="preserve">143.</w:t>
      </w:r>
      <w:r>
        <w:t xml:space="preserve"> </w:t>
      </w:r>
      <w:r>
        <w:t xml:space="preserve">	</w:t>
      </w:r>
      <w:r>
        <w:t xml:space="preserve">Kopper A, Westner M, Strahringer S.</w:t>
      </w:r>
      <w:r>
        <w:t xml:space="preserve"> </w:t>
      </w:r>
      <w:hyperlink r:id="rId36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4"/>
    <w:bookmarkStart w:id="366" w:name="ref-himss2025ucdavis"/>
    <w:p>
      <w:pPr>
        <w:pStyle w:val="Bibliography"/>
      </w:pPr>
      <w:r>
        <w:t xml:space="preserve">144.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5">
        <w:r>
          <w:rPr>
            <w:rStyle w:val="Hyperlink"/>
          </w:rPr>
          <w:t xml:space="preserve">https://pages.himss.org/LP-HA-Case-Study-UC-Davis.html</w:t>
        </w:r>
      </w:hyperlink>
    </w:p>
    <w:bookmarkEnd w:id="366"/>
    <w:bookmarkStart w:id="368" w:name="ref-benbya2004"/>
    <w:p>
      <w:pPr>
        <w:pStyle w:val="Bibliography"/>
      </w:pPr>
      <w:r>
        <w:t xml:space="preserve">145.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7">
        <w:r>
          <w:rPr>
            <w:rStyle w:val="Hyperlink"/>
          </w:rPr>
          <w:t xml:space="preserve">https://doi.org/10.1016/j.ijinfomgt.2003.12.012</w:t>
        </w:r>
      </w:hyperlink>
    </w:p>
    <w:bookmarkEnd w:id="368"/>
    <w:bookmarkEnd w:id="369"/>
    <w:bookmarkEnd w:id="370"/>
    <w:bookmarkStart w:id="377" w:name="appendices"/>
    <w:p>
      <w:pPr>
        <w:pStyle w:val="Heading1"/>
      </w:pPr>
      <w:r>
        <w:rPr>
          <w:rStyle w:val="SectionNumber"/>
        </w:rPr>
        <w:t xml:space="preserve">15</w:t>
      </w:r>
      <w:r>
        <w:tab/>
      </w:r>
      <w:r>
        <w:t xml:space="preserve">Appendices</w:t>
      </w:r>
    </w:p>
    <w:bookmarkStart w:id="371"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AMAM</w:t>
            </w:r>
          </w:p>
        </w:tc>
        <w:tc>
          <w:tcPr/>
          <w:p>
            <w:pPr>
              <w:pStyle w:val="Compact"/>
            </w:pPr>
            <w:r>
              <w:t xml:space="preserve">Analytics Maturity Assessment Model - HIMSS standard for measuring healthcare analytics capabilities</w:t>
            </w:r>
          </w:p>
        </w:tc>
      </w:tr>
      <w:tr>
        <w:tc>
          <w:tcPr/>
          <w:p>
            <w:pPr>
              <w:pStyle w:val="Compact"/>
            </w:pPr>
            <w:r>
              <w:t xml:space="preserve">Clinical Terminology</w:t>
            </w:r>
          </w:p>
        </w:tc>
        <w:tc>
          <w:tcPr/>
          <w:p>
            <w:pPr>
              <w:pStyle w:val="Compact"/>
            </w:pPr>
            <w:r>
              <w:t xml:space="preserve">Standardized vocabularies including ICD-10, CPT, SNOMED, and RxNorm used in healthcare data</w:t>
            </w:r>
          </w:p>
        </w:tc>
      </w:tr>
      <w:tr>
        <w:tc>
          <w:tcPr/>
          <w:p>
            <w:pPr>
              <w:pStyle w:val="Compact"/>
            </w:pPr>
            <w:r>
              <w:t xml:space="preserve">Conversational AI</w:t>
            </w:r>
          </w:p>
        </w:tc>
        <w:tc>
          <w:tcPr/>
          <w:p>
            <w:pPr>
              <w:pStyle w:val="Compact"/>
            </w:pPr>
            <w:r>
              <w:t xml:space="preserve">Artificial intelligence systems that enable natural language interaction for complex tasks</w:t>
            </w:r>
          </w:p>
        </w:tc>
      </w:tr>
      <w:tr>
        <w:tc>
          <w:tcPr/>
          <w:p>
            <w:pPr>
              <w:pStyle w:val="Compact"/>
            </w:pPr>
            <w:r>
              <w:t xml:space="preserve">EHR</w:t>
            </w:r>
          </w:p>
        </w:tc>
        <w:tc>
          <w:tcPr/>
          <w:p>
            <w:pPr>
              <w:pStyle w:val="Compact"/>
            </w:pPr>
            <w:r>
              <w:t xml:space="preserve">Electronic Health Record - digital version of patient medical records</w:t>
            </w:r>
          </w:p>
        </w:tc>
      </w:tr>
      <w:tr>
        <w:tc>
          <w:tcPr/>
          <w:p>
            <w:pPr>
              <w:pStyle w:val="Compact"/>
            </w:pPr>
            <w:r>
              <w:t xml:space="preserve">HIMSS</w:t>
            </w:r>
          </w:p>
        </w:tc>
        <w:tc>
          <w:tcPr/>
          <w:p>
            <w:pPr>
              <w:pStyle w:val="Compact"/>
            </w:pPr>
            <w:r>
              <w:t xml:space="preserve">Healthcare Information and Management Systems Society - healthcare IT standards organization</w:t>
            </w:r>
          </w:p>
        </w:tc>
      </w:tr>
      <w:tr>
        <w:tc>
          <w:tcPr/>
          <w:p>
            <w:pPr>
              <w:pStyle w:val="Compact"/>
            </w:pPr>
            <w:r>
              <w:t xml:space="preserve">Institutional Memory</w:t>
            </w:r>
          </w:p>
        </w:tc>
        <w:tc>
          <w:tcPr/>
          <w:p>
            <w:pPr>
              <w:pStyle w:val="Compact"/>
            </w:pPr>
            <w:r>
              <w:t xml:space="preserve">Collective organizational knowledge, expertise, and practices that enable effectiveness</w:t>
            </w:r>
          </w:p>
        </w:tc>
      </w:tr>
      <w:tr>
        <w:tc>
          <w:tcPr/>
          <w:p>
            <w:pPr>
              <w:pStyle w:val="Compact"/>
            </w:pPr>
            <w:r>
              <w:t xml:space="preserve">NL2SQL</w:t>
            </w:r>
          </w:p>
        </w:tc>
        <w:tc>
          <w:tcPr/>
          <w:p>
            <w:pPr>
              <w:pStyle w:val="Compact"/>
            </w:pPr>
            <w:r>
              <w:t xml:space="preserve">Natural Language to SQL - technology that converts spoken/written queries into database commands</w:t>
            </w:r>
          </w:p>
        </w:tc>
      </w:tr>
      <w:tr>
        <w:tc>
          <w:tcPr/>
          <w:p>
            <w:pPr>
              <w:pStyle w:val="Compact"/>
            </w:pPr>
            <w:r>
              <w:t xml:space="preserve">Population Health</w:t>
            </w:r>
          </w:p>
        </w:tc>
        <w:tc>
          <w:tcPr/>
          <w:p>
            <w:pPr>
              <w:pStyle w:val="Compact"/>
            </w:pPr>
            <w:r>
              <w:t xml:space="preserve">Analytics focused on health outcomes of groups of individuals rather than individual patients</w:t>
            </w:r>
          </w:p>
        </w:tc>
      </w:tr>
      <w:tr>
        <w:tc>
          <w:tcPr/>
          <w:p>
            <w:pPr>
              <w:pStyle w:val="Compact"/>
            </w:pPr>
            <w:r>
              <w:t xml:space="preserve">RAG</w:t>
            </w:r>
          </w:p>
        </w:tc>
        <w:tc>
          <w:tcPr/>
          <w:p>
            <w:pPr>
              <w:pStyle w:val="Compact"/>
            </w:pPr>
            <w:r>
              <w:t xml:space="preserve">Retrieval Augmented Generation - AI approach combining information retrieval with text generation</w:t>
            </w:r>
          </w:p>
        </w:tc>
      </w:tr>
    </w:tbl>
    <w:bookmarkEnd w:id="371"/>
    <w:bookmarkStart w:id="372"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tblLayout w:type="fixed"/>
        <w:tblLook w:firstRow="1" w:lastRow="0" w:firstColumn="0" w:lastColumn="0" w:noHBand="0" w:noVBand="0" w:val="0020"/>
      </w:tblPr>
      <w:tblGrid>
        <w:gridCol w:w="1260"/>
        <w:gridCol w:w="1080"/>
        <w:gridCol w:w="2340"/>
        <w:gridCol w:w="3240"/>
      </w:tblGrid>
      <w:tr>
        <w:trPr>
          <w:tblHeader w:val="on"/>
        </w:trPr>
        <w:tc>
          <w:tcPr/>
          <w:p>
            <w:pPr>
              <w:pStyle w:val="Compact"/>
            </w:pPr>
            <w:r>
              <w:t xml:space="preserve">Stage</w:t>
            </w:r>
          </w:p>
        </w:tc>
        <w:tc>
          <w:tcPr/>
          <w:p>
            <w:pPr>
              <w:pStyle w:val="Compact"/>
            </w:pPr>
            <w:r>
              <w:t xml:space="preserve">Name</w:t>
            </w:r>
          </w:p>
        </w:tc>
        <w:tc>
          <w:tcPr/>
          <w:p>
            <w:pPr>
              <w:pStyle w:val="Compact"/>
            </w:pPr>
            <w:r>
              <w:t xml:space="preserve">Description</w:t>
            </w:r>
          </w:p>
        </w:tc>
        <w:tc>
          <w:tcPr/>
          <w:p>
            <w:pPr>
              <w:pStyle w:val="Compact"/>
            </w:pPr>
            <w:r>
              <w:t xml:space="preserve">Key Capabilities</w:t>
            </w:r>
          </w:p>
        </w:tc>
      </w:tr>
      <w:tr>
        <w:tc>
          <w:tcPr/>
          <w:p>
            <w:pPr>
              <w:pStyle w:val="Compact"/>
            </w:pPr>
            <w:r>
              <w:t xml:space="preserve">Stage 0</w:t>
            </w:r>
          </w:p>
        </w:tc>
        <w:tc>
          <w:tcPr/>
          <w:p>
            <w:pPr>
              <w:pStyle w:val="Compact"/>
            </w:pPr>
            <w:r>
              <w:t xml:space="preserve">Data Collection</w:t>
            </w:r>
          </w:p>
        </w:tc>
        <w:tc>
          <w:tcPr/>
          <w:p>
            <w:pPr>
              <w:pStyle w:val="Compact"/>
            </w:pPr>
            <w:r>
              <w:t xml:space="preserve">Basic data capture without integration</w:t>
            </w:r>
          </w:p>
        </w:tc>
        <w:tc>
          <w:tcPr/>
          <w:p>
            <w:pPr>
              <w:pStyle w:val="Compact"/>
            </w:pPr>
            <w:r>
              <w:t xml:space="preserve">Manual data entry, paper records</w:t>
            </w:r>
          </w:p>
        </w:tc>
      </w:tr>
      <w:tr>
        <w:tc>
          <w:tcPr/>
          <w:p>
            <w:pPr>
              <w:pStyle w:val="Compact"/>
            </w:pPr>
            <w:r>
              <w:t xml:space="preserve">Stage 1</w:t>
            </w:r>
          </w:p>
        </w:tc>
        <w:tc>
          <w:tcPr/>
          <w:p>
            <w:pPr>
              <w:pStyle w:val="Compact"/>
            </w:pPr>
            <w:r>
              <w:t xml:space="preserve">Data Verification</w:t>
            </w:r>
          </w:p>
        </w:tc>
        <w:tc>
          <w:tcPr/>
          <w:p>
            <w:pPr>
              <w:pStyle w:val="Compact"/>
            </w:pPr>
            <w:r>
              <w:t xml:space="preserve">Automated data validation and error checking</w:t>
            </w:r>
          </w:p>
        </w:tc>
        <w:tc>
          <w:tcPr/>
          <w:p>
            <w:pPr>
              <w:pStyle w:val="Compact"/>
            </w:pPr>
            <w:r>
              <w:t xml:space="preserve">Basic quality controls, automated checks</w:t>
            </w:r>
          </w:p>
        </w:tc>
      </w:tr>
      <w:tr>
        <w:tc>
          <w:tcPr/>
          <w:p>
            <w:pPr>
              <w:pStyle w:val="Compact"/>
            </w:pPr>
            <w:r>
              <w:t xml:space="preserve">Stage 2</w:t>
            </w:r>
          </w:p>
        </w:tc>
        <w:tc>
          <w:tcPr/>
          <w:p>
            <w:pPr>
              <w:pStyle w:val="Compact"/>
            </w:pPr>
            <w:r>
              <w:t xml:space="preserve">Data Utilization</w:t>
            </w:r>
          </w:p>
        </w:tc>
        <w:tc>
          <w:tcPr/>
          <w:p>
            <w:pPr>
              <w:pStyle w:val="Compact"/>
            </w:pPr>
            <w:r>
              <w:t xml:space="preserve">Standard reporting and basic analytics</w:t>
            </w:r>
          </w:p>
        </w:tc>
        <w:tc>
          <w:tcPr/>
          <w:p>
            <w:pPr>
              <w:pStyle w:val="Compact"/>
            </w:pPr>
            <w:r>
              <w:t xml:space="preserve">Automated reports, dashboard creation</w:t>
            </w:r>
          </w:p>
        </w:tc>
      </w:tr>
      <w:tr>
        <w:tc>
          <w:tcPr/>
          <w:p>
            <w:pPr>
              <w:pStyle w:val="Compact"/>
            </w:pPr>
            <w:r>
              <w:t xml:space="preserve">Stage 3</w:t>
            </w:r>
          </w:p>
        </w:tc>
        <w:tc>
          <w:tcPr/>
          <w:p>
            <w:pPr>
              <w:pStyle w:val="Compact"/>
            </w:pPr>
            <w:r>
              <w:t xml:space="preserve">Automated Decision Support</w:t>
            </w:r>
          </w:p>
        </w:tc>
        <w:tc>
          <w:tcPr/>
          <w:p>
            <w:pPr>
              <w:pStyle w:val="Compact"/>
            </w:pPr>
            <w:r>
              <w:t xml:space="preserve">Rule-based clinical and operational support</w:t>
            </w:r>
          </w:p>
        </w:tc>
        <w:tc>
          <w:tcPr/>
          <w:p>
            <w:pPr>
              <w:pStyle w:val="Compact"/>
            </w:pPr>
            <w:r>
              <w:t xml:space="preserve">Clinical alerts, automated protocols</w:t>
            </w:r>
          </w:p>
        </w:tc>
      </w:tr>
      <w:tr>
        <w:tc>
          <w:tcPr/>
          <w:p>
            <w:pPr>
              <w:pStyle w:val="Compact"/>
            </w:pPr>
            <w:r>
              <w:t xml:space="preserve">Stage 4</w:t>
            </w:r>
          </w:p>
        </w:tc>
        <w:tc>
          <w:tcPr/>
          <w:p>
            <w:pPr>
              <w:pStyle w:val="Compact"/>
            </w:pPr>
            <w:r>
              <w:t xml:space="preserve">Population Health Analytics</w:t>
            </w:r>
          </w:p>
        </w:tc>
        <w:tc>
          <w:tcPr/>
          <w:p>
            <w:pPr>
              <w:pStyle w:val="Compact"/>
            </w:pPr>
            <w:r>
              <w:t xml:space="preserve">Population-level analysis and intervention</w:t>
            </w:r>
          </w:p>
        </w:tc>
        <w:tc>
          <w:tcPr/>
          <w:p>
            <w:pPr>
              <w:pStyle w:val="Compact"/>
            </w:pPr>
            <w:r>
              <w:t xml:space="preserve">Cohort identification, risk stratification</w:t>
            </w:r>
          </w:p>
        </w:tc>
      </w:tr>
      <w:tr>
        <w:tc>
          <w:tcPr/>
          <w:p>
            <w:pPr>
              <w:pStyle w:val="Compact"/>
            </w:pPr>
            <w:r>
              <w:t xml:space="preserve">Stage 5</w:t>
            </w:r>
          </w:p>
        </w:tc>
        <w:tc>
          <w:tcPr/>
          <w:p>
            <w:pPr>
              <w:pStyle w:val="Compact"/>
            </w:pPr>
            <w:r>
              <w:t xml:space="preserve">Predictive Analytics</w:t>
            </w:r>
          </w:p>
        </w:tc>
        <w:tc>
          <w:tcPr/>
          <w:p>
            <w:pPr>
              <w:pStyle w:val="Compact"/>
            </w:pPr>
            <w:r>
              <w:t xml:space="preserve">Statistical modeling and predictive capabilities</w:t>
            </w:r>
          </w:p>
        </w:tc>
        <w:tc>
          <w:tcPr/>
          <w:p>
            <w:pPr>
              <w:pStyle w:val="Compact"/>
            </w:pPr>
            <w:r>
              <w:t xml:space="preserve">Predictive models, trend analysis</w:t>
            </w:r>
          </w:p>
        </w:tc>
      </w:tr>
      <w:tr>
        <w:tc>
          <w:tcPr/>
          <w:p>
            <w:pPr>
              <w:pStyle w:val="Compact"/>
            </w:pPr>
            <w:r>
              <w:t xml:space="preserve">Stage 6</w:t>
            </w:r>
          </w:p>
        </w:tc>
        <w:tc>
          <w:tcPr/>
          <w:p>
            <w:pPr>
              <w:pStyle w:val="Compact"/>
            </w:pPr>
            <w:r>
              <w:t xml:space="preserve">Cognitive Analytics</w:t>
            </w:r>
          </w:p>
        </w:tc>
        <w:tc>
          <w:tcPr/>
          <w:p>
            <w:pPr>
              <w:pStyle w:val="Compact"/>
            </w:pPr>
            <w:r>
              <w:t xml:space="preserve">Machine learning and AI integration</w:t>
            </w:r>
          </w:p>
        </w:tc>
        <w:tc>
          <w:tcPr/>
          <w:p>
            <w:pPr>
              <w:pStyle w:val="Compact"/>
            </w:pPr>
            <w:r>
              <w:t xml:space="preserve">Advanced AI, pattern recognition</w:t>
            </w:r>
          </w:p>
        </w:tc>
      </w:tr>
      <w:tr>
        <w:tc>
          <w:tcPr/>
          <w:p>
            <w:pPr>
              <w:pStyle w:val="Compact"/>
            </w:pPr>
            <w:r>
              <w:t xml:space="preserve">Stage 7</w:t>
            </w:r>
          </w:p>
        </w:tc>
        <w:tc>
          <w:tcPr/>
          <w:p>
            <w:pPr>
              <w:pStyle w:val="Compact"/>
            </w:pPr>
            <w:r>
              <w:t xml:space="preserve">Precision Medicine</w:t>
            </w:r>
          </w:p>
        </w:tc>
        <w:tc>
          <w:tcPr/>
          <w:p>
            <w:pPr>
              <w:pStyle w:val="Compact"/>
            </w:pPr>
            <w:r>
              <w:t xml:space="preserve">Personalized treatment and genomic integration</w:t>
            </w:r>
          </w:p>
        </w:tc>
        <w:tc>
          <w:tcPr/>
          <w:p>
            <w:pPr>
              <w:pStyle w:val="Compact"/>
            </w:pPr>
            <w:r>
              <w:t xml:space="preserve">Personalized care, genomic analytics</w:t>
            </w:r>
          </w:p>
        </w:tc>
      </w:tr>
    </w:tbl>
    <w:bookmarkEnd w:id="372"/>
    <w:bookmarkStart w:id="376" w:name="Xbfd30549e6247e2f3e5132a039875af0e2849bb"/>
    <w:p>
      <w:pPr>
        <w:pStyle w:val="Heading2"/>
      </w:pPr>
      <w:r>
        <w:rPr>
          <w:rStyle w:val="SectionNumber"/>
        </w:rPr>
        <w:t xml:space="preserve">15.3</w:t>
      </w:r>
      <w:r>
        <w:tab/>
      </w:r>
      <w:r>
        <w:t xml:space="preserve">Appendix C: Healthcare NL2SQL Query Examples</w:t>
      </w:r>
    </w:p>
    <w:bookmarkStart w:id="373"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“Show me all diabetic patients over 65 who had an HbA1c test in the last 6 months”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73"/>
    <w:bookmarkStart w:id="374"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4"/>
    <w:bookmarkStart w:id="375"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“How many patients were readmitted within 30 days of discharge for heart failure?”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5"/>
    <w:bookmarkEnd w:id="376"/>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342" Target="https://academic.oup.com/jpart/advance-article-abstract/doi/10.1093/jopart/muaf019/8162522" TargetMode="External" /><Relationship Type="http://schemas.openxmlformats.org/officeDocument/2006/relationships/hyperlink" Id="rId116"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12"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41"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18"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63" Target="https://doi.org/10.1007/s10257-020-00472-y" TargetMode="External" /><Relationship Type="http://schemas.openxmlformats.org/officeDocument/2006/relationships/hyperlink" Id="rId367" Target="https://doi.org/10.1016/j.ijinfomgt.2003.12.012" TargetMode="External" /><Relationship Type="http://schemas.openxmlformats.org/officeDocument/2006/relationships/hyperlink" Id="rId180"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231" Target="https://doi.org/10.1108/09526860910953520" TargetMode="External" /><Relationship Type="http://schemas.openxmlformats.org/officeDocument/2006/relationships/hyperlink" Id="rId200"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61"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228" Target="https://doi.org/10.2147/JMDH.S363390" TargetMode="External" /><Relationship Type="http://schemas.openxmlformats.org/officeDocument/2006/relationships/hyperlink" Id="rId359" Target="https://doi.org/10.2308/isys-51517" TargetMode="External" /><Relationship Type="http://schemas.openxmlformats.org/officeDocument/2006/relationships/hyperlink" Id="rId351" Target="https://doi.org/10.63282/3050-9262.IJAIDSML-V6I4P130" TargetMode="External" /><Relationship Type="http://schemas.openxmlformats.org/officeDocument/2006/relationships/hyperlink" Id="rId143"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12" Target="https://human-resources-health.biomedcentral.com/articles/10.1186/1478-4491-11-35" TargetMode="External" /><Relationship Type="http://schemas.openxmlformats.org/officeDocument/2006/relationships/hyperlink" Id="rId224" Target="https://human-resources-health.biomedcentral.com/articles/10.1186/s12960-019-0432-y"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06" Target="https://jamanetwork.com/journals/jamanetworkopen/fullarticle/2784810" TargetMode="External" /><Relationship Type="http://schemas.openxmlformats.org/officeDocument/2006/relationships/hyperlink" Id="rId243" Target="https://journalofbigdata.springeropen.com/articles/10.1186/s40537-019-0170-y" TargetMode="External" /><Relationship Type="http://schemas.openxmlformats.org/officeDocument/2006/relationships/hyperlink" Id="rId202"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58" Target="https://journals.sagepub.com/doi/full/10.1177/23743735241253785" TargetMode="External" /><Relationship Type="http://schemas.openxmlformats.org/officeDocument/2006/relationships/hyperlink" Id="rId147" Target="https://legacy.himss.org/news/new-analytics-maturity-adoption-model-pushes-digital-transformation-and-data-driven-decisions" TargetMode="External" /><Relationship Type="http://schemas.openxmlformats.org/officeDocument/2006/relationships/hyperlink" Id="rId135" Target="https://link.springer.com/article/10.1007/s10916-011-9656-7" TargetMode="External" /><Relationship Type="http://schemas.openxmlformats.org/officeDocument/2006/relationships/hyperlink" Id="rId178" Target="https://link.springer.com/article/10.1007/s10916-020-01665-9" TargetMode="External" /><Relationship Type="http://schemas.openxmlformats.org/officeDocument/2006/relationships/hyperlink" Id="rId139"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54"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340" Target="https://onlinelibrary.wiley.com/doi/abs/10.1057/palgrave.emr.1500057" TargetMode="External" /><Relationship Type="http://schemas.openxmlformats.org/officeDocument/2006/relationships/hyperlink" Id="rId160"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222" Target="https://onlinelibrary.wiley.com/doi/abs/10.1111/j.1547-5069.2009.01319.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5" Target="https://pages.himss.org/LP-HA-Case-Study-UC-Davis.html"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16" Target="https://pmc.ncbi.nlm.nih.gov/articles/PMC10243608/" TargetMode="External" /><Relationship Type="http://schemas.openxmlformats.org/officeDocument/2006/relationships/hyperlink" Id="rId196" Target="https://pmc.ncbi.nlm.nih.gov/articles/PMC10802134/" TargetMode="External" /><Relationship Type="http://schemas.openxmlformats.org/officeDocument/2006/relationships/hyperlink" Id="rId198" Target="https://pmc.ncbi.nlm.nih.gov/articles/PMC11919231/" TargetMode="External" /><Relationship Type="http://schemas.openxmlformats.org/officeDocument/2006/relationships/hyperlink" Id="rId133" Target="https://publishing.emanresearch.org/Journal/FullText/6104" TargetMode="External" /><Relationship Type="http://schemas.openxmlformats.org/officeDocument/2006/relationships/hyperlink" Id="rId214" Target="https://pubmed.ncbi.nlm.nih.gov/20054502/"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66"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7" Target="https://wendyju.com/publications/18_ijee3593.pdf" TargetMode="External" /><Relationship Type="http://schemas.openxmlformats.org/officeDocument/2006/relationships/hyperlink" Id="rId355"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02"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04"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18" Target="https://www.diva-portal.org/smash/record.jsf?pid=diva2:1684142" TargetMode="External" /><Relationship Type="http://schemas.openxmlformats.org/officeDocument/2006/relationships/hyperlink" Id="rId226" Target="https://www.emerald.com/insight/content/doi/10.1108/13660750510611198/full/html"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106" Target="https://www.healthcareitnews.com/news/asia/himss24-apac-adoption-model-analytics-maturity-gets-facelift" TargetMode="External" /><Relationship Type="http://schemas.openxmlformats.org/officeDocument/2006/relationships/hyperlink" Id="rId172" Target="https://www.healthcatalyst.com/learn/insights/healthcare-analytics-adoption-model-roadmap-analytic-maturity" TargetMode="External" /><Relationship Type="http://schemas.openxmlformats.org/officeDocument/2006/relationships/hyperlink" Id="rId104" Target="https://www.himss.org/maturity-models/amam/" TargetMode="External" /><Relationship Type="http://schemas.openxmlformats.org/officeDocument/2006/relationships/hyperlink" Id="rId114"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31"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56" Target="https://www.jmir.org/2024/1/e56316" TargetMode="External" /><Relationship Type="http://schemas.openxmlformats.org/officeDocument/2006/relationships/hyperlink" Id="rId220" Target="https://www.mdpi.com/1660-4601/17/12/4267" TargetMode="External" /><Relationship Type="http://schemas.openxmlformats.org/officeDocument/2006/relationships/hyperlink" Id="rId162"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68"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10" Target="https://www.nsinursingsolutions.com/documents/library/nsi_national_health_care_retention_report.pdf" TargetMode="External" /><Relationship Type="http://schemas.openxmlformats.org/officeDocument/2006/relationships/hyperlink" Id="rId120" Target="https://www.nyulawreview.org/issues/volume-94-number-4/data-standardization/" TargetMode="External" /><Relationship Type="http://schemas.openxmlformats.org/officeDocument/2006/relationships/hyperlink" Id="rId208"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49" Target="https://www.sciencedirect.com/science/article/abs/pii/S0040162516000500" TargetMode="External" /><Relationship Type="http://schemas.openxmlformats.org/officeDocument/2006/relationships/hyperlink" Id="rId151"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164"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70" Target="https://www.tandfonline.com/doi/full/10.1080/20479700.2018.1531606" TargetMode="External" /><Relationship Type="http://schemas.openxmlformats.org/officeDocument/2006/relationships/hyperlink" Id="rId137"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342" Target="https://academic.oup.com/jpart/advance-article-abstract/doi/10.1093/jopart/muaf019/8162522" TargetMode="External" /><Relationship Type="http://schemas.openxmlformats.org/officeDocument/2006/relationships/hyperlink" Id="rId116"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12"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41"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18"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63" Target="https://doi.org/10.1007/s10257-020-00472-y" TargetMode="External" /><Relationship Type="http://schemas.openxmlformats.org/officeDocument/2006/relationships/hyperlink" Id="rId367" Target="https://doi.org/10.1016/j.ijinfomgt.2003.12.012" TargetMode="External" /><Relationship Type="http://schemas.openxmlformats.org/officeDocument/2006/relationships/hyperlink" Id="rId180"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231" Target="https://doi.org/10.1108/09526860910953520" TargetMode="External" /><Relationship Type="http://schemas.openxmlformats.org/officeDocument/2006/relationships/hyperlink" Id="rId200"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61"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228" Target="https://doi.org/10.2147/JMDH.S363390" TargetMode="External" /><Relationship Type="http://schemas.openxmlformats.org/officeDocument/2006/relationships/hyperlink" Id="rId359" Target="https://doi.org/10.2308/isys-51517" TargetMode="External" /><Relationship Type="http://schemas.openxmlformats.org/officeDocument/2006/relationships/hyperlink" Id="rId351" Target="https://doi.org/10.63282/3050-9262.IJAIDSML-V6I4P130" TargetMode="External" /><Relationship Type="http://schemas.openxmlformats.org/officeDocument/2006/relationships/hyperlink" Id="rId143"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12" Target="https://human-resources-health.biomedcentral.com/articles/10.1186/1478-4491-11-35" TargetMode="External" /><Relationship Type="http://schemas.openxmlformats.org/officeDocument/2006/relationships/hyperlink" Id="rId224" Target="https://human-resources-health.biomedcentral.com/articles/10.1186/s12960-019-0432-y"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06" Target="https://jamanetwork.com/journals/jamanetworkopen/fullarticle/2784810" TargetMode="External" /><Relationship Type="http://schemas.openxmlformats.org/officeDocument/2006/relationships/hyperlink" Id="rId243" Target="https://journalofbigdata.springeropen.com/articles/10.1186/s40537-019-0170-y" TargetMode="External" /><Relationship Type="http://schemas.openxmlformats.org/officeDocument/2006/relationships/hyperlink" Id="rId202"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58" Target="https://journals.sagepub.com/doi/full/10.1177/23743735241253785" TargetMode="External" /><Relationship Type="http://schemas.openxmlformats.org/officeDocument/2006/relationships/hyperlink" Id="rId147" Target="https://legacy.himss.org/news/new-analytics-maturity-adoption-model-pushes-digital-transformation-and-data-driven-decisions" TargetMode="External" /><Relationship Type="http://schemas.openxmlformats.org/officeDocument/2006/relationships/hyperlink" Id="rId135" Target="https://link.springer.com/article/10.1007/s10916-011-9656-7" TargetMode="External" /><Relationship Type="http://schemas.openxmlformats.org/officeDocument/2006/relationships/hyperlink" Id="rId178" Target="https://link.springer.com/article/10.1007/s10916-020-01665-9" TargetMode="External" /><Relationship Type="http://schemas.openxmlformats.org/officeDocument/2006/relationships/hyperlink" Id="rId139"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54"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340" Target="https://onlinelibrary.wiley.com/doi/abs/10.1057/palgrave.emr.1500057" TargetMode="External" /><Relationship Type="http://schemas.openxmlformats.org/officeDocument/2006/relationships/hyperlink" Id="rId160"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222" Target="https://onlinelibrary.wiley.com/doi/abs/10.1111/j.1547-5069.2009.01319.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5" Target="https://pages.himss.org/LP-HA-Case-Study-UC-Davis.html"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16" Target="https://pmc.ncbi.nlm.nih.gov/articles/PMC10243608/" TargetMode="External" /><Relationship Type="http://schemas.openxmlformats.org/officeDocument/2006/relationships/hyperlink" Id="rId196" Target="https://pmc.ncbi.nlm.nih.gov/articles/PMC10802134/" TargetMode="External" /><Relationship Type="http://schemas.openxmlformats.org/officeDocument/2006/relationships/hyperlink" Id="rId198" Target="https://pmc.ncbi.nlm.nih.gov/articles/PMC11919231/" TargetMode="External" /><Relationship Type="http://schemas.openxmlformats.org/officeDocument/2006/relationships/hyperlink" Id="rId133" Target="https://publishing.emanresearch.org/Journal/FullText/6104" TargetMode="External" /><Relationship Type="http://schemas.openxmlformats.org/officeDocument/2006/relationships/hyperlink" Id="rId214" Target="https://pubmed.ncbi.nlm.nih.gov/20054502/"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66"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7" Target="https://wendyju.com/publications/18_ijee3593.pdf" TargetMode="External" /><Relationship Type="http://schemas.openxmlformats.org/officeDocument/2006/relationships/hyperlink" Id="rId355"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02"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04"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18" Target="https://www.diva-portal.org/smash/record.jsf?pid=diva2:1684142" TargetMode="External" /><Relationship Type="http://schemas.openxmlformats.org/officeDocument/2006/relationships/hyperlink" Id="rId226" Target="https://www.emerald.com/insight/content/doi/10.1108/13660750510611198/full/html"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106" Target="https://www.healthcareitnews.com/news/asia/himss24-apac-adoption-model-analytics-maturity-gets-facelift" TargetMode="External" /><Relationship Type="http://schemas.openxmlformats.org/officeDocument/2006/relationships/hyperlink" Id="rId172" Target="https://www.healthcatalyst.com/learn/insights/healthcare-analytics-adoption-model-roadmap-analytic-maturity" TargetMode="External" /><Relationship Type="http://schemas.openxmlformats.org/officeDocument/2006/relationships/hyperlink" Id="rId104" Target="https://www.himss.org/maturity-models/amam/" TargetMode="External" /><Relationship Type="http://schemas.openxmlformats.org/officeDocument/2006/relationships/hyperlink" Id="rId114"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31"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56" Target="https://www.jmir.org/2024/1/e56316" TargetMode="External" /><Relationship Type="http://schemas.openxmlformats.org/officeDocument/2006/relationships/hyperlink" Id="rId220" Target="https://www.mdpi.com/1660-4601/17/12/4267" TargetMode="External" /><Relationship Type="http://schemas.openxmlformats.org/officeDocument/2006/relationships/hyperlink" Id="rId162"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68"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10" Target="https://www.nsinursingsolutions.com/documents/library/nsi_national_health_care_retention_report.pdf" TargetMode="External" /><Relationship Type="http://schemas.openxmlformats.org/officeDocument/2006/relationships/hyperlink" Id="rId120" Target="https://www.nyulawreview.org/issues/volume-94-number-4/data-standardization/" TargetMode="External" /><Relationship Type="http://schemas.openxmlformats.org/officeDocument/2006/relationships/hyperlink" Id="rId208"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49" Target="https://www.sciencedirect.com/science/article/abs/pii/S0040162516000500" TargetMode="External" /><Relationship Type="http://schemas.openxmlformats.org/officeDocument/2006/relationships/hyperlink" Id="rId151"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164"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70" Target="https://www.tandfonline.com/doi/full/10.1080/20479700.2018.1531606" TargetMode="External" /><Relationship Type="http://schemas.openxmlformats.org/officeDocument/2006/relationships/hyperlink" Id="rId137"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2026-01-12T20:37:50Z</dcterms:created>
  <dcterms:modified xsi:type="dcterms:W3CDTF">2026-01-12T20:37:50Z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