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low</w:t>
      </w:r>
      <w:r>
        <w:t xml:space="preserve"> </w:t>
      </w:r>
      <w:r>
        <w:t xml:space="preserve">analytics</w:t>
      </w:r>
      <w:r>
        <w:t xml:space="preserve"> </w:t>
      </w:r>
      <w:r>
        <w:t xml:space="preserve">maturity,</w:t>
      </w:r>
      <w:r>
        <w:t xml:space="preserve"> </w:t>
      </w:r>
      <w:r>
        <w:t xml:space="preserve">with</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having</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from</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(NL2SQL)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was</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the</w:t>
      </w:r>
      <w:r>
        <w:t xml:space="preserve"> </w:t>
      </w:r>
      <w:r>
        <w:t xml:space="preserve">three-pillar</w:t>
      </w:r>
      <w:r>
        <w:t xml:space="preserve"> </w:t>
      </w:r>
      <w:r>
        <w:t xml:space="preserve">analytical</w:t>
      </w:r>
      <w:r>
        <w:t xml:space="preserve"> </w:t>
      </w:r>
      <w:r>
        <w:t xml:space="preserve">framework</w:t>
      </w:r>
      <w:r>
        <w:t xml:space="preserve"> </w:t>
      </w:r>
      <w:r>
        <w:t xml:space="preserve">to</w:t>
      </w:r>
      <w:r>
        <w:t xml:space="preserve"> </w:t>
      </w:r>
      <w:r>
        <w:t xml:space="preserve">examine</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dynamic:</w:t>
      </w:r>
      <w:r>
        <w:t xml:space="preserve"> </w:t>
      </w:r>
      <w:r>
        <w:t xml:space="preserve">low-maturity</w:t>
      </w:r>
      <w:r>
        <w:t xml:space="preserve"> </w:t>
      </w:r>
      <w:r>
        <w:t xml:space="preserve">organizations</w:t>
      </w:r>
      <w:r>
        <w:t xml:space="preserve"> </w:t>
      </w:r>
      <w:r>
        <w:t xml:space="preserve">experience</w:t>
      </w:r>
      <w:r>
        <w:t xml:space="preserve"> </w:t>
      </w:r>
      <w:r>
        <w:t xml:space="preserve">higher</w:t>
      </w:r>
      <w:r>
        <w:t xml:space="preserve"> </w:t>
      </w:r>
      <w:r>
        <w:t xml:space="preserve">turnover,</w:t>
      </w:r>
      <w:r>
        <w:t xml:space="preserve"> </w:t>
      </w:r>
      <w:r>
        <w:t xml:space="preserve">which</w:t>
      </w:r>
      <w:r>
        <w:t xml:space="preserve"> </w:t>
      </w:r>
      <w:r>
        <w:t xml:space="preserve">degrades</w:t>
      </w:r>
      <w:r>
        <w:t xml:space="preserve"> </w:t>
      </w:r>
      <w:r>
        <w:t xml:space="preserve">the</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while</w:t>
      </w:r>
      <w:r>
        <w:t xml:space="preserve"> </w:t>
      </w:r>
      <w:r>
        <w:t xml:space="preserve">technical</w:t>
      </w:r>
      <w:r>
        <w:t xml:space="preserve"> </w:t>
      </w:r>
      <w:r>
        <w:t xml:space="preserve">barriers</w:t>
      </w:r>
      <w:r>
        <w:t xml:space="preserve"> </w:t>
      </w:r>
      <w:r>
        <w:t xml:space="preserve">prevent</w:t>
      </w:r>
      <w:r>
        <w:t xml:space="preserve"> </w:t>
      </w:r>
      <w:r>
        <w:t xml:space="preserve">the</w:t>
      </w:r>
      <w:r>
        <w:t xml:space="preserve"> </w:t>
      </w:r>
      <w:r>
        <w:t xml:space="preserve">capture</w:t>
      </w:r>
      <w:r>
        <w:t xml:space="preserve"> </w:t>
      </w:r>
      <w:r>
        <w:t xml:space="preserve">of</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effect:</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which</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technological</w:t>
      </w:r>
      <w:r>
        <w:t xml:space="preserve"> </w:t>
      </w:r>
      <w:r>
        <w:t xml:space="preserve">interventions,</w:t>
      </w:r>
      <w:r>
        <w:t xml:space="preserve"> </w:t>
      </w:r>
      <w:r>
        <w:t xml:space="preserve">such</w:t>
      </w:r>
      <w:r>
        <w:t xml:space="preserve"> </w:t>
      </w:r>
      <w:r>
        <w:t xml:space="preserve">as</w:t>
      </w:r>
      <w:r>
        <w:t xml:space="preserve"> </w:t>
      </w:r>
      <w:r>
        <w:t xml:space="preserve">conversational</w:t>
      </w:r>
      <w:r>
        <w:t xml:space="preserve"> </w:t>
      </w:r>
      <w:r>
        <w:t xml:space="preserve">AI</w:t>
      </w:r>
      <w:r>
        <w:t xml:space="preserve"> </w:t>
      </w:r>
      <w:r>
        <w:t xml:space="preserve">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introduction"/>
    <w:p>
      <w:pPr>
        <w:pStyle w:val="Heading1"/>
      </w:pPr>
      <w:r>
        <w:rPr>
          <w:rStyle w:val="SectionNumber"/>
        </w:rPr>
        <w:t xml:space="preserve">1</w:t>
      </w:r>
      <w:r>
        <w:tab/>
      </w:r>
      <w:r>
        <w:t xml:space="preserve">Introduction</w:t>
      </w:r>
    </w:p>
    <w:bookmarkStart w:id="20"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b/>
          <w:b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b/>
          <w:b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b/>
          <w:b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20"/>
    <w:bookmarkStart w:id="21"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21"/>
    <w:bookmarkStart w:id="22"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b/>
          <w:b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4</w:t>
        </w:r>
      </w:hyperlink>
      <w:r>
        <w:t xml:space="preserve">)</w:t>
      </w:r>
      <w:r>
        <w:t xml:space="preserve">.</w:t>
      </w:r>
    </w:p>
    <w:p>
      <w:pPr>
        <w:pStyle w:val="Compact"/>
        <w:numPr>
          <w:ilvl w:val="0"/>
          <w:numId w:val="1002"/>
        </w:numPr>
      </w:pPr>
      <w:r>
        <w:rPr>
          <w:b/>
          <w:bCs/>
        </w:rPr>
        <w:t xml:space="preserve">Operational Level:</w:t>
      </w:r>
      <w:r>
        <w:t xml:space="preserve"> </w:t>
      </w:r>
      <w:r>
        <w:t xml:space="preserve">79% of healthcare provider organizations report persistent shortages in</w:t>
      </w:r>
      <w:r>
        <w:t xml:space="preserve"> </w:t>
      </w:r>
      <w:r>
        <w:t xml:space="preserve">“</w:t>
      </w:r>
      <w:r>
        <w:t xml:space="preserve">Information and Digital Health</w:t>
      </w:r>
      <w:r>
        <w:t xml:space="preserve">”</w:t>
      </w:r>
      <w:r>
        <w:t xml:space="preserve"> </w:t>
      </w:r>
      <w:r>
        <w:t xml:space="preserve">roles, leaving critical technical positions vacant</w:t>
      </w:r>
      <w:r>
        <w:t xml:space="preserve"> </w:t>
      </w:r>
      <w:r>
        <w:t xml:space="preserve">(</w:t>
      </w:r>
      <w:hyperlink w:anchor="ref-himssworkforce2024">
        <w:r>
          <w:rPr>
            <w:rStyle w:val="Hyperlink"/>
          </w:rPr>
          <w:t xml:space="preserve">5</w:t>
        </w:r>
      </w:hyperlink>
      <w:r>
        <w:t xml:space="preserve">)</w:t>
      </w:r>
      <w:r>
        <w:t xml:space="preserve">.</w:t>
      </w:r>
    </w:p>
    <w:p>
      <w:pPr>
        <w:pStyle w:val="Compact"/>
        <w:numPr>
          <w:ilvl w:val="0"/>
          <w:numId w:val="1002"/>
        </w:numPr>
      </w:pPr>
      <w:r>
        <w:rPr>
          <w:b/>
          <w:b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6</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7</w:t>
        </w:r>
      </w:hyperlink>
      <w:r>
        <w:t xml:space="preserve">)</w:t>
      </w:r>
      <w:r>
        <w:t xml:space="preserve">. That this two-decade-old study remains a key benchmark is itself evidence of the crisis: the industry is so unstable it has lost the ability to track its own attrition.</w:t>
      </w:r>
    </w:p>
    <w:bookmarkEnd w:id="22"/>
    <w:bookmarkStart w:id="23"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w:t>
      </w:r>
      <w:r>
        <w:t xml:space="preserve">technical skills gap</w:t>
      </w:r>
      <w:r>
        <w:t xml:space="preserve">”</w:t>
      </w:r>
      <w:r>
        <w:t xml:space="preserve">—where clinical experts lack SQL expertise—this is merely the surface of deeper challenges in</w:t>
      </w:r>
      <w:r>
        <w:t xml:space="preserve"> </w:t>
      </w:r>
      <w:r>
        <w:rPr>
          <w:b/>
          <w:bCs/>
        </w:rPr>
        <w:t xml:space="preserve">Semantic Interoperability</w:t>
      </w:r>
      <w:r>
        <w:t xml:space="preserve"> </w:t>
      </w:r>
      <w:r>
        <w:t xml:space="preserve">and</w:t>
      </w:r>
      <w:r>
        <w:t xml:space="preserve"> </w:t>
      </w:r>
      <w:r>
        <w:rPr>
          <w:b/>
          <w:bCs/>
        </w:rPr>
        <w:t xml:space="preserve">Data Quality</w:t>
      </w:r>
      <w:r>
        <w:t xml:space="preserve"> </w:t>
      </w:r>
      <w:r>
        <w:t xml:space="preserve">(</w:t>
      </w:r>
      <w:hyperlink w:anchor="ref-gal2019">
        <w:r>
          <w:rPr>
            <w:rStyle w:val="Hyperlink"/>
          </w:rPr>
          <w:t xml:space="preserve">8</w:t>
        </w:r>
      </w:hyperlink>
      <w:r>
        <w:t xml:space="preserve">,</w:t>
      </w:r>
      <w:hyperlink w:anchor="ref-zhang2024">
        <w:r>
          <w:rPr>
            <w:rStyle w:val="Hyperlink"/>
          </w:rPr>
          <w:t xml:space="preserve">9</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but a democratizing</w:t>
      </w:r>
      <w:r>
        <w:t xml:space="preserve"> </w:t>
      </w:r>
      <w:r>
        <w:rPr>
          <w:b/>
          <w:bCs/>
        </w:rPr>
        <w:t xml:space="preserve">Interface Layer</w:t>
      </w:r>
      <w:r>
        <w:t xml:space="preserve"> </w:t>
      </w:r>
      <w:r>
        <w:t xml:space="preserve">and a</w:t>
      </w:r>
      <w:r>
        <w:t xml:space="preserve"> </w:t>
      </w:r>
      <w:r>
        <w:rPr>
          <w:b/>
          <w:bCs/>
        </w:rPr>
        <w:t xml:space="preserve">Governance Forcing Function</w:t>
      </w:r>
      <w:r>
        <w:t xml:space="preserve">.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10</w:t>
        </w:r>
      </w:hyperlink>
      <w:r>
        <w:t xml:space="preserve">–</w:t>
      </w:r>
      <w:hyperlink w:anchor="ref-arora2025">
        <w:r>
          <w:rPr>
            <w:rStyle w:val="Hyperlink"/>
          </w:rPr>
          <w:t xml:space="preserve">13</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14</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15</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16</w:t>
        </w:r>
      </w:hyperlink>
      <w:r>
        <w:t xml:space="preserve">,</w:t>
      </w:r>
      <w:hyperlink w:anchor="ref-kamble2019">
        <w:r>
          <w:rPr>
            <w:rStyle w:val="Hyperlink"/>
          </w:rPr>
          <w:t xml:space="preserve">17</w:t>
        </w:r>
      </w:hyperlink>
      <w:r>
        <w:t xml:space="preserve">)</w:t>
      </w:r>
      <w:r>
        <w:t xml:space="preserve">. Together, these three pillars represent a compounding cycle of operational inefficiencies with demonstrated implications for healthcare delivery.</w:t>
      </w:r>
    </w:p>
    <w:bookmarkEnd w:id="23"/>
    <w:bookmarkStart w:id="27"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24"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24"/>
    <w:bookmarkStart w:id="25" w:name="secondary-objectives"/>
    <w:p>
      <w:pPr>
        <w:pStyle w:val="Heading3"/>
      </w:pPr>
      <w:r>
        <w:rPr>
          <w:rStyle w:val="SectionNumber"/>
        </w:rPr>
        <w:t xml:space="preserve">1.5.2</w:t>
      </w:r>
      <w:r>
        <w:tab/>
      </w:r>
      <w:r>
        <w:t xml:space="preserve">Secondary Objectives</w:t>
      </w:r>
    </w:p>
    <w:p>
      <w:pPr>
        <w:pStyle w:val="Compact"/>
        <w:numPr>
          <w:ilvl w:val="0"/>
          <w:numId w:val="1003"/>
        </w:numPr>
      </w:pPr>
      <w:r>
        <w:rPr>
          <w:b/>
          <w:bCs/>
        </w:rPr>
        <w:t xml:space="preserve">Synthesize current evidence</w:t>
      </w:r>
      <w:r>
        <w:t xml:space="preserve"> </w:t>
      </w:r>
      <w:r>
        <w:t xml:space="preserve">on natural language to SQL generation as a technical barrier.</w:t>
      </w:r>
    </w:p>
    <w:p>
      <w:pPr>
        <w:pStyle w:val="Compact"/>
        <w:numPr>
          <w:ilvl w:val="0"/>
          <w:numId w:val="1003"/>
        </w:numPr>
      </w:pPr>
      <w:r>
        <w:rPr>
          <w:b/>
          <w:bCs/>
        </w:rPr>
        <w:t xml:space="preserve">Document the extent</w:t>
      </w:r>
      <w:r>
        <w:t xml:space="preserve"> </w:t>
      </w:r>
      <w:r>
        <w:t xml:space="preserve">of analytics maturity challenges in healthcare organizations globally.</w:t>
      </w:r>
    </w:p>
    <w:p>
      <w:pPr>
        <w:pStyle w:val="Compact"/>
        <w:numPr>
          <w:ilvl w:val="0"/>
          <w:numId w:val="1003"/>
        </w:numPr>
      </w:pPr>
      <w:r>
        <w:rPr>
          <w:b/>
          <w:bCs/>
        </w:rPr>
        <w:t xml:space="preserve">Quantify the impact</w:t>
      </w:r>
      <w:r>
        <w:t xml:space="preserve"> </w:t>
      </w:r>
      <w:r>
        <w:t xml:space="preserve">of workforce turnover on institutional memory and analytics capabilities.</w:t>
      </w:r>
    </w:p>
    <w:p>
      <w:pPr>
        <w:pStyle w:val="Compact"/>
        <w:numPr>
          <w:ilvl w:val="0"/>
          <w:numId w:val="1003"/>
        </w:numPr>
      </w:pPr>
      <w:r>
        <w:rPr>
          <w:b/>
          <w:bCs/>
        </w:rPr>
        <w:t xml:space="preserve">Reveal interconnections</w:t>
      </w:r>
      <w:r>
        <w:t xml:space="preserve"> </w:t>
      </w:r>
      <w:r>
        <w:t xml:space="preserve">between the three pillars through evidence synthesis.</w:t>
      </w:r>
    </w:p>
    <w:p>
      <w:pPr>
        <w:pStyle w:val="Compact"/>
        <w:numPr>
          <w:ilvl w:val="0"/>
          <w:numId w:val="1003"/>
        </w:numPr>
      </w:pPr>
      <w:r>
        <w:rPr>
          <w:b/>
          <w:bCs/>
        </w:rPr>
        <w:t xml:space="preserve">Provide an assessment rubric</w:t>
      </w:r>
      <w:r>
        <w:t xml:space="preserve"> </w:t>
      </w:r>
      <w:r>
        <w:t xml:space="preserve">for organizational self-evaluation.</w:t>
      </w:r>
    </w:p>
    <w:bookmarkEnd w:id="25"/>
    <w:bookmarkStart w:id="26"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26"/>
    <w:bookmarkEnd w:id="27"/>
    <w:bookmarkStart w:id="29"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b/>
          <w:b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b/>
          <w:b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b/>
          <w:b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bookmarkStart w:id="28"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b/>
          <w:b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b/>
          <w:bCs/>
        </w:rPr>
        <w:t xml:space="preserve">Query</w:t>
      </w:r>
      <w:r>
        <w:t xml:space="preserve">: A domain expert (clinician, analyst, or administrator) asks a natural language question, such as,</w:t>
      </w:r>
      <w:r>
        <w:t xml:space="preserve"> </w:t>
      </w:r>
      <w:r>
        <w:t xml:space="preserve">“</w:t>
      </w:r>
      <w:r>
        <w:t xml:space="preserve">What was our 30-day readmission rate for heart failure patients last quarter?</w:t>
      </w:r>
      <w:r>
        <w:t xml:space="preserve">”</w:t>
      </w:r>
    </w:p>
    <w:p>
      <w:pPr>
        <w:numPr>
          <w:ilvl w:val="0"/>
          <w:numId w:val="1006"/>
        </w:numPr>
      </w:pPr>
      <w:r>
        <w:rPr>
          <w:b/>
          <w:bCs/>
        </w:rPr>
        <w:t xml:space="preserve">Generation</w:t>
      </w:r>
      <w:r>
        <w:t xml:space="preserve">: The conversational AI system generates candidate SQL code, leveraging healthcare ontologies and organizational schema knowledge.</w:t>
      </w:r>
    </w:p>
    <w:p>
      <w:pPr>
        <w:numPr>
          <w:ilvl w:val="0"/>
          <w:numId w:val="1006"/>
        </w:numPr>
      </w:pPr>
      <w:r>
        <w:rPr>
          <w:b/>
          <w:b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w:t>
      </w:r>
      <w:r>
        <w:t xml:space="preserve">Human-on-the-Loop</w:t>
      </w:r>
      <w:r>
        <w:t xml:space="preserve">”</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18</w:t>
        </w:r>
      </w:hyperlink>
      <w:r>
        <w:t xml:space="preserve">,</w:t>
      </w:r>
      <w:hyperlink w:anchor="ref-mosqueirarey2023">
        <w:r>
          <w:rPr>
            <w:rStyle w:val="Hyperlink"/>
          </w:rPr>
          <w:t xml:space="preserve">19</w:t>
        </w:r>
      </w:hyperlink>
      <w:r>
        <w:t xml:space="preserve">)</w:t>
      </w:r>
      <w:r>
        <w:t xml:space="preserve">. This is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w:t>
      </w:r>
    </w:p>
    <w:p>
      <w:pPr>
        <w:numPr>
          <w:ilvl w:val="0"/>
          <w:numId w:val="1006"/>
        </w:numPr>
      </w:pPr>
      <w:r>
        <w:rPr>
          <w:b/>
          <w:bCs/>
        </w:rPr>
        <w:t xml:space="preserve">Storage</w:t>
      </w:r>
      <w:r>
        <w:t xml:space="preserve">: Once validated, the NL+SQL pair is stored in organizational memory as a durable knowledge artifact, along with mandatory</w:t>
      </w:r>
      <w:r>
        <w:t xml:space="preserve"> </w:t>
      </w:r>
      <w:r>
        <w:t xml:space="preserve">“</w:t>
      </w:r>
      <w:r>
        <w:t xml:space="preserve">Rationale Metadata</w:t>
      </w:r>
      <w:r>
        <w:t xml:space="preserve">”</w:t>
      </w:r>
      <w:r>
        <w:t xml:space="preserve"> </w:t>
      </w:r>
      <w:r>
        <w:t xml:space="preserve">documenting the query’s business logic (e.g.,</w:t>
      </w:r>
      <w:r>
        <w:t xml:space="preserve"> </w:t>
      </w:r>
      <w:r>
        <w:t xml:space="preserve">“</w:t>
      </w:r>
      <w:r>
        <w:t xml:space="preserve">Excluding Hospice per 2025 CMS rules</w:t>
      </w:r>
      <w:r>
        <w:t xml:space="preserve">”</w:t>
      </w:r>
      <w:r>
        <w:t xml:space="preserve">).</w:t>
      </w:r>
    </w:p>
    <w:p>
      <w:pPr>
        <w:numPr>
          <w:ilvl w:val="0"/>
          <w:numId w:val="1006"/>
        </w:numPr>
      </w:pPr>
      <w:r>
        <w:rPr>
          <w:b/>
          <w:bCs/>
        </w:rPr>
        <w:t xml:space="preserve">Retrieval</w:t>
      </w:r>
      <w:r>
        <w:t xml:space="preserve">: When future users ask similar questions, the system retrieves relevant validated pairs, reducing dependence on individual expertise.</w:t>
      </w:r>
    </w:p>
    <w:p>
      <w:pPr>
        <w:numPr>
          <w:ilvl w:val="0"/>
          <w:numId w:val="1006"/>
        </w:numPr>
      </w:pPr>
      <w:r>
        <w:rPr>
          <w:b/>
          <w:bCs/>
        </w:rPr>
        <w:t xml:space="preserve">Persistence</w:t>
      </w:r>
      <w:r>
        <w:t xml:space="preserve">: When the original expert leaves, their analytical knowledge remains embedded in the system. New staff inherit executable knowledge rather than starting from scratch.</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8"/>
    <w:bookmarkEnd w:id="29"/>
    <w:bookmarkStart w:id="30"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0"/>
    <w:bookmarkEnd w:id="31"/>
    <w:bookmarkStart w:id="38" w:name="methodology"/>
    <w:p>
      <w:pPr>
        <w:pStyle w:val="Heading1"/>
      </w:pPr>
      <w:r>
        <w:rPr>
          <w:rStyle w:val="SectionNumber"/>
        </w:rPr>
        <w:t xml:space="preserve">2</w:t>
      </w:r>
      <w:r>
        <w:tab/>
      </w:r>
      <w:r>
        <w:t xml:space="preserve">Methodology</w:t>
      </w:r>
    </w:p>
    <w:bookmarkStart w:id="32"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b/>
          <w:bCs/>
        </w:rPr>
        <w:t xml:space="preserve">Original analytical framework</w:t>
      </w:r>
      <w:r>
        <w:t xml:space="preserve">: The three-pillar framework emerged iteratively from the literature rather than being pre-specified</w:t>
      </w:r>
    </w:p>
    <w:p>
      <w:pPr>
        <w:pStyle w:val="Compact"/>
        <w:numPr>
          <w:ilvl w:val="0"/>
          <w:numId w:val="1007"/>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rPr>
          <w:b/>
          <w:bCs/>
        </w:rP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rPr>
          <w:b/>
          <w:bCs/>
        </w:rPr>
        <w:t xml:space="preserve">Search Concepts and Results:</w:t>
      </w:r>
    </w:p>
    <w:p>
      <w:pPr>
        <w:pStyle w:val="BodyText"/>
      </w:pPr>
      <w:r>
        <w:t xml:space="preserve">Search terms emerged iteratively and were organized around the three-pillar framework. Table 1 summarizes the search concepts and results by source.</w:t>
      </w:r>
    </w:p>
    <w:p>
      <w:pPr>
        <w:pStyle w:val="TableCaption"/>
      </w:pPr>
      <w:r>
        <w:t xml:space="preserve">Initial search results by database source. Numbers in parentheses indicate studies passing initial screening. Search concepts:</w:t>
      </w:r>
      <w:r>
        <w:t xml:space="preserve"> </w:t>
      </w:r>
      <w:r>
        <w:rPr>
          <w:b/>
          <w:bCs/>
        </w:rPr>
        <w:t xml:space="preserve">Analytics Maturity</w:t>
      </w:r>
      <w:r>
        <w:t xml:space="preserve"> </w:t>
      </w:r>
      <w:r>
        <w:t xml:space="preserve">(</w:t>
      </w:r>
      <w:r>
        <w:t xml:space="preserve">“</w:t>
      </w:r>
      <w:r>
        <w:t xml:space="preserve">healthcare analytics maturity</w:t>
      </w:r>
      <w:r>
        <w:t xml:space="preserve">”</w:t>
      </w:r>
      <w:r>
        <w:t xml:space="preserve">,</w:t>
      </w:r>
      <w:r>
        <w:t xml:space="preserve"> </w:t>
      </w:r>
      <w:r>
        <w:t xml:space="preserve">“</w:t>
      </w:r>
      <w:r>
        <w:t xml:space="preserve">HIMSS AMAM</w:t>
      </w:r>
      <w:r>
        <w:t xml:space="preserve">”</w:t>
      </w:r>
      <w:r>
        <w:t xml:space="preserve">,</w:t>
      </w:r>
      <w:r>
        <w:t xml:space="preserve"> </w:t>
      </w:r>
      <w:r>
        <w:t xml:space="preserve">“</w:t>
      </w:r>
      <w:r>
        <w:t xml:space="preserve">analytics adoption</w:t>
      </w:r>
      <w:r>
        <w:t xml:space="preserve">”</w:t>
      </w:r>
      <w:r>
        <w:t xml:space="preserve">,</w:t>
      </w:r>
      <w:r>
        <w:t xml:space="preserve"> </w:t>
      </w:r>
      <w:r>
        <w:t xml:space="preserve">“</w:t>
      </w:r>
      <w:r>
        <w:t xml:space="preserve">big data analytics adoption</w:t>
      </w:r>
      <w:r>
        <w:t xml:space="preserve">”</w:t>
      </w:r>
      <w:r>
        <w:t xml:space="preserve">,</w:t>
      </w:r>
      <w:r>
        <w:t xml:space="preserve"> </w:t>
      </w:r>
      <w:r>
        <w:t xml:space="preserve">“</w:t>
      </w:r>
      <w:r>
        <w:t xml:space="preserve">resistance to change</w:t>
      </w:r>
      <w:r>
        <w:t xml:space="preserve">”</w:t>
      </w:r>
      <w:r>
        <w:t xml:space="preserve">,</w:t>
      </w:r>
      <w:r>
        <w:t xml:space="preserve"> </w:t>
      </w:r>
      <w:r>
        <w:t xml:space="preserve">“</w:t>
      </w:r>
      <w:r>
        <w:t xml:space="preserve">analytics standardization failure</w:t>
      </w:r>
      <w:r>
        <w:t xml:space="preserve">”</w:t>
      </w:r>
      <w:r>
        <w:t xml:space="preserve">,</w:t>
      </w:r>
      <w:r>
        <w:t xml:space="preserve"> </w:t>
      </w:r>
      <w:r>
        <w:t xml:space="preserve">“</w:t>
      </w:r>
      <w:r>
        <w:t xml:space="preserve">low-code ROI</w:t>
      </w:r>
      <w:r>
        <w:t xml:space="preserve">”</w:t>
      </w:r>
      <w:r>
        <w:t xml:space="preserve">);</w:t>
      </w:r>
      <w:r>
        <w:t xml:space="preserve"> </w:t>
      </w:r>
      <w:r>
        <w:rPr>
          <w:b/>
          <w:bCs/>
        </w:rPr>
        <w:t xml:space="preserve">Workforce Agility</w:t>
      </w:r>
      <w:r>
        <w:t xml:space="preserve"> </w:t>
      </w:r>
      <w:r>
        <w:t xml:space="preserve">(</w:t>
      </w:r>
      <w:r>
        <w:t xml:space="preserve">“</w:t>
      </w:r>
      <w:r>
        <w:t xml:space="preserve">healthcare IT tenure</w:t>
      </w:r>
      <w:r>
        <w:t xml:space="preserve">”</w:t>
      </w:r>
      <w:r>
        <w:t xml:space="preserve">,</w:t>
      </w:r>
      <w:r>
        <w:t xml:space="preserve"> </w:t>
      </w:r>
      <w:r>
        <w:t xml:space="preserve">“</w:t>
      </w:r>
      <w:r>
        <w:t xml:space="preserve">IT training time</w:t>
      </w:r>
      <w:r>
        <w:t xml:space="preserve">”</w:t>
      </w:r>
      <w:r>
        <w:t xml:space="preserve">,</w:t>
      </w:r>
      <w:r>
        <w:t xml:space="preserve"> </w:t>
      </w:r>
      <w:r>
        <w:t xml:space="preserve">“</w:t>
      </w:r>
      <w:r>
        <w:t xml:space="preserve">turnover cost</w:t>
      </w:r>
      <w:r>
        <w:t xml:space="preserve">”</w:t>
      </w:r>
      <w:r>
        <w:t xml:space="preserve">,</w:t>
      </w:r>
      <w:r>
        <w:t xml:space="preserve"> </w:t>
      </w:r>
      <w:r>
        <w:t xml:space="preserve">“</w:t>
      </w:r>
      <w:r>
        <w:t xml:space="preserve">institutional memory loss</w:t>
      </w:r>
      <w:r>
        <w:t xml:space="preserve">”</w:t>
      </w:r>
      <w:r>
        <w:t xml:space="preserve">,</w:t>
      </w:r>
      <w:r>
        <w:t xml:space="preserve"> </w:t>
      </w:r>
      <w:r>
        <w:t xml:space="preserve">“</w:t>
      </w:r>
      <w:r>
        <w:t xml:space="preserve">organizational forgetting</w:t>
      </w:r>
      <w:r>
        <w:t xml:space="preserve">”</w:t>
      </w:r>
      <w:r>
        <w:t xml:space="preserve">,</w:t>
      </w:r>
      <w:r>
        <w:t xml:space="preserve"> </w:t>
      </w:r>
      <w:r>
        <w:t xml:space="preserve">“</w:t>
      </w:r>
      <w:r>
        <w:t xml:space="preserve">competence loss</w:t>
      </w:r>
      <w:r>
        <w:t xml:space="preserve">”</w:t>
      </w:r>
      <w:r>
        <w:t xml:space="preserve">,</w:t>
      </w:r>
      <w:r>
        <w:t xml:space="preserve"> </w:t>
      </w:r>
      <w:r>
        <w:t xml:space="preserve">“</w:t>
      </w:r>
      <w:r>
        <w:t xml:space="preserve">knowledge portal</w:t>
      </w:r>
      <w:r>
        <w:t xml:space="preserve">”</w:t>
      </w:r>
      <w:r>
        <w:t xml:space="preserve">,</w:t>
      </w:r>
      <w:r>
        <w:t xml:space="preserve"> </w:t>
      </w:r>
      <w:r>
        <w:t xml:space="preserve">“</w:t>
      </w:r>
      <w:r>
        <w:t xml:space="preserve">SECI model</w:t>
      </w:r>
      <w:r>
        <w:t xml:space="preserve">”</w:t>
      </w:r>
      <w:r>
        <w:t xml:space="preserve">);</w:t>
      </w:r>
      <w:r>
        <w:t xml:space="preserve"> </w:t>
      </w:r>
      <w:r>
        <w:rPr>
          <w:b/>
          <w:bCs/>
        </w:rPr>
        <w:t xml:space="preserve">Technical Enablement</w:t>
      </w:r>
      <w:r>
        <w:t xml:space="preserve"> </w:t>
      </w:r>
      <w:r>
        <w:t xml:space="preserve">(</w:t>
      </w:r>
      <w:r>
        <w:t xml:space="preserve">“</w:t>
      </w:r>
      <w:r>
        <w:t xml:space="preserve">NL2SQL healthcare</w:t>
      </w:r>
      <w:r>
        <w:t xml:space="preserve">”</w:t>
      </w:r>
      <w:r>
        <w:t xml:space="preserve">,</w:t>
      </w:r>
      <w:r>
        <w:t xml:space="preserve"> </w:t>
      </w:r>
      <w:r>
        <w:t xml:space="preserve">“</w:t>
      </w:r>
      <w:r>
        <w:t xml:space="preserve">text-to-SQL clinical</w:t>
      </w:r>
      <w:r>
        <w:t xml:space="preserve">”</w:t>
      </w:r>
      <w:r>
        <w:t xml:space="preserve">,</w:t>
      </w:r>
      <w:r>
        <w:t xml:space="preserve"> </w:t>
      </w:r>
      <w:r>
        <w:t xml:space="preserve">“</w:t>
      </w:r>
      <w:r>
        <w:t xml:space="preserve">MIMICSQL</w:t>
      </w:r>
      <w:r>
        <w:t xml:space="preserve">”</w:t>
      </w:r>
      <w:r>
        <w:t xml:space="preserve">,</w:t>
      </w:r>
      <w:r>
        <w:t xml:space="preserve"> </w:t>
      </w:r>
      <w:r>
        <w:t xml:space="preserve">“</w:t>
      </w:r>
      <w:r>
        <w:t xml:space="preserve">EHRSQL</w:t>
      </w:r>
      <w:r>
        <w:t xml:space="preserve">”</w:t>
      </w:r>
      <w:r>
        <w:t xml:space="preserve">,</w:t>
      </w:r>
      <w:r>
        <w:t xml:space="preserve"> </w:t>
      </w:r>
      <w:r>
        <w:t xml:space="preserve">“</w:t>
      </w:r>
      <w:r>
        <w:t xml:space="preserve">schema discovery</w:t>
      </w:r>
      <w:r>
        <w:t xml:space="preserve">”</w:t>
      </w:r>
      <w:r>
        <w:t xml:space="preserve">,</w:t>
      </w:r>
      <w:r>
        <w:t xml:space="preserve"> </w:t>
      </w:r>
      <w:r>
        <w:t xml:space="preserve">“</w:t>
      </w:r>
      <w:r>
        <w:t xml:space="preserve">semantic column matching</w:t>
      </w:r>
      <w:r>
        <w:t xml:space="preserve">”</w:t>
      </w:r>
      <w:r>
        <w:t xml:space="preserve">,</w:t>
      </w:r>
      <w:r>
        <w:t xml:space="preserve"> </w:t>
      </w:r>
      <w:r>
        <w:t xml:space="preserve">“</w:t>
      </w:r>
      <w:r>
        <w:t xml:space="preserve">vector embeddings</w:t>
      </w:r>
      <w:r>
        <w:t xml:space="preserve">”</w:t>
      </w:r>
      <w:r>
        <w:t xml:space="preserve">).</w:t>
      </w:r>
    </w:p>
    <w:tbl>
      <w:tblPr>
        <w:tblStyle w:val="Table"/>
        <w:tblW w:type="auto" w:w="0"/>
        <w:jc w:val="left"/>
        <w:tblLook w:firstRow="1" w:lastRow="0" w:firstColumn="0" w:lastColumn="0" w:noHBand="0" w:noVBand="0" w:val="0020"/>
        <w:tblCaption w:val="Initial search results by database source. Numbers in parentheses indicate studies passing initial screening. Search concepts: Analytics Maturity (“healthcare analytics maturity”, “HIMSS AMAM”, “analytics adoption”, “big data analytics adoption”, “resistance to change”, “analytics standardization failure”, “low-code ROI”); Workforce Agility (“healthcare IT tenure”, “IT training time”, “turnover cost”, “institutional memory loss”, “organizational forgetting”, “competence loss”, “knowledge portal”, “SECI model”); Technical Enablement (“NL2SQL healthcare”, “text-to-SQL clinical”, “MIMICSQL”, “EHRSQL”, “schema discovery”, “semantic column matching”, “vector embeddings”)."/>
      </w:tblPr>
      <w:tblGrid>
        <w:gridCol w:w="1320"/>
        <w:gridCol w:w="1320"/>
        <w:gridCol w:w="1320"/>
        <w:gridCol w:w="1320"/>
        <w:gridCol w:w="1320"/>
        <w:gridCol w:w="1320"/>
      </w:tblGrid>
      <w:tr>
        <w:trPr>
          <w:tblHeader w:val="on"/>
        </w:trPr>
        <w:tc>
          <w:tcPr/>
          <w:p>
            <w:pPr>
              <w:pStyle w:val="Compact"/>
              <w:jc w:val="left"/>
            </w:pPr>
            <w:r>
              <w:t xml:space="preserve">Pillar</w:t>
            </w:r>
          </w:p>
        </w:tc>
        <w:tc>
          <w:tcPr/>
          <w:p>
            <w:pPr>
              <w:pStyle w:val="Compact"/>
              <w:jc w:val="center"/>
            </w:pPr>
            <w:r>
              <w:t xml:space="preserve">Crossref</w:t>
            </w:r>
          </w:p>
        </w:tc>
        <w:tc>
          <w:tcPr/>
          <w:p>
            <w:pPr>
              <w:pStyle w:val="Compact"/>
              <w:jc w:val="center"/>
            </w:pPr>
            <w:r>
              <w:t xml:space="preserve">PubMed</w:t>
            </w:r>
          </w:p>
        </w:tc>
        <w:tc>
          <w:tcPr/>
          <w:p>
            <w:pPr>
              <w:pStyle w:val="Compact"/>
              <w:jc w:val="center"/>
            </w:pPr>
            <w:r>
              <w:t xml:space="preserve">arXiv</w:t>
            </w:r>
          </w:p>
        </w:tc>
        <w:tc>
          <w:tcPr/>
          <w:p>
            <w:pPr>
              <w:pStyle w:val="Compact"/>
              <w:jc w:val="center"/>
            </w:pPr>
            <w:r>
              <w:t xml:space="preserve">Sem. Scholar</w:t>
            </w:r>
          </w:p>
        </w:tc>
        <w:tc>
          <w:tcPr/>
          <w:p>
            <w:pPr>
              <w:pStyle w:val="Compact"/>
              <w:jc w:val="center"/>
            </w:pPr>
            <w:r>
              <w:t xml:space="preserve">Total (Screened)</w:t>
            </w:r>
          </w:p>
        </w:tc>
      </w:tr>
      <w:tr>
        <w:tc>
          <w:tcPr/>
          <w:p>
            <w:pPr>
              <w:pStyle w:val="Compact"/>
              <w:jc w:val="left"/>
            </w:pPr>
            <w:r>
              <w:rPr>
                <w:b/>
                <w:bCs/>
              </w:rPr>
              <w:t xml:space="preserve">Analytics Maturity</w:t>
            </w:r>
          </w:p>
        </w:tc>
        <w:tc>
          <w:tcPr/>
          <w:p>
            <w:pPr>
              <w:pStyle w:val="Compact"/>
              <w:jc w:val="center"/>
            </w:pPr>
            <w:r>
              <w:t xml:space="preserve">285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285 (15)</w:t>
            </w:r>
          </w:p>
        </w:tc>
      </w:tr>
      <w:tr>
        <w:tc>
          <w:tcPr/>
          <w:p>
            <w:pPr>
              <w:pStyle w:val="Compact"/>
              <w:jc w:val="left"/>
            </w:pPr>
            <w:r>
              <w:rPr>
                <w:b/>
                <w:bCs/>
              </w:rPr>
              <w:t xml:space="preserve">Workforce Agility</w:t>
            </w:r>
          </w:p>
        </w:tc>
        <w:tc>
          <w:tcPr/>
          <w:p>
            <w:pPr>
              <w:pStyle w:val="Compact"/>
              <w:jc w:val="center"/>
            </w:pPr>
            <w:r>
              <w:t xml:space="preserve">-</w:t>
            </w:r>
          </w:p>
        </w:tc>
        <w:tc>
          <w:tcPr/>
          <w:p>
            <w:pPr>
              <w:pStyle w:val="Compact"/>
              <w:jc w:val="center"/>
            </w:pPr>
            <w:r>
              <w:t xml:space="preserve">142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142 (12)</w:t>
            </w:r>
          </w:p>
        </w:tc>
      </w:tr>
      <w:tr>
        <w:tc>
          <w:tcPr/>
          <w:p>
            <w:pPr>
              <w:pStyle w:val="Compact"/>
              <w:jc w:val="left"/>
            </w:pPr>
            <w:r>
              <w:rPr>
                <w:b/>
                <w:bCs/>
              </w:rPr>
              <w:t xml:space="preserve">Technical Enablement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71</w:t>
            </w:r>
          </w:p>
        </w:tc>
        <w:tc>
          <w:tcPr/>
          <w:p>
            <w:pPr>
              <w:pStyle w:val="Compact"/>
              <w:jc w:val="center"/>
            </w:pPr>
            <w:r>
              <w:t xml:space="preserve">72</w:t>
            </w:r>
          </w:p>
        </w:tc>
        <w:tc>
          <w:tcPr/>
          <w:p>
            <w:pPr>
              <w:pStyle w:val="Compact"/>
              <w:jc w:val="center"/>
            </w:pPr>
            <w:r>
              <w:t xml:space="preserve">143 (14)</w:t>
            </w:r>
          </w:p>
        </w:tc>
      </w:tr>
      <w:tr>
        <w:tc>
          <w:tcPr/>
          <w:p>
            <w:pPr>
              <w:pStyle w:val="Compact"/>
              <w:jc w:val="left"/>
            </w:pPr>
            <w:r>
              <w:rPr>
                <w:b/>
                <w:bCs/>
              </w:rPr>
              <w:t xml:space="preserve">Total</w:t>
            </w:r>
          </w:p>
        </w:tc>
        <w:tc>
          <w:tcPr/>
          <w:p>
            <w:pPr>
              <w:pStyle w:val="Compact"/>
              <w:jc w:val="center"/>
            </w:pPr>
            <w:r>
              <w:rPr>
                <w:b/>
                <w:bCs/>
              </w:rPr>
              <w:t xml:space="preserve">285</w:t>
            </w:r>
          </w:p>
        </w:tc>
        <w:tc>
          <w:tcPr/>
          <w:p>
            <w:pPr>
              <w:pStyle w:val="Compact"/>
              <w:jc w:val="center"/>
            </w:pPr>
            <w:r>
              <w:rPr>
                <w:b/>
                <w:bCs/>
              </w:rPr>
              <w:t xml:space="preserve">142</w:t>
            </w:r>
          </w:p>
        </w:tc>
        <w:tc>
          <w:tcPr/>
          <w:p>
            <w:pPr>
              <w:pStyle w:val="Compact"/>
              <w:jc w:val="center"/>
            </w:pPr>
            <w:r>
              <w:rPr>
                <w:b/>
                <w:bCs/>
              </w:rPr>
              <w:t xml:space="preserve">71</w:t>
            </w:r>
          </w:p>
        </w:tc>
        <w:tc>
          <w:tcPr/>
          <w:p>
            <w:pPr>
              <w:pStyle w:val="Compact"/>
              <w:jc w:val="center"/>
            </w:pPr>
            <w:r>
              <w:rPr>
                <w:b/>
                <w:bCs/>
              </w:rPr>
              <w:t xml:space="preserve">72</w:t>
            </w:r>
          </w:p>
        </w:tc>
        <w:tc>
          <w:tcPr/>
          <w:p>
            <w:pPr>
              <w:pStyle w:val="Compact"/>
              <w:jc w:val="center"/>
            </w:pPr>
            <w:r>
              <w:rPr>
                <w:b/>
                <w:bCs/>
              </w:rPr>
              <w:t xml:space="preserve">570 (41)</w:t>
            </w:r>
          </w:p>
        </w:tc>
      </w:tr>
    </w:tbl>
    <w:p>
      <w:pPr>
        <w:pStyle w:val="BodyText"/>
      </w:pPr>
      <w:r>
        <w:t xml:space="preserve">The final corpus includes 115 academic and 20 industry sources (135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included sources.</w:t>
      </w:r>
    </w:p>
    <w:bookmarkEnd w:id="33"/>
    <w:bookmarkStart w:id="34"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rPr>
          <w:b/>
          <w:bCs/>
        </w:rP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34"/>
    <w:bookmarkStart w:id="35"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21</w:t>
        </w:r>
      </w:hyperlink>
      <w:r>
        <w:t xml:space="preserve">)</w:t>
      </w:r>
      <w:r>
        <w:t xml:space="preserve">, which evaluates Authority, Accuracy, Coverage, Objectivity, Date, and Significance. Sources with vendor sponsorship were retained when no independent alternative existed but flagged in-text. Table 2 summarizes the assessment.</w:t>
      </w:r>
    </w:p>
    <w:p>
      <w:pPr>
        <w:pStyle w:val="TableCaption"/>
      </w:pPr>
      <w:r>
        <w:t xml:space="preserve">AACODS Assessment of Industry Sources.</w:t>
      </w:r>
      <w:r>
        <w:t xml:space="preserve"> </w:t>
      </w:r>
    </w:p>
    <w:tbl>
      <w:tblPr>
        <w:tblStyle w:val="Table"/>
        <w:tblW w:type="pct" w:w="4840"/>
        <w:jc w:val="left"/>
        <w:tblLayout w:type="fixed"/>
        <w:tblLook w:firstRow="1" w:lastRow="0" w:firstColumn="0" w:lastColumn="0" w:noHBand="0" w:noVBand="0" w:val="0020"/>
        <w:tblCaption w:val="AACODS Assessment of Industry Sources. "/>
      </w:tblPr>
      <w:tblGrid>
        <w:gridCol w:w="2534"/>
        <w:gridCol w:w="1647"/>
        <w:gridCol w:w="1520"/>
        <w:gridCol w:w="1267"/>
        <w:gridCol w:w="633"/>
        <w:gridCol w:w="63"/>
      </w:tblGrid>
      <w:tr>
        <w:trPr>
          <w:tblHeader w:val="on"/>
        </w:trPr>
        <w:tc>
          <w:tcPr/>
          <w:p>
            <w:pPr>
              <w:pStyle w:val="Compact"/>
              <w:jc w:val="left"/>
            </w:pPr>
            <w:r>
              <w:t xml:space="preserve">Source (Citation)</w:t>
            </w:r>
          </w:p>
        </w:tc>
        <w:tc>
          <w:tcPr/>
          <w:p>
            <w:pPr>
              <w:pStyle w:val="Compact"/>
              <w:jc w:val="left"/>
            </w:pPr>
            <w:r>
              <w:t xml:space="preserve">Authority / Accuracy</w:t>
            </w:r>
          </w:p>
        </w:tc>
        <w:tc>
          <w:tcPr/>
          <w:p>
            <w:pPr>
              <w:pStyle w:val="Compact"/>
              <w:jc w:val="left"/>
            </w:pPr>
            <w:r>
              <w:t xml:space="preserve">Coverage / Objectivity</w:t>
            </w:r>
          </w:p>
        </w:tc>
        <w:tc>
          <w:tcPr>
            <w:gridSpan w:val="3"/>
          </w:tcPr>
          <w:p>
            <w:pPr>
              <w:pStyle w:val="Compact"/>
              <w:jc w:val="left"/>
            </w:pPr>
            <w:r>
              <w:t xml:space="preserve">Date / Significance| Include</w:t>
            </w:r>
          </w:p>
        </w:tc>
      </w:tr>
      <w:tr>
        <w:tc>
          <w:tcPr/>
          <w:p>
            <w:pPr>
              <w:pStyle w:val="Compact"/>
              <w:jc w:val="left"/>
            </w:pPr>
            <w:r>
              <w:t xml:space="preserve">HIMSS AMAM</w:t>
            </w:r>
            <w:r>
              <w:t xml:space="preserve"> </w:t>
            </w:r>
            <w:r>
              <w:t xml:space="preserve">(</w:t>
            </w:r>
            <w:hyperlink w:anchor="ref-himss2024">
              <w:r>
                <w:rPr>
                  <w:rStyle w:val="Hyperlink"/>
                </w:rPr>
                <w:t xml:space="preserve">2</w:t>
              </w:r>
            </w:hyperlink>
            <w:r>
              <w:t xml:space="preserve">)</w:t>
            </w:r>
          </w:p>
        </w:tc>
        <w:tc>
          <w:tcPr/>
          <w:p>
            <w:pPr>
              <w:pStyle w:val="Compact"/>
              <w:jc w:val="left"/>
            </w:pPr>
            <w:r>
              <w:t xml:space="preserve">High† / Verifiable</w:t>
            </w:r>
          </w:p>
        </w:tc>
        <w:tc>
          <w:tcPr/>
          <w:p>
            <w:pPr>
              <w:pStyle w:val="Compact"/>
              <w:jc w:val="left"/>
            </w:pPr>
            <w:r>
              <w:t xml:space="preserve">Global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Snowdon/HIMSS</w:t>
            </w:r>
            <w:r>
              <w:t xml:space="preserve"> </w:t>
            </w:r>
            <w:r>
              <w:t xml:space="preserve">(</w:t>
            </w:r>
            <w:hyperlink w:anchor="ref-snowdon2024b">
              <w:r>
                <w:rPr>
                  <w:rStyle w:val="Hyperlink"/>
                </w:rPr>
                <w:t xml:space="preserve">22</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Health Catalyst</w:t>
            </w:r>
            <w:r>
              <w:t xml:space="preserve"> </w:t>
            </w:r>
            <w:r>
              <w:t xml:space="preserve">(</w:t>
            </w:r>
            <w:hyperlink w:anchor="ref-health2020">
              <w:r>
                <w:rPr>
                  <w:rStyle w:val="Hyperlink"/>
                </w:rPr>
                <w:t xml:space="preserve">23</w:t>
              </w:r>
            </w:hyperlink>
            <w:r>
              <w:t xml:space="preserve">)</w:t>
            </w:r>
          </w:p>
        </w:tc>
        <w:tc>
          <w:tcPr/>
          <w:p>
            <w:pPr>
              <w:pStyle w:val="Compact"/>
              <w:jc w:val="left"/>
            </w:pPr>
            <w:r>
              <w:t xml:space="preserve">Medium§ / Unverifiable</w:t>
            </w:r>
          </w:p>
        </w:tc>
        <w:tc>
          <w:tcPr/>
          <w:p>
            <w:pPr>
              <w:pStyle w:val="Compact"/>
              <w:jc w:val="left"/>
            </w:pPr>
            <w:r>
              <w:t xml:space="preserve">US / Low</w:t>
            </w:r>
          </w:p>
        </w:tc>
        <w:tc>
          <w:tcPr/>
          <w:p>
            <w:pPr>
              <w:pStyle w:val="Compact"/>
              <w:jc w:val="left"/>
            </w:pPr>
            <w:r>
              <w:t xml:space="preserve">2020 / Medium</w:t>
            </w:r>
          </w:p>
        </w:tc>
        <w:tc>
          <w:tcPr/>
          <w:p>
            <w:pPr>
              <w:pStyle w:val="Compact"/>
              <w:jc w:val="left"/>
            </w:pPr>
            <w:r>
              <w:t xml:space="preserve">Yes*</w:t>
            </w:r>
          </w:p>
        </w:tc>
        <w:tc>
          <w:tcPr/>
          <w:p>
            <w:pPr>
              <w:pStyle w:val="Compact"/>
            </w:pPr>
          </w:p>
        </w:tc>
      </w:tr>
      <w:tr>
        <w:tc>
          <w:tcPr/>
          <w:p>
            <w:pPr>
              <w:pStyle w:val="Compact"/>
              <w:jc w:val="left"/>
            </w:pPr>
            <w:r>
              <w:t xml:space="preserve">Berkshire NHS</w:t>
            </w:r>
            <w:r>
              <w:t xml:space="preserve"> </w:t>
            </w:r>
            <w:r>
              <w:t xml:space="preserve">(</w:t>
            </w:r>
            <w:hyperlink w:anchor="ref-berkshire2024">
              <w:r>
                <w:rPr>
                  <w:rStyle w:val="Hyperlink"/>
                </w:rPr>
                <w:t xml:space="preserve">24</w:t>
              </w:r>
            </w:hyperlink>
            <w:r>
              <w:t xml:space="preserve">)</w:t>
            </w:r>
          </w:p>
        </w:tc>
        <w:tc>
          <w:tcPr/>
          <w:p>
            <w:pPr>
              <w:pStyle w:val="Compact"/>
              <w:jc w:val="left"/>
            </w:pPr>
            <w:r>
              <w:t xml:space="preserve">High¶ / Verifiable</w:t>
            </w:r>
          </w:p>
        </w:tc>
        <w:tc>
          <w:tcPr/>
          <w:p>
            <w:pPr>
              <w:pStyle w:val="Compact"/>
              <w:jc w:val="left"/>
            </w:pPr>
            <w:r>
              <w:t xml:space="preserve">Single site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Forrester/Microsoft</w:t>
            </w:r>
            <w:r>
              <w:t xml:space="preserve"> </w:t>
            </w:r>
            <w:r>
              <w:t xml:space="preserve">(</w:t>
            </w:r>
            <w:hyperlink w:anchor="ref-forrester2024">
              <w:r>
                <w:rPr>
                  <w:rStyle w:val="Hyperlink"/>
                </w:rPr>
                <w:t xml:space="preserve">25</w:t>
              </w:r>
            </w:hyperlink>
            <w:r>
              <w:t xml:space="preserve">)</w:t>
            </w:r>
          </w:p>
        </w:tc>
        <w:tc>
          <w:tcPr/>
          <w:p>
            <w:pPr>
              <w:pStyle w:val="Compact"/>
              <w:jc w:val="left"/>
            </w:pPr>
            <w:r>
              <w:t xml:space="preserve">Medium∥ / Unverifiable</w:t>
            </w:r>
          </w:p>
        </w:tc>
        <w:tc>
          <w:tcPr/>
          <w:p>
            <w:pPr>
              <w:pStyle w:val="Compact"/>
              <w:jc w:val="left"/>
            </w:pPr>
            <w:r>
              <w:t xml:space="preserve">Enterprise / Low♢</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Oracle</w:t>
            </w:r>
            <w:r>
              <w:t xml:space="preserve"> </w:t>
            </w:r>
            <w:r>
              <w:t xml:space="preserve">(</w:t>
            </w:r>
            <w:hyperlink w:anchor="ref-oracle2024">
              <w:r>
                <w:rPr>
                  <w:rStyle w:val="Hyperlink"/>
                </w:rPr>
                <w:t xml:space="preserve">26</w:t>
              </w:r>
            </w:hyperlink>
            <w:r>
              <w:t xml:space="preserve">)</w:t>
            </w:r>
          </w:p>
        </w:tc>
        <w:tc>
          <w:tcPr/>
          <w:p>
            <w:pPr>
              <w:pStyle w:val="Compact"/>
              <w:jc w:val="left"/>
            </w:pPr>
            <w:r>
              <w:t xml:space="preserve">Low§ / Unverifiable</w:t>
            </w:r>
          </w:p>
        </w:tc>
        <w:tc>
          <w:tcPr/>
          <w:p>
            <w:pPr>
              <w:pStyle w:val="Compact"/>
              <w:jc w:val="left"/>
            </w:pPr>
            <w:r>
              <w:t xml:space="preserve">N/A / Low</w:t>
            </w:r>
          </w:p>
        </w:tc>
        <w:tc>
          <w:tcPr/>
          <w:p>
            <w:pPr>
              <w:pStyle w:val="Compact"/>
              <w:jc w:val="left"/>
            </w:pPr>
            <w:r>
              <w:t xml:space="preserve">2024 / Low</w:t>
            </w:r>
          </w:p>
        </w:tc>
        <w:tc>
          <w:tcPr/>
          <w:p>
            <w:pPr>
              <w:pStyle w:val="Compact"/>
              <w:jc w:val="left"/>
            </w:pPr>
            <w:r>
              <w:t xml:space="preserve">Yes*</w:t>
            </w:r>
          </w:p>
        </w:tc>
        <w:tc>
          <w:tcPr/>
          <w:p>
            <w:pPr>
              <w:pStyle w:val="Compact"/>
            </w:pPr>
          </w:p>
        </w:tc>
      </w:tr>
      <w:tr>
        <w:tc>
          <w:tcPr/>
          <w:p>
            <w:pPr>
              <w:pStyle w:val="Compact"/>
              <w:jc w:val="left"/>
            </w:pPr>
            <w:r>
              <w:t xml:space="preserve">Precedence Research</w:t>
            </w:r>
            <w:r>
              <w:t xml:space="preserve"> </w:t>
            </w:r>
            <w:r>
              <w:t xml:space="preserve">(</w:t>
            </w:r>
            <w:hyperlink w:anchor="ref-precedence2024">
              <w:r>
                <w:rPr>
                  <w:rStyle w:val="Hyperlink"/>
                </w:rPr>
                <w:t xml:space="preserve">27</w:t>
              </w:r>
            </w:hyperlink>
            <w:r>
              <w:t xml:space="preserve">)</w:t>
            </w:r>
          </w:p>
        </w:tc>
        <w:tc>
          <w:tcPr/>
          <w:p>
            <w:pPr>
              <w:pStyle w:val="Compact"/>
              <w:jc w:val="left"/>
            </w:pPr>
            <w:r>
              <w:t xml:space="preserve">Medium# / Unverifiable</w:t>
            </w:r>
          </w:p>
        </w:tc>
        <w:tc>
          <w:tcPr/>
          <w:p>
            <w:pPr>
              <w:pStyle w:val="Compact"/>
              <w:jc w:val="left"/>
            </w:pPr>
            <w:r>
              <w:t xml:space="preserve">Global / Medium</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Anthropic</w:t>
            </w:r>
            <w:r>
              <w:t xml:space="preserve"> </w:t>
            </w:r>
            <w:r>
              <w:t xml:space="preserve">(</w:t>
            </w:r>
            <w:hyperlink w:anchor="ref-anthropic2025">
              <w:r>
                <w:rPr>
                  <w:rStyle w:val="Hyperlink"/>
                </w:rPr>
                <w:t xml:space="preserve">10</w:t>
              </w:r>
            </w:hyperlink>
            <w:r>
              <w:t xml:space="preserve">)</w:t>
            </w:r>
          </w:p>
        </w:tc>
        <w:tc>
          <w:tcPr/>
          <w:p>
            <w:pPr>
              <w:pStyle w:val="Compact"/>
              <w:jc w:val="left"/>
            </w:pPr>
            <w:r>
              <w:t xml:space="preserve">Medium§ / Verifiable</w:t>
            </w:r>
          </w:p>
        </w:tc>
        <w:tc>
          <w:tcPr/>
          <w:p>
            <w:pPr>
              <w:pStyle w:val="Compact"/>
              <w:jc w:val="left"/>
            </w:pPr>
            <w:r>
              <w:t xml:space="preserve">N/A / Medium</w:t>
            </w:r>
          </w:p>
        </w:tc>
        <w:tc>
          <w:tcPr/>
          <w:p>
            <w:pPr>
              <w:pStyle w:val="Compact"/>
              <w:jc w:val="left"/>
            </w:pPr>
            <w:r>
              <w:t xml:space="preserve">2025 / Low</w:t>
            </w:r>
          </w:p>
        </w:tc>
        <w:tc>
          <w:tcPr/>
          <w:p>
            <w:pPr>
              <w:pStyle w:val="Compact"/>
              <w:jc w:val="left"/>
            </w:pPr>
            <w:r>
              <w:t xml:space="preserve">Yes</w:t>
            </w:r>
          </w:p>
        </w:tc>
        <w:tc>
          <w:tcPr/>
          <w:p>
            <w:pPr>
              <w:pStyle w:val="Compact"/>
            </w:pPr>
          </w:p>
        </w:tc>
      </w:tr>
      <w:tr>
        <w:tc>
          <w:tcPr/>
          <w:p>
            <w:pPr>
              <w:pStyle w:val="Compact"/>
              <w:jc w:val="left"/>
            </w:pPr>
            <w:r>
              <w:t xml:space="preserve">IBM Newsroom</w:t>
            </w:r>
            <w:r>
              <w:t xml:space="preserve"> </w:t>
            </w:r>
            <w:r>
              <w:t xml:space="preserve">(</w:t>
            </w:r>
            <w:hyperlink w:anchor="ref-ibm2022">
              <w:r>
                <w:rPr>
                  <w:rStyle w:val="Hyperlink"/>
                </w:rPr>
                <w:t xml:space="preserve">28</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2022 / High</w:t>
            </w:r>
          </w:p>
        </w:tc>
        <w:tc>
          <w:tcPr/>
          <w:p>
            <w:pPr>
              <w:pStyle w:val="Compact"/>
              <w:jc w:val="left"/>
            </w:pPr>
            <w:r>
              <w:t xml:space="preserve">Yes</w:t>
            </w:r>
          </w:p>
        </w:tc>
        <w:tc>
          <w:tcPr/>
          <w:p>
            <w:pPr>
              <w:pStyle w:val="Compact"/>
            </w:pPr>
          </w:p>
        </w:tc>
      </w:tr>
      <w:tr>
        <w:tc>
          <w:tcPr/>
          <w:p>
            <w:pPr>
              <w:pStyle w:val="Compact"/>
              <w:jc w:val="left"/>
            </w:pPr>
            <w:r>
              <w:t xml:space="preserve">CNBC/Haven</w:t>
            </w:r>
            <w:r>
              <w:t xml:space="preserve"> </w:t>
            </w:r>
            <w:r>
              <w:t xml:space="preserve">(</w:t>
            </w:r>
            <w:hyperlink w:anchor="ref-lavito2021">
              <w:r>
                <w:rPr>
                  <w:rStyle w:val="Hyperlink"/>
                </w:rPr>
                <w:t xml:space="preserve">29</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2021 / High</w:t>
            </w:r>
          </w:p>
        </w:tc>
        <w:tc>
          <w:tcPr/>
          <w:p>
            <w:pPr>
              <w:pStyle w:val="Compact"/>
              <w:jc w:val="left"/>
            </w:pPr>
            <w:r>
              <w:t xml:space="preserve">Yes</w:t>
            </w:r>
          </w:p>
        </w:tc>
        <w:tc>
          <w:tcPr/>
          <w:p>
            <w:pPr>
              <w:pStyle w:val="Compact"/>
            </w:pPr>
          </w:p>
        </w:tc>
      </w:tr>
      <w:tr>
        <w:tc>
          <w:tcPr/>
          <w:p>
            <w:pPr>
              <w:pStyle w:val="Compact"/>
              <w:jc w:val="left"/>
            </w:pPr>
            <w:r>
              <w:t xml:space="preserve">AHIMA/NORC</w:t>
            </w:r>
            <w:r>
              <w:t xml:space="preserve"> </w:t>
            </w:r>
            <w:r>
              <w:t xml:space="preserve">(</w:t>
            </w:r>
            <w:hyperlink w:anchor="ref-american2023">
              <w:r>
                <w:rPr>
                  <w:rStyle w:val="Hyperlink"/>
                </w:rPr>
                <w:t xml:space="preserve">1</w:t>
              </w:r>
            </w:hyperlink>
            <w:r>
              <w:t xml:space="preserve">)</w:t>
            </w:r>
          </w:p>
        </w:tc>
        <w:tc>
          <w:tcPr/>
          <w:p>
            <w:pPr>
              <w:pStyle w:val="Compact"/>
              <w:jc w:val="left"/>
            </w:pPr>
            <w:r>
              <w:t xml:space="preserve">High†† / Verifiable</w:t>
            </w:r>
          </w:p>
        </w:tc>
        <w:tc>
          <w:tcPr/>
          <w:p>
            <w:pPr>
              <w:pStyle w:val="Compact"/>
              <w:jc w:val="left"/>
            </w:pPr>
            <w:r>
              <w:t xml:space="preserve">US / High</w:t>
            </w:r>
          </w:p>
        </w:tc>
        <w:tc>
          <w:tcPr/>
          <w:p>
            <w:pPr>
              <w:pStyle w:val="Compact"/>
              <w:jc w:val="left"/>
            </w:pPr>
            <w:r>
              <w:t xml:space="preserve">2023 / High</w:t>
            </w:r>
          </w:p>
        </w:tc>
        <w:tc>
          <w:tcPr/>
          <w:p>
            <w:pPr>
              <w:pStyle w:val="Compact"/>
              <w:jc w:val="left"/>
            </w:pPr>
            <w:r>
              <w:t xml:space="preserve">Yes</w:t>
            </w:r>
          </w:p>
        </w:tc>
        <w:tc>
          <w:tcPr/>
          <w:p>
            <w:pPr>
              <w:pStyle w:val="Compact"/>
            </w:pPr>
          </w:p>
        </w:tc>
      </w:tr>
    </w:tbl>
    <w:p>
      <w:pPr>
        <w:pStyle w:val="BodyText"/>
      </w:pPr>
      <w:r>
        <w:t xml:space="preserve">†Industry standards body. ‡HIMSS officer. §Vendor. ¶NHS trust. ∥Analyst firm. #Market research. **Journalism. ††Professional association + academic. ♢Sponsor. *Vendor sponsorship or low objectivity noted in manuscript text.</w:t>
      </w:r>
    </w:p>
    <w:bookmarkEnd w:id="35"/>
    <w:bookmarkStart w:id="36"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12"/>
        </w:numPr>
      </w:pPr>
      <w:r>
        <w:rPr>
          <w:b/>
          <w:bCs/>
        </w:rPr>
        <w:t xml:space="preserve">Analytics maturity</w:t>
      </w:r>
      <w:r>
        <w:t xml:space="preserve">: Evidence on HIMSS AMAM adoption, healthcare analytics capabilities, and organizational readiness</w:t>
      </w:r>
    </w:p>
    <w:p>
      <w:pPr>
        <w:pStyle w:val="Compact"/>
        <w:numPr>
          <w:ilvl w:val="0"/>
          <w:numId w:val="1012"/>
        </w:numPr>
      </w:pPr>
      <w:r>
        <w:rPr>
          <w:b/>
          <w:bCs/>
        </w:rPr>
        <w:t xml:space="preserve">Workforce turnover</w:t>
      </w:r>
      <w:r>
        <w:t xml:space="preserve">: Evidence on nursing and IT staff turnover rates, institutional memory loss, and knowledge transfer challenges</w:t>
      </w:r>
    </w:p>
    <w:p>
      <w:pPr>
        <w:pStyle w:val="Compact"/>
        <w:numPr>
          <w:ilvl w:val="0"/>
          <w:numId w:val="1012"/>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b/>
          <w:bCs/>
        </w:rPr>
        <w:t xml:space="preserve">Non-exhaustive search</w:t>
      </w:r>
      <w:r>
        <w:t xml:space="preserve">: Literature identification was selective rather than exhaustive; relevant studies may have been missed</w:t>
      </w:r>
    </w:p>
    <w:p>
      <w:pPr>
        <w:pStyle w:val="Compact"/>
        <w:numPr>
          <w:ilvl w:val="0"/>
          <w:numId w:val="1013"/>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b/>
          <w:bCs/>
        </w:rPr>
        <w:t xml:space="preserve">Post-hoc selection criteria</w:t>
      </w:r>
      <w:r>
        <w:t xml:space="preserve">: Inclusion and exclusion criteria were refined during the review process rather than pre-registered</w:t>
      </w:r>
    </w:p>
    <w:p>
      <w:pPr>
        <w:pStyle w:val="Compact"/>
        <w:numPr>
          <w:ilvl w:val="0"/>
          <w:numId w:val="1013"/>
        </w:numPr>
      </w:pPr>
      <w:r>
        <w:rPr>
          <w:b/>
          <w:bCs/>
        </w:rPr>
        <w:t xml:space="preserve">No protocol registration</w:t>
      </w:r>
      <w:r>
        <w:t xml:space="preserve">: This review was not registered in PROSPERO or similar registries</w:t>
      </w:r>
    </w:p>
    <w:p>
      <w:pPr>
        <w:pStyle w:val="Compact"/>
        <w:numPr>
          <w:ilvl w:val="0"/>
          <w:numId w:val="1013"/>
        </w:numPr>
      </w:pPr>
      <w:r>
        <w:rPr>
          <w:b/>
          <w:b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7</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6</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42"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39"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b/>
          <w:bCs/>
        </w:rPr>
        <w:t xml:space="preserve">Theme Extraction</w:t>
      </w:r>
      <w:r>
        <w:t xml:space="preserve">: Systematic coding of included sources identified recurring themes across technical, organizational, and workforce dimensions</w:t>
      </w:r>
    </w:p>
    <w:p>
      <w:pPr>
        <w:pStyle w:val="Compact"/>
        <w:numPr>
          <w:ilvl w:val="0"/>
          <w:numId w:val="1014"/>
        </w:numPr>
      </w:pPr>
      <w:r>
        <w:rPr>
          <w:b/>
          <w:b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 drawing on established RCA methodology for organizational learning</w:t>
      </w:r>
      <w:r>
        <w:t xml:space="preserve"> </w:t>
      </w:r>
      <w:r>
        <w:t xml:space="preserve">(</w:t>
      </w:r>
      <w:hyperlink w:anchor="ref-allison2021">
        <w:r>
          <w:rPr>
            <w:rStyle w:val="Hyperlink"/>
          </w:rPr>
          <w:t xml:space="preserve">30</w:t>
        </w:r>
      </w:hyperlink>
      <w:r>
        <w:t xml:space="preserve">,</w:t>
      </w:r>
      <w:hyperlink w:anchor="ref-soylemez2017">
        <w:r>
          <w:rPr>
            <w:rStyle w:val="Hyperlink"/>
          </w:rPr>
          <w:t xml:space="preserve">31</w:t>
        </w:r>
      </w:hyperlink>
      <w:r>
        <w:t xml:space="preserve">)</w:t>
      </w:r>
      <w:r>
        <w:t xml:space="preserve">.</w:t>
      </w:r>
    </w:p>
    <w:p>
      <w:pPr>
        <w:pStyle w:val="Compact"/>
        <w:numPr>
          <w:ilvl w:val="0"/>
          <w:numId w:val="1014"/>
        </w:numPr>
      </w:pPr>
      <w:r>
        <w:rPr>
          <w:b/>
          <w:bCs/>
        </w:rPr>
        <w:t xml:space="preserve">Pillar Identification</w:t>
      </w:r>
      <w:r>
        <w:t xml:space="preserve">: Three orthogonal yet interconnected dimensions emerged as the organizing structure:</w:t>
      </w:r>
    </w:p>
    <w:p>
      <w:pPr>
        <w:pStyle w:val="Compact"/>
        <w:numPr>
          <w:ilvl w:val="1"/>
          <w:numId w:val="1015"/>
        </w:numPr>
      </w:pPr>
      <w:r>
        <w:rPr>
          <w:b/>
          <w:bCs/>
        </w:rPr>
        <w:t xml:space="preserve">Analytics Maturity</w:t>
      </w:r>
      <w:r>
        <w:t xml:space="preserve">: Organizational capability progression measured against HIMSS AMAM stages</w:t>
      </w:r>
    </w:p>
    <w:p>
      <w:pPr>
        <w:pStyle w:val="Compact"/>
        <w:numPr>
          <w:ilvl w:val="1"/>
          <w:numId w:val="1015"/>
        </w:numPr>
      </w:pPr>
      <w:r>
        <w:rPr>
          <w:b/>
          <w:bCs/>
        </w:rPr>
        <w:t xml:space="preserve">Workforce Agility</w:t>
      </w:r>
      <w:r>
        <w:t xml:space="preserve">: Human capital retention and tacit knowledge preservation</w:t>
      </w:r>
    </w:p>
    <w:p>
      <w:pPr>
        <w:pStyle w:val="Compact"/>
        <w:numPr>
          <w:ilvl w:val="1"/>
          <w:numId w:val="1015"/>
        </w:numPr>
      </w:pPr>
      <w:r>
        <w:rPr>
          <w:b/>
          <w:bCs/>
        </w:rPr>
        <w:t xml:space="preserve">Technical Enablement</w:t>
      </w:r>
      <w:r>
        <w:t xml:space="preserve">: NL2SQL capabilities and healthcare-specific implementation solutions</w:t>
      </w:r>
    </w:p>
    <w:p>
      <w:pPr>
        <w:pStyle w:val="Compact"/>
        <w:numPr>
          <w:ilvl w:val="0"/>
          <w:numId w:val="1014"/>
        </w:numPr>
      </w:pPr>
      <w:r>
        <w:rPr>
          <w:b/>
          <w:bCs/>
        </w:rPr>
        <w:t xml:space="preserve">Framework Validation</w:t>
      </w:r>
      <w:r>
        <w:t xml:space="preserve">: Pillar structure tested against the full corpus to confirm comprehensive coverage without significant gaps</w:t>
      </w:r>
    </w:p>
    <w:bookmarkEnd w:id="39"/>
    <w:bookmarkStart w:id="40"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w:t>
      </w:r>
      <w:r>
        <w:t xml:space="preserve"> </w:t>
      </w:r>
      <w:r>
        <w:t xml:space="preserve">(</w:t>
      </w:r>
      <w:hyperlink w:anchor="ref-rowley2007">
        <w:r>
          <w:rPr>
            <w:rStyle w:val="Hyperlink"/>
          </w:rPr>
          <w:t xml:space="preserve">32</w:t>
        </w:r>
      </w:hyperlink>
      <w:r>
        <w:t xml:space="preserve">)</w:t>
      </w:r>
      <w:r>
        <w:t xml:space="preserve"> </w:t>
      </w:r>
      <w:r>
        <w:t xml:space="preserve">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 It draws on established knowledge management theory for organizational learning</w:t>
      </w:r>
      <w:r>
        <w:t xml:space="preserve"> </w:t>
      </w:r>
      <w:r>
        <w:t xml:space="preserve">(</w:t>
      </w:r>
      <w:hyperlink w:anchor="ref-rao2006">
        <w:r>
          <w:rPr>
            <w:rStyle w:val="Hyperlink"/>
          </w:rPr>
          <w:t xml:space="preserve">33</w:t>
        </w:r>
      </w:hyperlink>
      <w:r>
        <w:t xml:space="preserve">,</w:t>
      </w:r>
      <w:hyperlink w:anchor="ref-massingham2018">
        <w:r>
          <w:rPr>
            <w:rStyle w:val="Hyperlink"/>
          </w:rPr>
          <w:t xml:space="preserve">34</w:t>
        </w:r>
      </w:hyperlink>
      <w:r>
        <w:t xml:space="preserve">)</w:t>
      </w:r>
      <w:r>
        <w:t xml:space="preserve">, tacit knowledge transfer</w:t>
      </w:r>
      <w:r>
        <w:t xml:space="preserve"> </w:t>
      </w:r>
      <w:r>
        <w:t xml:space="preserve">(</w:t>
      </w:r>
      <w:hyperlink w:anchor="ref-farnese2019">
        <w:r>
          <w:rPr>
            <w:rStyle w:val="Hyperlink"/>
          </w:rPr>
          <w:t xml:space="preserve">35</w:t>
        </w:r>
      </w:hyperlink>
      <w:r>
        <w:t xml:space="preserve">,</w:t>
      </w:r>
      <w:hyperlink w:anchor="ref-foos2006">
        <w:r>
          <w:rPr>
            <w:rStyle w:val="Hyperlink"/>
          </w:rPr>
          <w:t xml:space="preserve">36</w:t>
        </w:r>
      </w:hyperlink>
      <w:r>
        <w:t xml:space="preserve">)</w:t>
      </w:r>
      <w:r>
        <w:t xml:space="preserve">, and knowledge codification</w:t>
      </w:r>
      <w:r>
        <w:t xml:space="preserve"> </w:t>
      </w:r>
      <w:r>
        <w:t xml:space="preserve">(</w:t>
      </w:r>
      <w:hyperlink w:anchor="ref-benbya2004">
        <w:r>
          <w:rPr>
            <w:rStyle w:val="Hyperlink"/>
          </w:rPr>
          <w:t xml:space="preserve">37</w:t>
        </w:r>
      </w:hyperlink>
      <w:r>
        <w:t xml:space="preserve">,</w:t>
      </w:r>
      <w:hyperlink w:anchor="ref-zhang2025">
        <w:r>
          <w:rPr>
            <w:rStyle w:val="Hyperlink"/>
          </w:rPr>
          <w:t xml:space="preserve">38</w:t>
        </w:r>
      </w:hyperlink>
      <w:r>
        <w:t xml:space="preserve">)</w:t>
      </w:r>
      <w:r>
        <w:t xml:space="preserve"> </w:t>
      </w:r>
      <w:r>
        <w:t xml:space="preserve">to explain these connections.</w:t>
      </w:r>
    </w:p>
    <w:bookmarkEnd w:id="40"/>
    <w:bookmarkStart w:id="41"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1"/>
    <w:bookmarkEnd w:id="42"/>
    <w:bookmarkStart w:id="69"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47" w:name="state-of-healthcare-analytics-maturity"/>
    <w:p>
      <w:pPr>
        <w:pStyle w:val="Heading2"/>
      </w:pPr>
      <w:r>
        <w:rPr>
          <w:rStyle w:val="SectionNumber"/>
        </w:rPr>
        <w:t xml:space="preserve">4.1</w:t>
      </w:r>
      <w:r>
        <w:tab/>
      </w:r>
      <w:r>
        <w:t xml:space="preserve">State of Healthcare Analytics Maturity</w:t>
      </w:r>
    </w:p>
    <w:bookmarkStart w:id="43"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22</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39</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39</w:t>
        </w:r>
      </w:hyperlink>
      <w:r>
        <w:t xml:space="preserve">)</w:t>
      </w:r>
      <w:r>
        <w:t xml:space="preserve">,</w:t>
      </w:r>
      <w:r>
        <w:t xml:space="preserve"> </w:t>
      </w:r>
      <w:r>
        <w:t xml:space="preserve">(</w:t>
      </w:r>
      <w:hyperlink w:anchor="ref-wang2017">
        <w:r>
          <w:rPr>
            <w:rStyle w:val="Hyperlink"/>
          </w:rPr>
          <w:t xml:space="preserve">40</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41</w:t>
        </w:r>
      </w:hyperlink>
      <w:r>
        <w:t xml:space="preserve">)</w:t>
      </w:r>
      <w:r>
        <w:t xml:space="preserve">. This shift drove the early 2025 validations of Tampa General Hospital and China Medical University Hospital (CMUH) at Stage 7, confirming that AI readiness is the new gatekeeper for analytics maturity</w:t>
      </w:r>
      <w:r>
        <w:t xml:space="preserve"> </w:t>
      </w:r>
      <w:r>
        <w:t xml:space="preserve">(</w:t>
      </w:r>
      <w:hyperlink w:anchor="ref-tgh2025">
        <w:r>
          <w:rPr>
            <w:rStyle w:val="Hyperlink"/>
          </w:rPr>
          <w:t xml:space="preserve">42</w:t>
        </w:r>
      </w:hyperlink>
      <w:r>
        <w:t xml:space="preserve">,</w:t>
      </w:r>
      <w:hyperlink w:anchor="ref-cmuh2025">
        <w:r>
          <w:rPr>
            <w:rStyle w:val="Hyperlink"/>
          </w:rPr>
          <w:t xml:space="preserve">43</w:t>
        </w:r>
      </w:hyperlink>
      <w:r>
        <w:t xml:space="preserve">)</w:t>
      </w:r>
      <w:r>
        <w:t xml:space="preserve">.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44</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45</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46</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47</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48</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49</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50</w:t>
        </w:r>
      </w:hyperlink>
      <w:r>
        <w:t xml:space="preserve">)</w:t>
      </w:r>
      <w:r>
        <w:t xml:space="preserve"> </w:t>
      </w:r>
      <w:r>
        <w:t xml:space="preserve">or mortality</w:t>
      </w:r>
      <w:r>
        <w:t xml:space="preserve"> </w:t>
      </w:r>
      <w:r>
        <w:t xml:space="preserve">(</w:t>
      </w:r>
      <w:hyperlink w:anchor="ref-martin2019">
        <w:r>
          <w:rPr>
            <w:rStyle w:val="Hyperlink"/>
          </w:rPr>
          <w:t xml:space="preserve">51</w:t>
        </w:r>
      </w:hyperlink>
      <w:r>
        <w:t xml:space="preserve">)</w:t>
      </w:r>
      <w:r>
        <w:t xml:space="preserve">, suggesting that maturity alone is insufficient without workforce stability.</w:t>
      </w:r>
    </w:p>
    <w:bookmarkEnd w:id="43"/>
    <w:bookmarkStart w:id="44"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17</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23</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44"/>
    <w:bookmarkStart w:id="45"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52</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53</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54</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45"/>
    <w:bookmarkStart w:id="46"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55</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56</w:t>
        </w:r>
      </w:hyperlink>
      <w:r>
        <w:t xml:space="preserve">,</w:t>
      </w:r>
      <w:hyperlink w:anchor="ref-gokalp2023">
        <w:r>
          <w:rPr>
            <w:rStyle w:val="Hyperlink"/>
          </w:rPr>
          <w:t xml:space="preserve">57</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58</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59</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60</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61</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9</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62</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63</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64</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65</w:t>
        </w:r>
      </w:hyperlink>
      <w:r>
        <w:t xml:space="preserve">,</w:t>
      </w:r>
      <w:hyperlink w:anchor="ref-bokov2017">
        <w:r>
          <w:rPr>
            <w:rStyle w:val="Hyperlink"/>
          </w:rPr>
          <w:t xml:space="preserve">66</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67</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68</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69</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46"/>
    <w:bookmarkEnd w:id="47"/>
    <w:bookmarkStart w:id="51" w:name="X033aaa01add75caa19416ed7b909f71ff5bd76d"/>
    <w:p>
      <w:pPr>
        <w:pStyle w:val="Heading2"/>
      </w:pPr>
      <w:r>
        <w:rPr>
          <w:rStyle w:val="SectionNumber"/>
        </w:rPr>
        <w:t xml:space="preserve">4.2</w:t>
      </w:r>
      <w:r>
        <w:tab/>
      </w:r>
      <w:r>
        <w:t xml:space="preserve">Healthcare Workforce Turnover and Knowledge Loss</w:t>
      </w:r>
    </w:p>
    <w:bookmarkStart w:id="48"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 (e.g.</w:t>
      </w:r>
      <w:r>
        <w:t xml:space="preserve"> </w:t>
      </w:r>
      <w:r>
        <w:t xml:space="preserve">(</w:t>
      </w:r>
      <w:hyperlink w:anchor="ref-wu2024">
        <w:r>
          <w:rPr>
            <w:rStyle w:val="Hyperlink"/>
          </w:rPr>
          <w:t xml:space="preserve">70</w:t>
        </w:r>
      </w:hyperlink>
      <w:r>
        <w:t xml:space="preserve">,</w:t>
      </w:r>
      <w:hyperlink w:anchor="ref-ren2024">
        <w:r>
          <w:rPr>
            <w:rStyle w:val="Hyperlink"/>
          </w:rPr>
          <w:t xml:space="preserve">71</w:t>
        </w:r>
      </w:hyperlink>
      <w:r>
        <w:t xml:space="preserve">)</w:t>
      </w:r>
      <w:r>
        <w:t xml:space="preserve">), the impact of technical staff turnover is equally severe and more directly relevant to analytics maturity. Hong (2025) demonstrates that turnover in federal IT roles directly degrades organizational memory, causing a</w:t>
      </w:r>
      <w:r>
        <w:t xml:space="preserve"> </w:t>
      </w:r>
      <w:r>
        <w:t xml:space="preserve">‘</w:t>
      </w:r>
      <w:r>
        <w:t xml:space="preserve">sliding back</w:t>
      </w:r>
      <w:r>
        <w:t xml:space="preserve">’</w:t>
      </w:r>
      <w:r>
        <w:t xml:space="preserve"> </w:t>
      </w:r>
      <w:r>
        <w:t xml:space="preserve">of performance capabilities</w:t>
      </w:r>
      <w:r>
        <w:t xml:space="preserve"> </w:t>
      </w:r>
      <w:r>
        <w:t xml:space="preserve">(</w:t>
      </w:r>
      <w:hyperlink w:anchor="ref-hong2025">
        <w:r>
          <w:rPr>
            <w:rStyle w:val="Hyperlink"/>
          </w:rPr>
          <w:t xml:space="preserve">72</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implications of technical turnover are equally severe.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34</w:t>
        </w:r>
      </w:hyperlink>
      <w:r>
        <w:t xml:space="preserve">)</w:t>
      </w:r>
      <w:r>
        <w:t xml:space="preserve">. In healthcare, vendor analysis from Oracle (2024) corroborates this</w:t>
      </w:r>
      <w:r>
        <w:t xml:space="preserve"> </w:t>
      </w:r>
      <w:r>
        <w:t xml:space="preserve">“</w:t>
      </w:r>
      <w:r>
        <w:t xml:space="preserve">knowledge worker premium,</w:t>
      </w:r>
      <w:r>
        <w:t xml:space="preserve">”</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26</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73</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74</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4</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5</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75</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76</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77</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78</w:t>
        </w:r>
      </w:hyperlink>
      <w:r>
        <w:t xml:space="preserve">)</w:t>
      </w:r>
      <w:r>
        <w:t xml:space="preserve">. Given these relatively short tenures, 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w:t>
      </w:r>
      <w:r>
        <w:t xml:space="preserve">organizational forgetting.</w:t>
      </w:r>
      <w:r>
        <w:t xml:space="preserve">”</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w:t>
      </w:r>
      <w:r>
        <w:t xml:space="preserve">forget</w:t>
      </w:r>
      <w:r>
        <w:t xml:space="preserve">”</w:t>
      </w:r>
      <w:r>
        <w:t xml:space="preserve"> </w:t>
      </w:r>
      <w:r>
        <w:t xml:space="preserve">established best practices</w:t>
      </w:r>
      <w:r>
        <w:t xml:space="preserve"> </w:t>
      </w:r>
      <w:r>
        <w:t xml:space="preserve">(</w:t>
      </w:r>
      <w:hyperlink w:anchor="ref-rao2006">
        <w:r>
          <w:rPr>
            <w:rStyle w:val="Hyperlink"/>
          </w:rPr>
          <w:t xml:space="preserve">33</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w:t>
      </w:r>
      <w:r>
        <w:t xml:space="preserve">loss of competence</w:t>
      </w:r>
      <w:r>
        <w:t xml:space="preserve">”</w:t>
      </w:r>
      <w:r>
        <w:t xml:space="preserve"> </w:t>
      </w:r>
      <w:r>
        <w:t xml:space="preserve">that forces remaining teams to regress to earlier learning stages</w:t>
      </w:r>
      <w:r>
        <w:t xml:space="preserve"> </w:t>
      </w:r>
      <w:r>
        <w:t xml:space="preserve">(</w:t>
      </w:r>
      <w:hyperlink w:anchor="ref-massingham2018">
        <w:r>
          <w:rPr>
            <w:rStyle w:val="Hyperlink"/>
          </w:rPr>
          <w:t xml:space="preserve">34</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48"/>
    <w:bookmarkStart w:id="49"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79</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80</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36</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81</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82</w:t>
        </w:r>
      </w:hyperlink>
      <w:r>
        <w:t xml:space="preserve">)</w:t>
      </w:r>
      <w:r>
        <w:t xml:space="preserve">.</w:t>
      </w:r>
    </w:p>
    <w:bookmarkEnd w:id="49"/>
    <w:bookmarkStart w:id="50"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16</w:t>
        </w:r>
      </w:hyperlink>
      <w:r>
        <w:t xml:space="preserve">,</w:t>
      </w:r>
      <w:hyperlink w:anchor="ref-mayo2016">
        <w:r>
          <w:rPr>
            <w:rStyle w:val="Hyperlink"/>
          </w:rPr>
          <w:t xml:space="preserve">79</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16</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50"/>
    <w:bookmarkEnd w:id="51"/>
    <w:bookmarkStart w:id="56" w:name="Xb8a8e2823f9f1dde7832c4cb2e15583554ebaf3"/>
    <w:p>
      <w:pPr>
        <w:pStyle w:val="Heading2"/>
      </w:pPr>
      <w:r>
        <w:rPr>
          <w:rStyle w:val="SectionNumber"/>
        </w:rPr>
        <w:t xml:space="preserve">4.3</w:t>
      </w:r>
      <w:r>
        <w:tab/>
      </w:r>
      <w:r>
        <w:t xml:space="preserve">State of Natural Language to SQL Generation</w:t>
      </w:r>
    </w:p>
    <w:bookmarkStart w:id="52"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20</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83</w:t>
        </w:r>
      </w:hyperlink>
      <w:r>
        <w:t xml:space="preserve">,</w:t>
      </w:r>
      <w:hyperlink w:anchor="ref-openai2025">
        <w:r>
          <w:rPr>
            <w:rStyle w:val="Hyperlink"/>
          </w:rPr>
          <w:t xml:space="preserve">84</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85</w:t>
        </w:r>
      </w:hyperlink>
      <w:r>
        <w:t xml:space="preserve">,</w:t>
      </w:r>
      <w:hyperlink w:anchor="ref-wu2024a">
        <w:r>
          <w:rPr>
            <w:rStyle w:val="Hyperlink"/>
          </w:rPr>
          <w:t xml:space="preserve">86</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83</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87</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84</w:t>
        </w:r>
      </w:hyperlink>
      <w:r>
        <w:t xml:space="preserve">)</w:t>
      </w:r>
      <w:r>
        <w:t xml:space="preserve">.</w:t>
      </w:r>
    </w:p>
    <w:bookmarkEnd w:id="52"/>
    <w:bookmarkStart w:id="53"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52</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88</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3"/>
    <w:bookmarkStart w:id="54"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88</w:t>
        </w:r>
      </w:hyperlink>
      <w:r>
        <w:t xml:space="preserve">)</w:t>
      </w:r>
      <w:r>
        <w:t xml:space="preserve"> </w:t>
      </w:r>
      <w:r>
        <w:t xml:space="preserve">and EHRSQL benchmark</w:t>
      </w:r>
      <w:r>
        <w:t xml:space="preserve"> </w:t>
      </w:r>
      <w:r>
        <w:t xml:space="preserve">(</w:t>
      </w:r>
      <w:hyperlink w:anchor="ref-lee2023">
        <w:r>
          <w:rPr>
            <w:rStyle w:val="Hyperlink"/>
          </w:rPr>
          <w:t xml:space="preserve">89</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90</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85</w:t>
        </w:r>
      </w:hyperlink>
      <w:r>
        <w:t xml:space="preserve">)</w:t>
      </w:r>
      <w:r>
        <w:t xml:space="preserve">,</w:t>
      </w:r>
      <w:r>
        <w:t xml:space="preserve"> </w:t>
      </w:r>
      <w:r>
        <w:t xml:space="preserve">(</w:t>
      </w:r>
      <w:hyperlink w:anchor="ref-wu2024a">
        <w:r>
          <w:rPr>
            <w:rStyle w:val="Hyperlink"/>
          </w:rPr>
          <w:t xml:space="preserve">86</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91</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92</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4"/>
    <w:bookmarkStart w:id="55"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93</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94</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94</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95</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96</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97</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98</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99</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100</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11</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101</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102</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12</w:t>
        </w:r>
      </w:hyperlink>
      <w:r>
        <w:t xml:space="preserve">)</w:t>
      </w:r>
      <w:r>
        <w:t xml:space="preserve">,</w:t>
      </w:r>
      <w:r>
        <w:t xml:space="preserve"> </w:t>
      </w:r>
      <w:r>
        <w:t xml:space="preserve">(</w:t>
      </w:r>
      <w:hyperlink w:anchor="ref-arora2025">
        <w:r>
          <w:rPr>
            <w:rStyle w:val="Hyperlink"/>
          </w:rPr>
          <w:t xml:space="preserve">13</w:t>
        </w:r>
      </w:hyperlink>
      <w:r>
        <w:t xml:space="preserve">)</w:t>
      </w:r>
      <w:r>
        <w:t xml:space="preserve">, suggesting that organizations investing in either capability simultaneously advance both.</w:t>
      </w:r>
    </w:p>
    <w:bookmarkEnd w:id="55"/>
    <w:bookmarkEnd w:id="56"/>
    <w:bookmarkStart w:id="60" w:name="Xca10dac733c4b284609ad3ca0d26f7400b78729"/>
    <w:p>
      <w:pPr>
        <w:pStyle w:val="Heading2"/>
      </w:pPr>
      <w:r>
        <w:rPr>
          <w:rStyle w:val="SectionNumber"/>
        </w:rPr>
        <w:t xml:space="preserve">4.4</w:t>
      </w:r>
      <w:r>
        <w:tab/>
      </w:r>
      <w:r>
        <w:t xml:space="preserve">Integration of Evidence: Synthesis Across Three Pillars</w:t>
      </w:r>
    </w:p>
    <w:bookmarkStart w:id="57"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23</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103</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103</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104</w:t>
        </w:r>
      </w:hyperlink>
      <w:r>
        <w:t xml:space="preserve">,</w:t>
      </w:r>
      <w:hyperlink w:anchor="ref-ruoff2023">
        <w:r>
          <w:rPr>
            <w:rStyle w:val="Hyperlink"/>
          </w:rPr>
          <w:t xml:space="preserve">105</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106</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107</w:t>
        </w:r>
      </w:hyperlink>
      <w:r>
        <w:t xml:space="preserve">)</w:t>
      </w:r>
      <w:r>
        <w:t xml:space="preserve">. By democratizing access, organizations can advance their effective maturity, the ability to actually use data, even while backend infrastructure remains in transition.</w:t>
      </w:r>
    </w:p>
    <w:bookmarkEnd w:id="57"/>
    <w:bookmarkStart w:id="58"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 The risk of institutional memory loss is not merely an HR issue but a fundamental threat to analytics continuity. When organizations choose to implement AI-based platforms, these can serve as organizational memory systems by:</w:t>
      </w:r>
    </w:p>
    <w:p>
      <w:pPr>
        <w:pStyle w:val="Compact"/>
        <w:numPr>
          <w:ilvl w:val="0"/>
          <w:numId w:val="1018"/>
        </w:numPr>
      </w:pPr>
      <w:r>
        <w:t xml:space="preserve">Capturing decision-making patterns through usage</w:t>
      </w:r>
    </w:p>
    <w:p>
      <w:pPr>
        <w:pStyle w:val="Compact"/>
        <w:numPr>
          <w:ilvl w:val="0"/>
          <w:numId w:val="1018"/>
        </w:numPr>
      </w:pPr>
      <w:r>
        <w:t xml:space="preserve">Encoding best practices in accessible formats</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 This directly addresses the Workforce Agility pillar by decoupling organizational capability from individual tenure. When a senior analyst leaves, their</w:t>
      </w:r>
      <w:r>
        <w:t xml:space="preserve"> </w:t>
      </w:r>
      <w:r>
        <w:t xml:space="preserve">“</w:t>
      </w:r>
      <w:r>
        <w:t xml:space="preserve">validated queries</w:t>
      </w:r>
      <w:r>
        <w:t xml:space="preserve">”</w:t>
      </w:r>
      <w:r>
        <w:t xml:space="preserve"> </w:t>
      </w:r>
      <w:r>
        <w:t xml:space="preserve">remain in the system, allowing a junior replacement to immediately leverage that expertise rather than starting from zero.</w:t>
      </w:r>
    </w:p>
    <w:bookmarkEnd w:id="58"/>
    <w:bookmarkStart w:id="59"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A foundational systematic review of AI conversational agents in healthcare</w:t>
      </w:r>
      <w:r>
        <w:t xml:space="preserve"> </w:t>
      </w:r>
      <w:r>
        <w:t xml:space="preserve">(</w:t>
      </w:r>
      <w:hyperlink w:anchor="ref-milneives2020">
        <w:r>
          <w:rPr>
            <w:rStyle w:val="Hyperlink"/>
          </w:rPr>
          <w:t xml:space="preserve">108</w:t>
        </w:r>
      </w:hyperlink>
      <w:r>
        <w:t xml:space="preserve">)</w:t>
      </w:r>
      <w:r>
        <w:t xml:space="preserve"> </w:t>
      </w:r>
      <w:r>
        <w:t xml:space="preserve">established that such systems reduce burden on healthcare resources and save providers’ time. Subsequent RCT-based systematic reviews provide this evidence: a meta-analysis of conversational agent interventions reported mean task completion rates of 83% (range 40-100%) across healthcare applications</w:t>
      </w:r>
      <w:r>
        <w:t xml:space="preserve"> </w:t>
      </w:r>
      <w:r>
        <w:t xml:space="preserve">(</w:t>
      </w:r>
      <w:hyperlink w:anchor="ref-li2023">
        <w:r>
          <w:rPr>
            <w:rStyle w:val="Hyperlink"/>
          </w:rPr>
          <w:t xml:space="preserve">109</w:t>
        </w:r>
      </w:hyperlink>
      <w:r>
        <w:t xml:space="preserve">)</w:t>
      </w:r>
      <w:r>
        <w:t xml:space="preserve">.</w:t>
      </w:r>
    </w:p>
    <w:p>
      <w:pPr>
        <w:pStyle w:val="BodyText"/>
      </w:pPr>
      <w:r>
        <w:t xml:space="preserve">Low-code platforms and conversational AI represent complementary approaches to this enablement.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 both accelerate development cycles by abstracting technical complexity,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110</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111</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59"/>
    <w:bookmarkEnd w:id="60"/>
    <w:bookmarkStart w:id="64" w:name="strategic-alignment-with-industry-trends"/>
    <w:p>
      <w:pPr>
        <w:pStyle w:val="Heading2"/>
      </w:pPr>
      <w:r>
        <w:rPr>
          <w:rStyle w:val="SectionNumber"/>
        </w:rPr>
        <w:t xml:space="preserve">4.5</w:t>
      </w:r>
      <w:r>
        <w:tab/>
      </w:r>
      <w:r>
        <w:t xml:space="preserve">Strategic Alignment with Industry Trends</w:t>
      </w:r>
    </w:p>
    <w:bookmarkStart w:id="61"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1"/>
    <w:bookmarkStart w:id="62"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35</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38</w:t>
        </w:r>
      </w:hyperlink>
      <w:r>
        <w:t xml:space="preserve">)</w:t>
      </w:r>
      <w:r>
        <w:t xml:space="preserve">. This theoretical foundation supports embedding organizational knowledge in systems rather than individuals, ensuring continuity despite workforce turnover.</w:t>
      </w:r>
    </w:p>
    <w:bookmarkEnd w:id="62"/>
    <w:bookmarkStart w:id="63"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Conversational AI implementations show direct benefits: Jiao et al.</w:t>
      </w:r>
      <w:r>
        <w:t xml:space="preserve"> </w:t>
      </w:r>
      <w:r>
        <w:t xml:space="preserve">(</w:t>
      </w:r>
      <w:hyperlink w:anchor="ref-jiao2023">
        <w:r>
          <w:rPr>
            <w:rStyle w:val="Hyperlink"/>
          </w:rPr>
          <w:t xml:space="preserve">112</w:t>
        </w:r>
      </w:hyperlink>
      <w:r>
        <w:t xml:space="preserve">)</w:t>
      </w:r>
      <w:r>
        <w:t xml:space="preserve"> </w:t>
      </w:r>
      <w:r>
        <w:t xml:space="preserve">found that AI-driven efficiency gains, including shorter hospitalization lengths, translate into financial and operational benefits for healthcare providers; Pennington</w:t>
      </w:r>
      <w:r>
        <w:t xml:space="preserve"> </w:t>
      </w:r>
      <w:r>
        <w:t xml:space="preserve">(</w:t>
      </w:r>
      <w:hyperlink w:anchor="ref-pennington2023">
        <w:r>
          <w:rPr>
            <w:rStyle w:val="Hyperlink"/>
          </w:rPr>
          <w:t xml:space="preserve">110</w:t>
        </w:r>
      </w:hyperlink>
      <w:r>
        <w:t xml:space="preserve">)</w:t>
      </w:r>
      <w:r>
        <w:t xml:space="preserve"> </w:t>
      </w:r>
      <w:r>
        <w:t xml:space="preserve">documented that AI in revenue cycle management accelerated payment cycles from 90 to 40 days, improving cash flow; and Sezgin et al.</w:t>
      </w:r>
      <w:r>
        <w:t xml:space="preserve"> </w:t>
      </w:r>
      <w:r>
        <w:t xml:space="preserve">(</w:t>
      </w:r>
      <w:hyperlink w:anchor="ref-sezgin2022">
        <w:r>
          <w:rPr>
            <w:rStyle w:val="Hyperlink"/>
          </w:rPr>
          <w:t xml:space="preserve">113</w:t>
        </w:r>
      </w:hyperlink>
      <w:r>
        <w:t xml:space="preserve">)</w:t>
      </w:r>
      <w:r>
        <w:t xml:space="preserve"> </w:t>
      </w:r>
      <w:r>
        <w:t xml:space="preserve">proposed chatbot implementations that reduce clinic overhead.</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25</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114</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115</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116</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27</w:t>
        </w:r>
      </w:hyperlink>
      <w:r>
        <w:t xml:space="preserve">)</w:t>
      </w:r>
      <w:r>
        <w:t xml:space="preserve"> </w:t>
      </w:r>
      <w:r>
        <w:t xml:space="preserve">projects the healthcare analytics market to grow from $64.49 billion in 2025 to $369.66 billion by 2034 (21.41% CAGR).</w:t>
      </w:r>
    </w:p>
    <w:bookmarkEnd w:id="63"/>
    <w:bookmarkEnd w:id="64"/>
    <w:bookmarkStart w:id="65"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b/>
          <w:bCs/>
        </w:rPr>
        <w:t xml:space="preserve">Long-term outcomes</w:t>
      </w:r>
      <w:r>
        <w:t xml:space="preserve">: Most studies examine 6-24 month implementations; multi-year impacts remain understudied</w:t>
      </w:r>
    </w:p>
    <w:p>
      <w:pPr>
        <w:pStyle w:val="Compact"/>
        <w:numPr>
          <w:ilvl w:val="0"/>
          <w:numId w:val="1019"/>
        </w:numPr>
      </w:pPr>
      <w:r>
        <w:rPr>
          <w:b/>
          <w:bCs/>
        </w:rPr>
        <w:t xml:space="preserve">Scalability across specialties</w:t>
      </w:r>
      <w:r>
        <w:t xml:space="preserve">: Evidence primarily focuses on general acute care; specialty-specific applications need investigation</w:t>
      </w:r>
    </w:p>
    <w:p>
      <w:pPr>
        <w:pStyle w:val="Compact"/>
        <w:numPr>
          <w:ilvl w:val="0"/>
          <w:numId w:val="1019"/>
        </w:numPr>
      </w:pPr>
      <w:r>
        <w:rPr>
          <w:b/>
          <w:bCs/>
        </w:rPr>
        <w:t xml:space="preserve">Governance frameworks</w:t>
      </w:r>
      <w:r>
        <w:t xml:space="preserve">: Limited research on optimal governance models for democratized analytics</w:t>
      </w:r>
    </w:p>
    <w:p>
      <w:pPr>
        <w:pStyle w:val="Compact"/>
        <w:numPr>
          <w:ilvl w:val="0"/>
          <w:numId w:val="1019"/>
        </w:numPr>
      </w:pPr>
      <w:r>
        <w:rPr>
          <w:b/>
          <w:bCs/>
        </w:rPr>
        <w:t xml:space="preserve">Training methodologies</w:t>
      </w:r>
      <w:r>
        <w:t xml:space="preserve">: Best practices for transitioning from traditional to conversational analytics lack empirical validation</w:t>
      </w:r>
    </w:p>
    <w:p>
      <w:pPr>
        <w:pStyle w:val="Compact"/>
        <w:numPr>
          <w:ilvl w:val="0"/>
          <w:numId w:val="1019"/>
        </w:numPr>
      </w:pPr>
      <w:r>
        <w:rPr>
          <w:b/>
          <w:bCs/>
        </w:rPr>
        <w:t xml:space="preserve">Integration patterns</w:t>
      </w:r>
      <w:r>
        <w:t xml:space="preserve">: Architectural guidance for incorporating conversational AI into existing healthcare IT ecosystems remains sparse</w:t>
      </w:r>
    </w:p>
    <w:p>
      <w:pPr>
        <w:pStyle w:val="Compact"/>
        <w:numPr>
          <w:ilvl w:val="0"/>
          <w:numId w:val="1019"/>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94</w:t>
        </w:r>
      </w:hyperlink>
      <w:r>
        <w:t xml:space="preserve">)</w:t>
      </w:r>
      <w:r>
        <w:t xml:space="preserve">,</w:t>
      </w:r>
      <w:r>
        <w:t xml:space="preserve"> </w:t>
      </w:r>
      <w:r>
        <w:t xml:space="preserve">(</w:t>
      </w:r>
      <w:hyperlink w:anchor="ref-dadi2025">
        <w:r>
          <w:rPr>
            <w:rStyle w:val="Hyperlink"/>
          </w:rPr>
          <w:t xml:space="preserve">93</w:t>
        </w:r>
      </w:hyperlink>
      <w:r>
        <w:t xml:space="preserve">)</w:t>
      </w:r>
      <w:r>
        <w:t xml:space="preserve">,</w:t>
      </w:r>
      <w:r>
        <w:t xml:space="preserve"> </w:t>
      </w:r>
      <w:r>
        <w:t xml:space="preserve">(</w:t>
      </w:r>
      <w:hyperlink w:anchor="ref-shah2020">
        <w:r>
          <w:rPr>
            <w:rStyle w:val="Hyperlink"/>
          </w:rPr>
          <w:t xml:space="preserve">97</w:t>
        </w:r>
      </w:hyperlink>
      <w:r>
        <w:t xml:space="preserve">)</w:t>
      </w:r>
      <w:r>
        <w:t xml:space="preserve">,</w:t>
      </w:r>
      <w:r>
        <w:t xml:space="preserve"> </w:t>
      </w:r>
      <w:r>
        <w:t xml:space="preserve">(</w:t>
      </w:r>
      <w:hyperlink w:anchor="ref-ipeirotis2025">
        <w:r>
          <w:rPr>
            <w:rStyle w:val="Hyperlink"/>
          </w:rPr>
          <w:t xml:space="preserve">96</w:t>
        </w:r>
      </w:hyperlink>
      <w:r>
        <w:t xml:space="preserve">)</w:t>
      </w:r>
      <w:r>
        <w:t xml:space="preserve">), longitudinal studies tracking sustained productivity improvements over multiple years remain limited</w:t>
      </w:r>
    </w:p>
    <w:p>
      <w:pPr>
        <w:pStyle w:val="Compact"/>
        <w:numPr>
          <w:ilvl w:val="0"/>
          <w:numId w:val="1019"/>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24</w:t>
        </w:r>
      </w:hyperlink>
      <w:r>
        <w:t xml:space="preserve">)</w:t>
      </w:r>
      <w:r>
        <w:t xml:space="preserve">, the methodology for quantifying their productivity contributions lacks standardization across studies</w:t>
      </w:r>
    </w:p>
    <w:p>
      <w:pPr>
        <w:pStyle w:val="Compact"/>
        <w:numPr>
          <w:ilvl w:val="0"/>
          <w:numId w:val="1019"/>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45</w:t>
        </w:r>
      </w:hyperlink>
      <w:r>
        <w:t xml:space="preserve">,</w:t>
      </w:r>
      <w:hyperlink w:anchor="ref-snowdon2024a">
        <w:r>
          <w:rPr>
            <w:rStyle w:val="Hyperlink"/>
          </w:rPr>
          <w:t xml:space="preserve">46</w:t>
        </w:r>
      </w:hyperlink>
      <w:r>
        <w:t xml:space="preserve">)</w:t>
      </w:r>
      <w:r>
        <w:t xml:space="preserve">. As of this review, AMAM-specific outcome studies remain very limited, providing only emerging evidence for analytics maturity (as distinct from EHR adoption) impact on outcomes</w:t>
      </w:r>
    </w:p>
    <w:bookmarkEnd w:id="65"/>
    <w:bookmarkStart w:id="68"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6"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117</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8</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118</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119</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28</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120</w:t>
        </w:r>
      </w:hyperlink>
      <w:r>
        <w:t xml:space="preserve">,</w:t>
      </w:r>
      <w:hyperlink w:anchor="ref-yang2020">
        <w:r>
          <w:rPr>
            <w:rStyle w:val="Hyperlink"/>
          </w:rPr>
          <w:t xml:space="preserve">121</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121</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29</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122</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123</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6"/>
    <w:bookmarkStart w:id="67"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7"/>
    <w:bookmarkEnd w:id="68"/>
    <w:bookmarkEnd w:id="69"/>
    <w:bookmarkStart w:id="99" w:name="discussion"/>
    <w:p>
      <w:pPr>
        <w:pStyle w:val="Heading1"/>
      </w:pPr>
      <w:r>
        <w:rPr>
          <w:rStyle w:val="SectionNumber"/>
        </w:rPr>
        <w:t xml:space="preserve">5</w:t>
      </w:r>
      <w:r>
        <w:tab/>
      </w:r>
      <w:r>
        <w:t xml:space="preserve">Discussion</w:t>
      </w:r>
    </w:p>
    <w:bookmarkStart w:id="75"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0"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85</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86</w:t>
        </w:r>
      </w:hyperlink>
      <w:r>
        <w:t xml:space="preserve">)</w:t>
      </w:r>
      <w:r>
        <w:t xml:space="preserve"> </w:t>
      </w:r>
      <w:r>
        <w:t xml:space="preserve">offer reproducible, quantitative performance metrics.</w:t>
      </w:r>
    </w:p>
    <w:bookmarkEnd w:id="70"/>
    <w:bookmarkStart w:id="71"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24</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71"/>
    <w:bookmarkStart w:id="72"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 This integrated perspective enables healthcare organizations to understand why addressing one challenge in isolation may not produce lasting improvement.</w:t>
      </w:r>
    </w:p>
    <w:bookmarkEnd w:id="72"/>
    <w:bookmarkStart w:id="73"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25</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27</w:t>
        </w:r>
      </w:hyperlink>
      <w:r>
        <w:t xml:space="preserve">)</w:t>
      </w:r>
      <w:r>
        <w:t xml:space="preserve"> </w:t>
      </w:r>
      <w:r>
        <w:t xml:space="preserve">showing the healthcare analytics market expanding from $64.49B to $369.66B by 2034 indicate sustained investment demand.</w:t>
      </w:r>
    </w:p>
    <w:bookmarkEnd w:id="73"/>
    <w:bookmarkStart w:id="74"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20</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7</w:t>
        </w:r>
      </w:hyperlink>
      <w:r>
        <w:t xml:space="preserve">,</w:t>
      </w:r>
      <w:hyperlink w:anchor="ref-wu2024a">
        <w:r>
          <w:rPr>
            <w:rStyle w:val="Hyperlink"/>
          </w:rPr>
          <w:t xml:space="preserve">86</w:t>
        </w:r>
      </w:hyperlink>
      <w:r>
        <w:t xml:space="preserve">)</w:t>
      </w:r>
      <w:r>
        <w:t xml:space="preserve"> </w:t>
      </w:r>
      <w:r>
        <w:t xml:space="preserve">show significant gaps between benchmark performance and clinical readiness. This honest assessment enables appropriate implementation strategies.</w:t>
      </w:r>
    </w:p>
    <w:bookmarkEnd w:id="74"/>
    <w:bookmarkEnd w:id="75"/>
    <w:bookmarkStart w:id="82" w:name="limitations"/>
    <w:p>
      <w:pPr>
        <w:pStyle w:val="Heading2"/>
      </w:pPr>
      <w:r>
        <w:rPr>
          <w:rStyle w:val="SectionNumber"/>
        </w:rPr>
        <w:t xml:space="preserve">5.2</w:t>
      </w:r>
      <w:r>
        <w:tab/>
      </w:r>
      <w:r>
        <w:t xml:space="preserve">Limitations</w:t>
      </w:r>
    </w:p>
    <w:p>
      <w:pPr>
        <w:pStyle w:val="FirstParagraph"/>
      </w:pPr>
      <w:r>
        <w:t xml:space="preserve">Despite strong evidence supporting conversational AI adoption, several limitations must be acknowledged:</w:t>
      </w:r>
    </w:p>
    <w:bookmarkStart w:id="76"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10</w:t>
        </w:r>
      </w:hyperlink>
      <w:r>
        <w:t xml:space="preserve">)</w:t>
      </w:r>
      <w:r>
        <w:t xml:space="preserve">.</w:t>
      </w:r>
    </w:p>
    <w:bookmarkEnd w:id="76"/>
    <w:bookmarkStart w:id="77"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7"/>
    <w:bookmarkStart w:id="78"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8"/>
    <w:bookmarkStart w:id="79"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79"/>
    <w:bookmarkStart w:id="80"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80"/>
    <w:bookmarkStart w:id="81"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1"/>
    <w:bookmarkEnd w:id="82"/>
    <w:bookmarkStart w:id="86"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3"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20"/>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20"/>
        </w:numPr>
      </w:pPr>
      <w:r>
        <w:rPr>
          <w:b/>
          <w:bCs/>
        </w:rPr>
        <w:t xml:space="preserve">Governance Framework Development</w:t>
      </w:r>
      <w:r>
        <w:t xml:space="preserve">: Research on optimal governance models for democratized analytics</w:t>
      </w:r>
    </w:p>
    <w:p>
      <w:pPr>
        <w:pStyle w:val="Compact"/>
        <w:numPr>
          <w:ilvl w:val="0"/>
          <w:numId w:val="1020"/>
        </w:numPr>
      </w:pPr>
      <w:r>
        <w:rPr>
          <w:b/>
          <w:b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p>
    <w:bookmarkEnd w:id="83"/>
    <w:bookmarkStart w:id="84"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b/>
          <w:bCs/>
        </w:rPr>
        <w:t xml:space="preserve">Longitudinal Outcome Studies</w:t>
      </w:r>
      <w:r>
        <w:t xml:space="preserve">: Multi-year implementations to assess sustained benefits and organizational evolution</w:t>
      </w:r>
    </w:p>
    <w:p>
      <w:pPr>
        <w:pStyle w:val="Compact"/>
        <w:numPr>
          <w:ilvl w:val="0"/>
          <w:numId w:val="1021"/>
        </w:numPr>
      </w:pPr>
      <w:r>
        <w:rPr>
          <w:b/>
          <w:bCs/>
        </w:rPr>
        <w:t xml:space="preserve">Comparative Effectiveness Research</w:t>
      </w:r>
      <w:r>
        <w:t xml:space="preserve">: Head-to-head comparisons of different conversational AI approaches on healthcare-specific benchmarks</w:t>
      </w:r>
    </w:p>
    <w:bookmarkEnd w:id="84"/>
    <w:bookmarkStart w:id="85"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b/>
          <w:bCs/>
        </w:rPr>
        <w:t xml:space="preserve">Organizational Transformation Studies</w:t>
      </w:r>
      <w:r>
        <w:t xml:space="preserve">: Research on how conversational AI platforms reshape healthcare organizational capabilities</w:t>
      </w:r>
    </w:p>
    <w:p>
      <w:pPr>
        <w:pStyle w:val="Compact"/>
        <w:numPr>
          <w:ilvl w:val="0"/>
          <w:numId w:val="1022"/>
        </w:numPr>
      </w:pPr>
      <w:r>
        <w:rPr>
          <w:b/>
          <w:bCs/>
        </w:rPr>
        <w:t xml:space="preserve">Clinical Outcome Impact Assessment</w:t>
      </w:r>
      <w:r>
        <w:t xml:space="preserve">: Studies linking improved analytics access to patient care outcomes</w:t>
      </w:r>
    </w:p>
    <w:p>
      <w:pPr>
        <w:pStyle w:val="Compact"/>
        <w:numPr>
          <w:ilvl w:val="0"/>
          <w:numId w:val="1022"/>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5"/>
    <w:bookmarkEnd w:id="86"/>
    <w:bookmarkStart w:id="90"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p>
    <w:p>
      <w:pPr>
        <w:pStyle w:val="BodyText"/>
      </w:pPr>
      <w:r>
        <w:t xml:space="preserve">Validated query pairs address each weakness. First, validated pairs are executable: they can be tested against current data to verify continued correctness, unlike static documentation. Second,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 Third, validation happens at the point of use rather than as a separate maintenance task: every confirmed query becomes a knowledge artifact without additional documentation effort.</w:t>
      </w:r>
    </w:p>
    <w:p>
      <w:pPr>
        <w:pStyle w:val="BodyText"/>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p>
    <w:bookmarkStart w:id="87"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124</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124</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33</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72</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87"/>
    <w:bookmarkStart w:id="88"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3"/>
        </w:numPr>
      </w:pPr>
      <w:r>
        <w:rPr>
          <w:b/>
          <w:b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125</w:t>
        </w:r>
      </w:hyperlink>
      <w:r>
        <w:t xml:space="preserve">,</w:t>
      </w:r>
      <w:hyperlink w:anchor="ref-yupopa2005">
        <w:r>
          <w:rPr>
            <w:rStyle w:val="Hyperlink"/>
          </w:rPr>
          <w:t xml:space="preserve">126</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127</w:t>
        </w:r>
      </w:hyperlink>
      <w:r>
        <w:t xml:space="preserve">,</w:t>
      </w:r>
      <w:hyperlink w:anchor="ref-sivaranjani2025">
        <w:r>
          <w:rPr>
            <w:rStyle w:val="Hyperlink"/>
          </w:rPr>
          <w:t xml:space="preserve">128</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129</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130</w:t>
        </w:r>
      </w:hyperlink>
      <w:r>
        <w:t xml:space="preserve">)</w:t>
      </w:r>
      <w:r>
        <w:t xml:space="preserve">.</w:t>
      </w:r>
    </w:p>
    <w:p>
      <w:pPr>
        <w:numPr>
          <w:ilvl w:val="0"/>
          <w:numId w:val="1023"/>
        </w:numPr>
      </w:pPr>
      <w:r>
        <w:rPr>
          <w:b/>
          <w:b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131</w:t>
        </w:r>
      </w:hyperlink>
      <w:r>
        <w:t xml:space="preserve">)</w:t>
      </w:r>
      <w:r>
        <w:t xml:space="preserve">. In contrast, conversational interfaces represent active capture where the query itself is the documentation</w:t>
      </w:r>
      <w:r>
        <w:t xml:space="preserve"> </w:t>
      </w:r>
      <w:r>
        <w:t xml:space="preserve">(</w:t>
      </w:r>
      <w:hyperlink w:anchor="ref-moore2018">
        <w:r>
          <w:rPr>
            <w:rStyle w:val="Hyperlink"/>
          </w:rPr>
          <w:t xml:space="preserve">132</w:t>
        </w:r>
      </w:hyperlink>
      <w:r>
        <w:t xml:space="preserve">)</w:t>
      </w:r>
      <w:r>
        <w:t xml:space="preserve">, integrating knowledge preservation directly into the analytical workflow.</w:t>
      </w:r>
    </w:p>
    <w:p>
      <w:pPr>
        <w:numPr>
          <w:ilvl w:val="0"/>
          <w:numId w:val="1023"/>
        </w:numPr>
      </w:pPr>
      <w:r>
        <w:rPr>
          <w:b/>
          <w:b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133</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133</w:t>
        </w:r>
      </w:hyperlink>
      <w:r>
        <w:t xml:space="preserve">,</w:t>
      </w:r>
      <w:hyperlink w:anchor="ref-rivard1987">
        <w:r>
          <w:rPr>
            <w:rStyle w:val="Hyperlink"/>
          </w:rPr>
          <w:t xml:space="preserve">134</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135</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127</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136</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8"/>
    <w:bookmarkStart w:id="89"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A validated SQL query is often treated as a static artifact, but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89"/>
    <w:bookmarkEnd w:id="90"/>
    <w:bookmarkStart w:id="98"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4"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91"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91"/>
    <w:bookmarkStart w:id="92"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2"/>
    <w:bookmarkStart w:id="93"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3"/>
    <w:bookmarkEnd w:id="94"/>
    <w:bookmarkStart w:id="95"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23</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berkshire2024">
              <w:r>
                <w:rPr>
                  <w:rStyle w:val="Hyperlink"/>
                </w:rPr>
                <w:t xml:space="preserve">24</w:t>
              </w:r>
            </w:hyperlink>
            <w:r>
              <w:t xml:space="preserve">,</w:t>
            </w:r>
            <w:hyperlink w:anchor="ref-wang2018">
              <w:r>
                <w:rPr>
                  <w:rStyle w:val="Hyperlink"/>
                </w:rPr>
                <w:t xml:space="preserve">39</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20</w:t>
              </w:r>
            </w:hyperlink>
            <w:r>
              <w:t xml:space="preserve">,</w:t>
            </w:r>
            <w:hyperlink w:anchor="ref-wang2020">
              <w:r>
                <w:rPr>
                  <w:rStyle w:val="Hyperlink"/>
                </w:rPr>
                <w:t xml:space="preserve">88</w:t>
              </w:r>
            </w:hyperlink>
            <w:r>
              <w:t xml:space="preserve">)</w:t>
            </w:r>
          </w:p>
        </w:tc>
      </w:tr>
    </w:tbl>
    <w:p>
      <w:pPr>
        <w:pStyle w:val="BodyText"/>
      </w:pPr>
      <w:r>
        <w:rPr>
          <w:b/>
          <w:bCs/>
        </w:rPr>
        <w:t xml:space="preserve">Pillar 2: Workforce Agility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74</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4</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75</w:t>
              </w:r>
            </w:hyperlink>
            <w:r>
              <w:t xml:space="preserve">,</w:t>
            </w:r>
            <w:hyperlink w:anchor="ref-mantas2010">
              <w:r>
                <w:rPr>
                  <w:rStyle w:val="Hyperlink"/>
                </w:rPr>
                <w:t xml:space="preserve">76</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37</w:t>
              </w:r>
            </w:hyperlink>
            <w:r>
              <w:t xml:space="preserve">)</w:t>
            </w:r>
          </w:p>
        </w:tc>
      </w:tr>
    </w:tbl>
    <w:p>
      <w:pPr>
        <w:pStyle w:val="BodyText"/>
      </w:pPr>
      <w:r>
        <w:rPr>
          <w:b/>
          <w:bCs/>
        </w:rPr>
        <w:t xml:space="preserve">Pillar 3: Technical Enablement</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39</w:t>
              </w:r>
            </w:hyperlink>
            <w:r>
              <w:t xml:space="preserve">,</w:t>
            </w:r>
            <w:hyperlink w:anchor="ref-pesqueira2020">
              <w:r>
                <w:rPr>
                  <w:rStyle w:val="Hyperlink"/>
                </w:rPr>
                <w:t xml:space="preserve">54</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8</w:t>
              </w:r>
            </w:hyperlink>
            <w:r>
              <w:t xml:space="preserve">,</w:t>
            </w:r>
            <w:hyperlink w:anchor="ref-bogaert2021">
              <w:r>
                <w:rPr>
                  <w:rStyle w:val="Hyperlink"/>
                </w:rPr>
                <w:t xml:space="preserve">119</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53</w:t>
              </w:r>
            </w:hyperlink>
            <w:r>
              <w:t xml:space="preserve">,</w:t>
            </w:r>
            <w:hyperlink w:anchor="ref-pesqueira2020">
              <w:r>
                <w:rPr>
                  <w:rStyle w:val="Hyperlink"/>
                </w:rPr>
                <w:t xml:space="preserve">54</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All pillars High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 Higher Risk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5"/>
    <w:bookmarkStart w:id="96"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4"/>
        </w:numPr>
      </w:pPr>
      <w:r>
        <w:rPr>
          <w:b/>
          <w:bCs/>
        </w:rPr>
        <w:t xml:space="preserve">Governance Framework Development</w:t>
      </w:r>
      <w:r>
        <w:t xml:space="preserve">: New policies and procedures for democratized analytics</w:t>
      </w:r>
    </w:p>
    <w:p>
      <w:pPr>
        <w:pStyle w:val="Compact"/>
        <w:numPr>
          <w:ilvl w:val="0"/>
          <w:numId w:val="1024"/>
        </w:numPr>
      </w:pPr>
      <w:r>
        <w:rPr>
          <w:b/>
          <w:bCs/>
        </w:rPr>
        <w:t xml:space="preserve">Change Management</w:t>
      </w:r>
      <w:r>
        <w:t xml:space="preserve">: Training and support programs to ensure user adoption</w:t>
      </w:r>
    </w:p>
    <w:p>
      <w:pPr>
        <w:pStyle w:val="Compact"/>
        <w:numPr>
          <w:ilvl w:val="0"/>
          <w:numId w:val="1024"/>
        </w:numPr>
      </w:pPr>
      <w:r>
        <w:rPr>
          <w:b/>
          <w:bCs/>
        </w:rPr>
        <w:t xml:space="preserve">Phased Deployment</w:t>
      </w:r>
      <w:r>
        <w:t xml:space="preserve">: Gradual rollout beginning with analytics-savvy early adopters</w:t>
      </w:r>
    </w:p>
    <w:p>
      <w:pPr>
        <w:pStyle w:val="Compact"/>
        <w:numPr>
          <w:ilvl w:val="0"/>
          <w:numId w:val="1024"/>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20</w:t>
        </w:r>
      </w:hyperlink>
      <w:r>
        <w:t xml:space="preserve">)</w:t>
      </w:r>
    </w:p>
    <w:bookmarkEnd w:id="96"/>
    <w:bookmarkStart w:id="97"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pairs as the</w:t>
      </w:r>
      <w:r>
        <w:t xml:space="preserve"> </w:t>
      </w:r>
      <w:r>
        <w:t xml:space="preserve">“</w:t>
      </w:r>
      <w:r>
        <w:t xml:space="preserve">source of truth</w:t>
      </w:r>
      <w:r>
        <w:t xml:space="preserve">”</w:t>
      </w:r>
      <w:r>
        <w:t xml:space="preserve"> </w:t>
      </w:r>
      <w:r>
        <w:t xml:space="preserve">for the organization.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p>
    <w:bookmarkEnd w:id="97"/>
    <w:bookmarkEnd w:id="98"/>
    <w:bookmarkEnd w:id="99"/>
    <w:bookmarkStart w:id="105"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100" w:name="what-the-framework-reveals"/>
    <w:p>
      <w:pPr>
        <w:pStyle w:val="Heading2"/>
      </w:pPr>
      <w:r>
        <w:rPr>
          <w:rStyle w:val="SectionNumber"/>
        </w:rPr>
        <w:t xml:space="preserve">6.1</w:t>
      </w:r>
      <w:r>
        <w:tab/>
      </w:r>
      <w:r>
        <w:t xml:space="preserve">What the Framework Reveals</w:t>
      </w:r>
    </w:p>
    <w:p>
      <w:pPr>
        <w:pStyle w:val="FirstParagraph"/>
      </w:pPr>
      <w:r>
        <w:t xml:space="preserve">The three-pillar framework illuminates patterns that single-domain analyses miss:</w:t>
      </w:r>
    </w:p>
    <w:p>
      <w:pPr>
        <w:pStyle w:val="Compact"/>
        <w:numPr>
          <w:ilvl w:val="0"/>
          <w:numId w:val="1025"/>
        </w:numPr>
      </w:pPr>
      <w:r>
        <w:rPr>
          <w:b/>
          <w:bCs/>
        </w:rPr>
        <w:t xml:space="preserve">Analytics maturity gaps</w:t>
      </w:r>
      <w:r>
        <w:t xml:space="preserve"> </w:t>
      </w:r>
      <w:r>
        <w:t xml:space="preserve">leave clinical decisions unsupported by available data, and low maturity correlates with higher workforce turnover as staff leave organizations where they cannot accomplish their goals</w:t>
      </w:r>
    </w:p>
    <w:p>
      <w:pPr>
        <w:pStyle w:val="Compact"/>
        <w:numPr>
          <w:ilvl w:val="0"/>
          <w:numId w:val="1025"/>
        </w:numPr>
      </w:pPr>
      <w:r>
        <w:rPr>
          <w:b/>
          <w:bCs/>
        </w:rPr>
        <w:t xml:space="preserve">Workforce turnover</w:t>
      </w:r>
      <w:r>
        <w:t xml:space="preserve"> </w:t>
      </w:r>
      <w:r>
        <w:t xml:space="preserve">(~34% implied annual rate for new healthcare IT staff as of 2004</w:t>
      </w:r>
      <w:r>
        <w:t xml:space="preserve"> </w:t>
      </w:r>
      <w:r>
        <w:t xml:space="preserve">(</w:t>
      </w:r>
      <w:hyperlink w:anchor="ref-ang2004">
        <w:r>
          <w:rPr>
            <w:rStyle w:val="Hyperlink"/>
          </w:rPr>
          <w:t xml:space="preserve">7</w:t>
        </w:r>
      </w:hyperlink>
      <w:r>
        <w:t xml:space="preserve">)</w:t>
      </w:r>
      <w:r>
        <w:t xml:space="preserve">) causes institutional memory loss that further degrades analytics capabilities, creating a reinforcing cycle</w:t>
      </w:r>
    </w:p>
    <w:p>
      <w:pPr>
        <w:pStyle w:val="Compact"/>
        <w:numPr>
          <w:ilvl w:val="0"/>
          <w:numId w:val="1025"/>
        </w:numPr>
      </w:pPr>
      <w:r>
        <w:rPr>
          <w:b/>
          <w:bCs/>
        </w:rPr>
        <w:t xml:space="preserve">Technical barriers</w:t>
      </w:r>
      <w:r>
        <w:t xml:space="preserve"> </w:t>
      </w:r>
      <w:r>
        <w:t xml:space="preserve">prevent organizations from capturing and preserving analytical knowledge, blocking recovery from either maturity gaps or turnover impacts</w:t>
      </w:r>
    </w:p>
    <w:p>
      <w:pPr>
        <w:pStyle w:val="FirstParagraph"/>
      </w:pPr>
      <w:r>
        <w:t xml:space="preserve">These interconnections explain why addressing any single pillar in isolation often fails: improvements in one area erode when the compounding effects from other pillars continue. The framework provides a structured lens for organizational self-assessment.</w:t>
      </w:r>
    </w:p>
    <w:bookmarkEnd w:id="100"/>
    <w:bookmarkStart w:id="101"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6"/>
        </w:numPr>
      </w:pPr>
      <w:r>
        <w:rPr>
          <w:b/>
          <w:bCs/>
        </w:rPr>
        <w:t xml:space="preserve">Three-Pillar Analytical Framework</w:t>
      </w:r>
      <w:r>
        <w:t xml:space="preserve"> </w:t>
      </w:r>
      <w:r>
        <w:t xml:space="preserve">(Primary Contribution): The framework synthesizes previously disconnected evidence from analytics maturity, workforce management, and natural language processing research, revealing how these capabilities interconnect and compound each other: low maturity accelerates turnover, turnover degrades agility, and low technical enablement prevents recovery from either.</w:t>
      </w:r>
    </w:p>
    <w:p>
      <w:pPr>
        <w:numPr>
          <w:ilvl w:val="0"/>
          <w:numId w:val="1026"/>
        </w:numPr>
      </w:pPr>
      <w:r>
        <w:rPr>
          <w:b/>
          <w:bCs/>
        </w:rPr>
        <w:t xml:space="preserve">Evidence Synthesis</w:t>
      </w:r>
      <w:r>
        <w:t xml:space="preserve">: We consolidate current evidence on each pillar, providing healthcare organizations with a comprehensive view of analytics maturity benchmarks, workforce turnover impacts, and NL2SQL technical capabilities in a single resource.</w:t>
      </w:r>
    </w:p>
    <w:p>
      <w:pPr>
        <w:numPr>
          <w:ilvl w:val="0"/>
          <w:numId w:val="1026"/>
        </w:numPr>
      </w:pPr>
      <w:r>
        <w:rPr>
          <w:b/>
          <w:bCs/>
        </w:rPr>
        <w:t xml:space="preserve">Illustrative Application</w:t>
      </w:r>
      <w:r>
        <w:t xml:space="preserve">: By applying established knowledge portal theory</w:t>
      </w:r>
      <w:r>
        <w:t xml:space="preserve"> </w:t>
      </w: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r>
        <w:t xml:space="preserve">, we describe the validated query cycle as one example of how the framework might inform technology design for institutional memory preservation.</w:t>
      </w:r>
    </w:p>
    <w:bookmarkEnd w:id="101"/>
    <w:bookmarkStart w:id="102"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7"/>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 requiring human oversight.</w:t>
      </w:r>
    </w:p>
    <w:p>
      <w:pPr>
        <w:numPr>
          <w:ilvl w:val="0"/>
          <w:numId w:val="1027"/>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7"/>
        </w:numPr>
      </w:pPr>
      <w:r>
        <w:rPr>
          <w:b/>
          <w:bCs/>
        </w:rPr>
        <w:t xml:space="preserve">Workforce Impact</w:t>
      </w:r>
      <w:r>
        <w:t xml:space="preserve">: Healthcare IT staff new-hire turnover was implied at ~34% in 2004</w:t>
      </w:r>
      <w:r>
        <w:t xml:space="preserve"> </w:t>
      </w:r>
      <w:r>
        <w:t xml:space="preserve">(</w:t>
      </w:r>
      <w:hyperlink w:anchor="ref-ang2004">
        <w:r>
          <w:rPr>
            <w:rStyle w:val="Hyperlink"/>
          </w:rPr>
          <w:t xml:space="preserve">7</w:t>
        </w:r>
      </w:hyperlink>
      <w:r>
        <w:t xml:space="preserve">)</w:t>
      </w:r>
      <w:r>
        <w:t xml:space="preserve">, the highest instability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34</w:t>
        </w:r>
      </w:hyperlink>
      <w:r>
        <w:t xml:space="preserve">)</w:t>
      </w:r>
      <w:r>
        <w:t xml:space="preserve">, creating need for knowledge preservation approaches.</w:t>
      </w:r>
    </w:p>
    <w:p>
      <w:pPr>
        <w:numPr>
          <w:ilvl w:val="0"/>
          <w:numId w:val="1027"/>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24</w:t>
        </w:r>
      </w:hyperlink>
      <w:r>
        <w:t xml:space="preserve">)</w:t>
      </w:r>
      <w:r>
        <w:t xml:space="preserve"> </w:t>
      </w:r>
      <w:r>
        <w:t xml:space="preserve">demonstrate that low-code platforms can enable over 1,600 citizen developers in healthcare settings, with academic research documenting significant efficiency improvements and cost reductions</w:t>
      </w:r>
      <w:r>
        <w:t xml:space="preserve"> </w:t>
      </w:r>
      <w:r>
        <w:t xml:space="preserve">(</w:t>
      </w:r>
      <w:hyperlink w:anchor="ref-jiao2023">
        <w:r>
          <w:rPr>
            <w:rStyle w:val="Hyperlink"/>
          </w:rPr>
          <w:t xml:space="preserve">112</w:t>
        </w:r>
      </w:hyperlink>
      <w:r>
        <w:t xml:space="preserve">,</w:t>
      </w:r>
      <w:hyperlink w:anchor="ref-sezgin2022">
        <w:r>
          <w:rPr>
            <w:rStyle w:val="Hyperlink"/>
          </w:rPr>
          <w:t xml:space="preserve">113</w:t>
        </w:r>
      </w:hyperlink>
      <w:r>
        <w:t xml:space="preserve">)</w:t>
      </w:r>
      <w:r>
        <w:t xml:space="preserve">.</w:t>
      </w:r>
    </w:p>
    <w:bookmarkEnd w:id="102"/>
    <w:bookmarkStart w:id="103"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8"/>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8"/>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20</w:t>
        </w:r>
      </w:hyperlink>
      <w:r>
        <w:t xml:space="preserve">)</w:t>
      </w:r>
      <w:r>
        <w:t xml:space="preserve">), governance requirements, and implementation complexity</w:t>
      </w:r>
    </w:p>
    <w:p>
      <w:pPr>
        <w:numPr>
          <w:ilvl w:val="0"/>
          <w:numId w:val="1028"/>
        </w:numPr>
      </w:pPr>
      <w:r>
        <w:rPr>
          <w:b/>
          <w:bCs/>
        </w:rPr>
        <w:t xml:space="preserve">Apply the three-pillar framework</w:t>
      </w:r>
      <w:r>
        <w:t xml:space="preserve">: Use the analytics maturity, workforce agility, and technical enablement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103"/>
    <w:bookmarkStart w:id="104"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104"/>
    <w:bookmarkEnd w:id="105"/>
    <w:bookmarkStart w:id="106"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6"/>
    <w:bookmarkStart w:id="107"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7"/>
    <w:bookmarkStart w:id="108"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8"/>
    <w:bookmarkStart w:id="109"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9"/>
    <w:bookmarkStart w:id="110"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10"/>
    <w:bookmarkStart w:id="111"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11"/>
    <w:bookmarkStart w:id="112"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12"/>
    <w:bookmarkStart w:id="364" w:name="references"/>
    <w:p>
      <w:pPr>
        <w:pStyle w:val="Heading1"/>
      </w:pPr>
      <w:r>
        <w:rPr>
          <w:rStyle w:val="SectionNumber"/>
        </w:rPr>
        <w:t xml:space="preserve">14</w:t>
      </w:r>
      <w:r>
        <w:tab/>
      </w:r>
      <w:r>
        <w:t xml:space="preserve">References</w:t>
      </w:r>
    </w:p>
    <w:bookmarkStart w:id="363" w:name="refs"/>
    <w:bookmarkStart w:id="114"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3">
        <w:r>
          <w:rPr>
            <w:rStyle w:val="Hyperlink"/>
          </w:rPr>
          <w:t xml:space="preserve">https://www.ahima.org/news-publications/press-room-press-releases/2023-press-releases/health-information-workforce-shortages-persist-as-ai-shows-promise-ahima-survey-reveals/</w:t>
        </w:r>
      </w:hyperlink>
    </w:p>
    <w:bookmarkEnd w:id="114"/>
    <w:bookmarkStart w:id="116"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5">
        <w:r>
          <w:rPr>
            <w:rStyle w:val="Hyperlink"/>
          </w:rPr>
          <w:t xml:space="preserve">https://www.himss.org/maturity-models/amam/</w:t>
        </w:r>
      </w:hyperlink>
    </w:p>
    <w:bookmarkEnd w:id="116"/>
    <w:bookmarkStart w:id="118"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18"/>
    <w:bookmarkStart w:id="120" w:name="ref-wittkieffer2024"/>
    <w:p>
      <w:pPr>
        <w:pStyle w:val="Bibliography"/>
      </w:pPr>
      <w:r>
        <w:t xml:space="preserve">4.</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19">
        <w:r>
          <w:rPr>
            <w:rStyle w:val="Hyperlink"/>
          </w:rPr>
          <w:t xml:space="preserve">https://api.wittkieffer.com/wp-content/uploads/2012/10/cio-insights-the-state-of-healthcare-it-leadership-wittkieffer-october-2024.pdf</w:t>
        </w:r>
      </w:hyperlink>
    </w:p>
    <w:bookmarkEnd w:id="120"/>
    <w:bookmarkStart w:id="122" w:name="ref-himssworkforce2024"/>
    <w:p>
      <w:pPr>
        <w:pStyle w:val="Bibliography"/>
      </w:pPr>
      <w:r>
        <w:t xml:space="preserve">5.</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1">
        <w:r>
          <w:rPr>
            <w:rStyle w:val="Hyperlink"/>
          </w:rPr>
          <w:t xml:space="preserve">https://www.himss.org/resources/the-future-of-workforce/</w:t>
        </w:r>
      </w:hyperlink>
    </w:p>
    <w:bookmarkEnd w:id="122"/>
    <w:bookmarkStart w:id="124" w:name="ref-rajamani2025"/>
    <w:p>
      <w:pPr>
        <w:pStyle w:val="Bibliography"/>
      </w:pPr>
      <w:r>
        <w:t xml:space="preserve">6.</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23">
        <w:r>
          <w:rPr>
            <w:rStyle w:val="Hyperlink"/>
          </w:rPr>
          <w:t xml:space="preserve">https://academic.oup.com/jpubhealth</w:t>
        </w:r>
      </w:hyperlink>
    </w:p>
    <w:bookmarkEnd w:id="124"/>
    <w:bookmarkStart w:id="126" w:name="ref-ang2004"/>
    <w:p>
      <w:pPr>
        <w:pStyle w:val="Bibliography"/>
      </w:pPr>
      <w:r>
        <w:t xml:space="preserve">7.</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5">
        <w:r>
          <w:rPr>
            <w:rStyle w:val="Hyperlink"/>
          </w:rPr>
          <w:t xml:space="preserve">https://dl.acm.org/doi/10.1145/1017114.1017118</w:t>
        </w:r>
      </w:hyperlink>
    </w:p>
    <w:bookmarkEnd w:id="126"/>
    <w:bookmarkStart w:id="128" w:name="ref-gal2019"/>
    <w:p>
      <w:pPr>
        <w:pStyle w:val="Bibliography"/>
      </w:pPr>
      <w:r>
        <w:t xml:space="preserve">8.</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27">
        <w:r>
          <w:rPr>
            <w:rStyle w:val="Hyperlink"/>
          </w:rPr>
          <w:t xml:space="preserve">https://www.nyulawreview.org/issues/volume-94-number-4/data-standardization/</w:t>
        </w:r>
      </w:hyperlink>
    </w:p>
    <w:bookmarkEnd w:id="128"/>
    <w:bookmarkStart w:id="129" w:name="ref-zhang2024"/>
    <w:p>
      <w:pPr>
        <w:pStyle w:val="Bibliography"/>
      </w:pPr>
      <w:r>
        <w:t xml:space="preserve">9.</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29"/>
    <w:bookmarkStart w:id="131" w:name="ref-anthropic2025"/>
    <w:p>
      <w:pPr>
        <w:pStyle w:val="Bibliography"/>
      </w:pPr>
      <w:r>
        <w:t xml:space="preserve">10.</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30">
        <w:r>
          <w:rPr>
            <w:rStyle w:val="Hyperlink"/>
          </w:rPr>
          <w:t xml:space="preserve">https://resources.anthropic.com/code-modernization-playbook</w:t>
        </w:r>
      </w:hyperlink>
    </w:p>
    <w:bookmarkEnd w:id="131"/>
    <w:bookmarkStart w:id="133" w:name="ref-hendrix1978"/>
    <w:p>
      <w:pPr>
        <w:pStyle w:val="Bibliography"/>
      </w:pPr>
      <w:r>
        <w:t xml:space="preserve">11.</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2">
        <w:r>
          <w:rPr>
            <w:rStyle w:val="Hyperlink"/>
          </w:rPr>
          <w:t xml:space="preserve">https://dl.acm.org/doi/abs/10.1145/320251.320253</w:t>
        </w:r>
      </w:hyperlink>
    </w:p>
    <w:bookmarkEnd w:id="133"/>
    <w:bookmarkStart w:id="135" w:name="ref-ogunwole2023"/>
    <w:p>
      <w:pPr>
        <w:pStyle w:val="Bibliography"/>
      </w:pPr>
      <w:r>
        <w:t xml:space="preserve">12.</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4">
        <w:r>
          <w:rPr>
            <w:rStyle w:val="Hyperlink"/>
          </w:rPr>
          <w:t xml:space="preserve">https://www.allmultidisciplinaryjournal.com/uploads/archives/20250306182550_MGE-2025-2-018.1.pdf</w:t>
        </w:r>
      </w:hyperlink>
    </w:p>
    <w:bookmarkEnd w:id="135"/>
    <w:bookmarkStart w:id="137" w:name="ref-arora2025"/>
    <w:p>
      <w:pPr>
        <w:pStyle w:val="Bibliography"/>
      </w:pPr>
      <w:r>
        <w:t xml:space="preserve">13.</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36">
        <w:r>
          <w:rPr>
            <w:rStyle w:val="Hyperlink"/>
          </w:rPr>
          <w:t xml:space="preserve">https://papers.ssrn.com/sol3/papers.cfm?abstract_id=5268176</w:t>
        </w:r>
      </w:hyperlink>
    </w:p>
    <w:bookmarkEnd w:id="137"/>
    <w:bookmarkStart w:id="139" w:name="ref-latrella2024"/>
    <w:p>
      <w:pPr>
        <w:pStyle w:val="Bibliography"/>
      </w:pPr>
      <w:r>
        <w:t xml:space="preserve">14.</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38">
        <w:r>
          <w:rPr>
            <w:rStyle w:val="Hyperlink"/>
          </w:rPr>
          <w:t xml:space="preserve">https://www.ingentaconnect.com/content/hsp/mih/2024/00000008/00000004/art00006</w:t>
        </w:r>
      </w:hyperlink>
    </w:p>
    <w:bookmarkEnd w:id="139"/>
    <w:bookmarkStart w:id="141" w:name="ref-nashid2023"/>
    <w:p>
      <w:pPr>
        <w:pStyle w:val="Bibliography"/>
      </w:pPr>
      <w:r>
        <w:t xml:space="preserve">15.</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40">
        <w:r>
          <w:rPr>
            <w:rStyle w:val="Hyperlink"/>
          </w:rPr>
          <w:t xml:space="preserve">https://doi.org/10.25163/business.1110345</w:t>
        </w:r>
      </w:hyperlink>
    </w:p>
    <w:bookmarkEnd w:id="141"/>
    <w:bookmarkStart w:id="143" w:name="ref-shahbaz2019"/>
    <w:p>
      <w:pPr>
        <w:pStyle w:val="Bibliography"/>
      </w:pPr>
      <w:r>
        <w:t xml:space="preserve">16.</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42">
        <w:r>
          <w:rPr>
            <w:rStyle w:val="Hyperlink"/>
          </w:rPr>
          <w:t xml:space="preserve">https://journalofbigdata.springeropen.com/articles/10.1186/s40537-019-0170-y</w:t>
        </w:r>
      </w:hyperlink>
    </w:p>
    <w:bookmarkEnd w:id="143"/>
    <w:bookmarkStart w:id="145" w:name="ref-kamble2019"/>
    <w:p>
      <w:pPr>
        <w:pStyle w:val="Bibliography"/>
      </w:pPr>
      <w:r>
        <w:t xml:space="preserve">17.</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44">
        <w:r>
          <w:rPr>
            <w:rStyle w:val="Hyperlink"/>
          </w:rPr>
          <w:t xml:space="preserve">https://www.tandfonline.com/doi/full/10.1080/20479700.2018.1531606</w:t>
        </w:r>
      </w:hyperlink>
    </w:p>
    <w:bookmarkEnd w:id="145"/>
    <w:bookmarkStart w:id="147" w:name="ref-bravorocca2023"/>
    <w:p>
      <w:pPr>
        <w:pStyle w:val="Bibliography"/>
      </w:pPr>
      <w:r>
        <w:t xml:space="preserve">18.</w:t>
      </w:r>
      <w:r>
        <w:t xml:space="preserve"> </w:t>
      </w:r>
      <w:r>
        <w:t xml:space="preserve">	</w:t>
      </w:r>
      <w:r>
        <w:t xml:space="preserve">Bravo Rocca GJ. Human-on-the-loop continual learning [Internet] [PhD thesis]. Universitat Politècnica de Catalunya; 2023. Available from:</w:t>
      </w:r>
      <w:r>
        <w:t xml:space="preserve"> </w:t>
      </w:r>
      <w:hyperlink r:id="rId146">
        <w:r>
          <w:rPr>
            <w:rStyle w:val="Hyperlink"/>
          </w:rPr>
          <w:t xml:space="preserve">https://www.tdx.cat/bitstream/handle/10803/695722/TGJBR1de1.pdf?sequence=1</w:t>
        </w:r>
      </w:hyperlink>
    </w:p>
    <w:bookmarkEnd w:id="147"/>
    <w:bookmarkStart w:id="149" w:name="ref-mosqueirarey2023"/>
    <w:p>
      <w:pPr>
        <w:pStyle w:val="Bibliography"/>
      </w:pPr>
      <w:r>
        <w:t xml:space="preserve">19.</w:t>
      </w:r>
      <w:r>
        <w:t xml:space="preserve"> </w:t>
      </w:r>
      <w:r>
        <w:t xml:space="preserve">	</w:t>
      </w:r>
      <w:r>
        <w:t xml:space="preserve">Mosqueira-Rey E et al. Human-in-the-loop machine learning: A state of the art. Artificial Intelligence Review [Internet]. 2023;56:3005–54. Available from:</w:t>
      </w:r>
      <w:r>
        <w:t xml:space="preserve"> </w:t>
      </w:r>
      <w:hyperlink r:id="rId148">
        <w:r>
          <w:rPr>
            <w:rStyle w:val="Hyperlink"/>
          </w:rPr>
          <w:t xml:space="preserve">https://link.springer.com/content/pdf/10.1007/s10462-022-10246-w.pdf</w:t>
        </w:r>
      </w:hyperlink>
    </w:p>
    <w:bookmarkEnd w:id="149"/>
    <w:bookmarkStart w:id="151" w:name="ref-ziletti2024"/>
    <w:p>
      <w:pPr>
        <w:pStyle w:val="Bibliography"/>
      </w:pPr>
      <w:r>
        <w:t xml:space="preserve">20.</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0">
        <w:r>
          <w:rPr>
            <w:rStyle w:val="Hyperlink"/>
          </w:rPr>
          <w:t xml:space="preserve">https://arxiv.org/abs/2403.09226</w:t>
        </w:r>
      </w:hyperlink>
    </w:p>
    <w:bookmarkEnd w:id="151"/>
    <w:bookmarkStart w:id="153" w:name="ref-tyndall2010"/>
    <w:p>
      <w:pPr>
        <w:pStyle w:val="Bibliography"/>
      </w:pPr>
      <w:r>
        <w:t xml:space="preserve">21.</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52">
        <w:r>
          <w:rPr>
            <w:rStyle w:val="Hyperlink"/>
          </w:rPr>
          <w:t xml:space="preserve">https://dspace.flinders.edu.au/jspui/bitstream/2328/3326/4/AACODS_Checklist.pdf</w:t>
        </w:r>
      </w:hyperlink>
    </w:p>
    <w:bookmarkEnd w:id="153"/>
    <w:bookmarkStart w:id="155" w:name="ref-snowdon2024b"/>
    <w:p>
      <w:pPr>
        <w:pStyle w:val="Bibliography"/>
      </w:pPr>
      <w:r>
        <w:t xml:space="preserve">22.</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54">
        <w:r>
          <w:rPr>
            <w:rStyle w:val="Hyperlink"/>
          </w:rPr>
          <w:t xml:space="preserve">https://legacy.himss.org/news/new-analytics-maturity-adoption-model-pushes-digital-transformation-and-data-driven-decisions</w:t>
        </w:r>
      </w:hyperlink>
    </w:p>
    <w:bookmarkEnd w:id="155"/>
    <w:bookmarkStart w:id="157" w:name="ref-health2020"/>
    <w:p>
      <w:pPr>
        <w:pStyle w:val="Bibliography"/>
      </w:pPr>
      <w:r>
        <w:t xml:space="preserve">23.</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56">
        <w:r>
          <w:rPr>
            <w:rStyle w:val="Hyperlink"/>
          </w:rPr>
          <w:t xml:space="preserve">https://www.healthcatalyst.com/learn/insights/healthcare-analytics-adoption-model-roadmap-analytic-maturity</w:t>
        </w:r>
      </w:hyperlink>
    </w:p>
    <w:bookmarkEnd w:id="157"/>
    <w:bookmarkStart w:id="159" w:name="ref-berkshire2024"/>
    <w:p>
      <w:pPr>
        <w:pStyle w:val="Bibliography"/>
      </w:pPr>
      <w:r>
        <w:t xml:space="preserve">24.</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158">
        <w:r>
          <w:rPr>
            <w:rStyle w:val="Hyperlink"/>
          </w:rPr>
          <w:t xml:space="preserve">https://ia.berkshirehealthcare.nhs.uk/citizen-developer-programme</w:t>
        </w:r>
      </w:hyperlink>
    </w:p>
    <w:bookmarkEnd w:id="159"/>
    <w:bookmarkStart w:id="161" w:name="ref-forrester2024"/>
    <w:p>
      <w:pPr>
        <w:pStyle w:val="Bibliography"/>
      </w:pPr>
      <w:r>
        <w:t xml:space="preserve">25.</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160">
        <w:r>
          <w:rPr>
            <w:rStyle w:val="Hyperlink"/>
          </w:rPr>
          <w:t xml:space="preserve">https://tei.forrester.com/go/microsoft/powerappstei/?lang=en-us</w:t>
        </w:r>
      </w:hyperlink>
    </w:p>
    <w:bookmarkEnd w:id="161"/>
    <w:bookmarkStart w:id="163" w:name="ref-oracle2024"/>
    <w:p>
      <w:pPr>
        <w:pStyle w:val="Bibliography"/>
      </w:pPr>
      <w:r>
        <w:t xml:space="preserve">26.</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162">
        <w:r>
          <w:rPr>
            <w:rStyle w:val="Hyperlink"/>
          </w:rPr>
          <w:t xml:space="preserve">https://www.oracle.com/human-capital-management/cost-employee-turnover-healthcare/</w:t>
        </w:r>
      </w:hyperlink>
    </w:p>
    <w:bookmarkEnd w:id="163"/>
    <w:bookmarkStart w:id="165" w:name="ref-precedence2024"/>
    <w:p>
      <w:pPr>
        <w:pStyle w:val="Bibliography"/>
      </w:pPr>
      <w:r>
        <w:t xml:space="preserve">27.</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164">
        <w:r>
          <w:rPr>
            <w:rStyle w:val="Hyperlink"/>
          </w:rPr>
          <w:t xml:space="preserve">https://www.precedenceresearch.com/healthcare-analytics-market</w:t>
        </w:r>
      </w:hyperlink>
    </w:p>
    <w:bookmarkEnd w:id="165"/>
    <w:bookmarkStart w:id="167" w:name="ref-ibm2022"/>
    <w:p>
      <w:pPr>
        <w:pStyle w:val="Bibliography"/>
      </w:pPr>
      <w:r>
        <w:t xml:space="preserve">28.</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166">
        <w:r>
          <w:rPr>
            <w:rStyle w:val="Hyperlink"/>
          </w:rPr>
          <w:t xml:space="preserve">https://newsroom.ibm.com/2022-01-21-Francisco-Partners-to-Acquire-IBMs-Healthcare-Data-and-Analytics-Assets</w:t>
        </w:r>
      </w:hyperlink>
    </w:p>
    <w:bookmarkEnd w:id="167"/>
    <w:bookmarkStart w:id="169" w:name="ref-lavito2021"/>
    <w:p>
      <w:pPr>
        <w:pStyle w:val="Bibliography"/>
      </w:pPr>
      <w:r>
        <w:t xml:space="preserve">29.</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168">
        <w:r>
          <w:rPr>
            <w:rStyle w:val="Hyperlink"/>
          </w:rPr>
          <w:t xml:space="preserve">https://www.cnbc.com/2021/01/04/haven-the-amazon-berkshire-jpmorgan-venture-to-disrupt-healthcare-is-disbanding-after-3-years.html</w:t>
        </w:r>
      </w:hyperlink>
    </w:p>
    <w:bookmarkEnd w:id="169"/>
    <w:bookmarkStart w:id="170" w:name="ref-allison2021"/>
    <w:p>
      <w:pPr>
        <w:pStyle w:val="Bibliography"/>
      </w:pPr>
      <w:r>
        <w:t xml:space="preserve">30.</w:t>
      </w:r>
      <w:r>
        <w:t xml:space="preserve"> </w:t>
      </w:r>
      <w:r>
        <w:t xml:space="preserve">	</w:t>
      </w:r>
      <w:r>
        <w:t xml:space="preserve">Allison DG, Peters H.</w:t>
      </w:r>
      <w:r>
        <w:t xml:space="preserve"> </w:t>
      </w:r>
      <w:r>
        <w:t xml:space="preserve">Root Cause Analysis (RCA) for the Improvement of Healthcare Systems and Patient Safety</w:t>
      </w:r>
      <w:r>
        <w:t xml:space="preserve">. CRC Press; 2021.</w:t>
      </w:r>
      <w:r>
        <w:t xml:space="preserve"> </w:t>
      </w:r>
    </w:p>
    <w:bookmarkEnd w:id="170"/>
    <w:bookmarkStart w:id="171" w:name="ref-soylemez2017"/>
    <w:p>
      <w:pPr>
        <w:pStyle w:val="Bibliography"/>
      </w:pPr>
      <w:r>
        <w:t xml:space="preserve">31.</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2017;19:28–42.</w:t>
      </w:r>
      <w:r>
        <w:t xml:space="preserve"> </w:t>
      </w:r>
    </w:p>
    <w:bookmarkEnd w:id="171"/>
    <w:bookmarkStart w:id="173" w:name="ref-rowley2007"/>
    <w:p>
      <w:pPr>
        <w:pStyle w:val="Bibliography"/>
      </w:pPr>
      <w:r>
        <w:t xml:space="preserve">32.</w:t>
      </w:r>
      <w:r>
        <w:t xml:space="preserve"> </w:t>
      </w:r>
      <w:r>
        <w:t xml:space="preserve">	</w:t>
      </w:r>
      <w:r>
        <w:t xml:space="preserve">Rowley J.</w:t>
      </w:r>
      <w:r>
        <w:t xml:space="preserve"> </w:t>
      </w:r>
      <w:hyperlink r:id="rId172">
        <w:r>
          <w:rPr>
            <w:rStyle w:val="Hyperlink"/>
          </w:rPr>
          <w:t xml:space="preserve">The wisdom hierarchy: representations of the DIKW hierarchy</w:t>
        </w:r>
      </w:hyperlink>
      <w:r>
        <w:t xml:space="preserve">. Journal of Information Science. 2007;33(2):163–80.</w:t>
      </w:r>
      <w:r>
        <w:t xml:space="preserve"> </w:t>
      </w:r>
    </w:p>
    <w:bookmarkEnd w:id="173"/>
    <w:bookmarkStart w:id="175" w:name="ref-rao2006"/>
    <w:p>
      <w:pPr>
        <w:pStyle w:val="Bibliography"/>
      </w:pPr>
      <w:r>
        <w:t xml:space="preserve">33.</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174">
        <w:r>
          <w:rPr>
            <w:rStyle w:val="Hyperlink"/>
          </w:rPr>
          <w:t xml:space="preserve">https://onlinelibrary.wiley.com/doi/abs/10.1057/palgrave.emr.1500057</w:t>
        </w:r>
      </w:hyperlink>
    </w:p>
    <w:bookmarkEnd w:id="175"/>
    <w:bookmarkStart w:id="177" w:name="ref-massingham2018"/>
    <w:p>
      <w:pPr>
        <w:pStyle w:val="Bibliography"/>
      </w:pPr>
      <w:r>
        <w:t xml:space="preserve">34.</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176">
        <w:r>
          <w:rPr>
            <w:rStyle w:val="Hyperlink"/>
          </w:rPr>
          <w:t xml:space="preserve">https://doi.org/10.1108/JKM-08-2016-0338</w:t>
        </w:r>
      </w:hyperlink>
    </w:p>
    <w:bookmarkEnd w:id="177"/>
    <w:bookmarkStart w:id="179" w:name="ref-farnese2019"/>
    <w:p>
      <w:pPr>
        <w:pStyle w:val="Bibliography"/>
      </w:pPr>
      <w:r>
        <w:t xml:space="preserve">35.</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178">
        <w:r>
          <w:rPr>
            <w:rStyle w:val="Hyperlink"/>
          </w:rPr>
          <w:t xml:space="preserve">https://www.frontiersin.org/articles/10.3389/fpsyg.2019.02730</w:t>
        </w:r>
      </w:hyperlink>
    </w:p>
    <w:bookmarkEnd w:id="179"/>
    <w:bookmarkStart w:id="181" w:name="ref-foos2006"/>
    <w:p>
      <w:pPr>
        <w:pStyle w:val="Bibliography"/>
      </w:pPr>
      <w:r>
        <w:t xml:space="preserve">36.</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180">
        <w:r>
          <w:rPr>
            <w:rStyle w:val="Hyperlink"/>
          </w:rPr>
          <w:t xml:space="preserve">https://www.emerald.com/insight/content/doi/10.1108/13673270610650067/full/html</w:t>
        </w:r>
      </w:hyperlink>
    </w:p>
    <w:bookmarkEnd w:id="181"/>
    <w:bookmarkStart w:id="183" w:name="ref-benbya2004"/>
    <w:p>
      <w:pPr>
        <w:pStyle w:val="Bibliography"/>
      </w:pPr>
      <w:r>
        <w:t xml:space="preserve">37.</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82">
        <w:r>
          <w:rPr>
            <w:rStyle w:val="Hyperlink"/>
          </w:rPr>
          <w:t xml:space="preserve">https://doi.org/10.1016/j.ijinfomgt.2003.12.012</w:t>
        </w:r>
      </w:hyperlink>
    </w:p>
    <w:bookmarkEnd w:id="183"/>
    <w:bookmarkStart w:id="185" w:name="ref-zhang2025"/>
    <w:p>
      <w:pPr>
        <w:pStyle w:val="Bibliography"/>
      </w:pPr>
      <w:r>
        <w:t xml:space="preserve">38.</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184">
        <w:r>
          <w:rPr>
            <w:rStyle w:val="Hyperlink"/>
          </w:rPr>
          <w:t xml:space="preserve">https://www.emerald.com/insight/content/doi/10.1108/JKM-03-2024-0262/full/html</w:t>
        </w:r>
      </w:hyperlink>
    </w:p>
    <w:bookmarkEnd w:id="185"/>
    <w:bookmarkStart w:id="187" w:name="ref-wang2018"/>
    <w:p>
      <w:pPr>
        <w:pStyle w:val="Bibliography"/>
      </w:pPr>
      <w:r>
        <w:t xml:space="preserve">39.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86">
        <w:r>
          <w:rPr>
            <w:rStyle w:val="Hyperlink"/>
          </w:rPr>
          <w:t xml:space="preserve">https://www.sciencedirect.com/science/article/abs/pii/S0040162516000500</w:t>
        </w:r>
      </w:hyperlink>
    </w:p>
    <w:bookmarkEnd w:id="187"/>
    <w:bookmarkStart w:id="189" w:name="ref-wang2017"/>
    <w:p>
      <w:pPr>
        <w:pStyle w:val="Bibliography"/>
      </w:pPr>
      <w:r>
        <w:t xml:space="preserve">40.</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88">
        <w:r>
          <w:rPr>
            <w:rStyle w:val="Hyperlink"/>
          </w:rPr>
          <w:t xml:space="preserve">https://www.sciencedirect.com/science/article/abs/pii/S0148296316304891</w:t>
        </w:r>
      </w:hyperlink>
    </w:p>
    <w:bookmarkEnd w:id="189"/>
    <w:bookmarkStart w:id="190" w:name="ref-himss2024apac"/>
    <w:p>
      <w:pPr>
        <w:pStyle w:val="Bibliography"/>
      </w:pPr>
      <w:r>
        <w:t xml:space="preserve">41.</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90"/>
    <w:bookmarkStart w:id="192" w:name="ref-tgh2025"/>
    <w:p>
      <w:pPr>
        <w:pStyle w:val="Bibliography"/>
      </w:pPr>
      <w:r>
        <w:t xml:space="preserve">42.</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91">
        <w:r>
          <w:rPr>
            <w:rStyle w:val="Hyperlink"/>
          </w:rPr>
          <w:t xml:space="preserve">https://www.tgh.org/news/tgh-press-releases/2025/june/tampa-general-hospital-awarded-highest-designation-analytics-himss</w:t>
        </w:r>
      </w:hyperlink>
    </w:p>
    <w:bookmarkEnd w:id="192"/>
    <w:bookmarkStart w:id="194" w:name="ref-cmuh2025"/>
    <w:p>
      <w:pPr>
        <w:pStyle w:val="Bibliography"/>
      </w:pPr>
      <w:r>
        <w:t xml:space="preserve">43.</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93">
        <w:r>
          <w:rPr>
            <w:rStyle w:val="Hyperlink"/>
          </w:rPr>
          <w:t xml:space="preserve">https://www.prnewswire.com/news-releases/taiwans-first-hospital-to-achieve-amam-stage-7-certification-302390824.html</w:t>
        </w:r>
      </w:hyperlink>
    </w:p>
    <w:bookmarkEnd w:id="194"/>
    <w:bookmarkStart w:id="196" w:name="ref-ksa2024"/>
    <w:p>
      <w:pPr>
        <w:pStyle w:val="Bibliography"/>
      </w:pPr>
      <w:r>
        <w:t xml:space="preserve">44.</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95">
        <w:r>
          <w:rPr>
            <w:rStyle w:val="Hyperlink"/>
          </w:rPr>
          <w:t xml:space="preserve">https://medicalbuyer.co.in/2-medical-groups-in-saudi-arabia-achieve-stage-7-digital-maturity/</w:t>
        </w:r>
      </w:hyperlink>
    </w:p>
    <w:bookmarkEnd w:id="196"/>
    <w:bookmarkStart w:id="198" w:name="ref-snowdon2024"/>
    <w:p>
      <w:pPr>
        <w:pStyle w:val="Bibliography"/>
      </w:pPr>
      <w:r>
        <w:t xml:space="preserve">45.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97">
        <w:r>
          <w:rPr>
            <w:rStyle w:val="Hyperlink"/>
          </w:rPr>
          <w:t xml:space="preserve">https://www.jmir.org/2024/1/e56316</w:t>
        </w:r>
      </w:hyperlink>
    </w:p>
    <w:bookmarkEnd w:id="198"/>
    <w:bookmarkStart w:id="200" w:name="ref-snowdon2024a"/>
    <w:p>
      <w:pPr>
        <w:pStyle w:val="Bibliography"/>
      </w:pPr>
      <w:r>
        <w:t xml:space="preserve">46.</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99">
        <w:r>
          <w:rPr>
            <w:rStyle w:val="Hyperlink"/>
          </w:rPr>
          <w:t xml:space="preserve">https://journals.sagepub.com/doi/full/10.1177/23743735241253785</w:t>
        </w:r>
      </w:hyperlink>
    </w:p>
    <w:bookmarkEnd w:id="200"/>
    <w:bookmarkStart w:id="202" w:name="ref-wang2019"/>
    <w:p>
      <w:pPr>
        <w:pStyle w:val="Bibliography"/>
      </w:pPr>
      <w:r>
        <w:t xml:space="preserve">47.</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201">
        <w:r>
          <w:rPr>
            <w:rStyle w:val="Hyperlink"/>
          </w:rPr>
          <w:t xml:space="preserve">https://onlinelibrary.wiley.com/doi/abs/10.1111/1467-8551.12332</w:t>
        </w:r>
      </w:hyperlink>
    </w:p>
    <w:bookmarkEnd w:id="202"/>
    <w:bookmarkStart w:id="204" w:name="ref-gomes2025"/>
    <w:p>
      <w:pPr>
        <w:pStyle w:val="Bibliography"/>
      </w:pPr>
      <w:r>
        <w:t xml:space="preserve">48.</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03">
        <w:r>
          <w:rPr>
            <w:rStyle w:val="Hyperlink"/>
          </w:rPr>
          <w:t xml:space="preserve">https://www.mdpi.com/2227-9032/13/1/1</w:t>
        </w:r>
      </w:hyperlink>
    </w:p>
    <w:bookmarkEnd w:id="204"/>
    <w:bookmarkStart w:id="206" w:name="ref-woods2024"/>
    <w:p>
      <w:pPr>
        <w:pStyle w:val="Bibliography"/>
      </w:pPr>
      <w:r>
        <w:t xml:space="preserve">49.</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05">
        <w:r>
          <w:rPr>
            <w:rStyle w:val="Hyperlink"/>
          </w:rPr>
          <w:t xml:space="preserve">https://www.sciencedirect.com/science/article/pii/S1386505624001916</w:t>
        </w:r>
      </w:hyperlink>
    </w:p>
    <w:bookmarkEnd w:id="206"/>
    <w:bookmarkStart w:id="208" w:name="ref-saintulysse2021"/>
    <w:p>
      <w:pPr>
        <w:pStyle w:val="Bibliography"/>
      </w:pPr>
      <w:r>
        <w:t xml:space="preserve">50.</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07">
        <w:r>
          <w:rPr>
            <w:rStyle w:val="Hyperlink"/>
          </w:rPr>
          <w:t xml:space="preserve">https://scholarworks.waldenu.edu/cgi/viewcontent.cgi?article=12395&amp;context=dissertations</w:t>
        </w:r>
      </w:hyperlink>
    </w:p>
    <w:bookmarkEnd w:id="208"/>
    <w:bookmarkStart w:id="210" w:name="ref-martin2019"/>
    <w:p>
      <w:pPr>
        <w:pStyle w:val="Bibliography"/>
      </w:pPr>
      <w:r>
        <w:t xml:space="preserve">51.</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09">
        <w:r>
          <w:rPr>
            <w:rStyle w:val="Hyperlink"/>
          </w:rPr>
          <w:t xml:space="preserve">https://www.nature.com/articles/s41746-019-0118-9</w:t>
        </w:r>
      </w:hyperlink>
    </w:p>
    <w:bookmarkEnd w:id="210"/>
    <w:bookmarkStart w:id="212" w:name="ref-navarro2023"/>
    <w:p>
      <w:pPr>
        <w:pStyle w:val="Bibliography"/>
      </w:pPr>
      <w:r>
        <w:t xml:space="preserve">52.</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211">
        <w:r>
          <w:rPr>
            <w:rStyle w:val="Hyperlink"/>
          </w:rPr>
          <w:t xml:space="preserve">https://www.sciencedirect.com/science/article/pii/S1386505623001405</w:t>
        </w:r>
      </w:hyperlink>
    </w:p>
    <w:bookmarkEnd w:id="212"/>
    <w:bookmarkStart w:id="214" w:name="ref-bardsley2016"/>
    <w:p>
      <w:pPr>
        <w:pStyle w:val="Bibliography"/>
      </w:pPr>
      <w:r>
        <w:t xml:space="preserve">53.</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13">
        <w:r>
          <w:rPr>
            <w:rStyle w:val="Hyperlink"/>
          </w:rPr>
          <w:t xml:space="preserve">https://www.health.org.uk/publications/understanding-analytical-capability-in-health-care</w:t>
        </w:r>
      </w:hyperlink>
    </w:p>
    <w:bookmarkEnd w:id="214"/>
    <w:bookmarkStart w:id="216" w:name="ref-pesqueira2020"/>
    <w:p>
      <w:pPr>
        <w:pStyle w:val="Bibliography"/>
      </w:pPr>
      <w:r>
        <w:t xml:space="preserve">54.</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15">
        <w:r>
          <w:rPr>
            <w:rStyle w:val="Hyperlink"/>
          </w:rPr>
          <w:t xml:space="preserve">https://link.springer.com/article/10.1007/s10916-020-01665-9</w:t>
        </w:r>
      </w:hyperlink>
    </w:p>
    <w:bookmarkEnd w:id="216"/>
    <w:bookmarkStart w:id="218" w:name="ref-carvalho2019"/>
    <w:p>
      <w:pPr>
        <w:pStyle w:val="Bibliography"/>
      </w:pPr>
      <w:r>
        <w:t xml:space="preserve">55.</w:t>
      </w:r>
      <w:r>
        <w:t xml:space="preserve"> </w:t>
      </w:r>
      <w:r>
        <w:t xml:space="preserve">	</w:t>
      </w:r>
      <w:r>
        <w:t xml:space="preserve">Carvalho J ildeao V, Rocha Á, Vasconcelos J.</w:t>
      </w:r>
      <w:r>
        <w:t xml:space="preserve"> </w:t>
      </w:r>
      <w:hyperlink r:id="rId217">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18"/>
    <w:bookmarkStart w:id="219" w:name="ref-pintovalverde2013"/>
    <w:p>
      <w:pPr>
        <w:pStyle w:val="Bibliography"/>
      </w:pPr>
      <w:r>
        <w:t xml:space="preserve">56.</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219"/>
    <w:bookmarkStart w:id="220" w:name="ref-gokalp2023"/>
    <w:p>
      <w:pPr>
        <w:pStyle w:val="Bibliography"/>
      </w:pPr>
      <w:r>
        <w:t xml:space="preserve">57.</w:t>
      </w:r>
      <w:r>
        <w:t xml:space="preserve"> </w:t>
      </w:r>
      <w:r>
        <w:t xml:space="preserve">	</w:t>
      </w:r>
      <w:r>
        <w:t xml:space="preserve">G"okalp MO, G"okalp E, G"okalp S.</w:t>
      </w:r>
      <w:r>
        <w:t xml:space="preserve"> </w:t>
      </w:r>
      <w:r>
        <w:t xml:space="preserve">The development of data analytics maturity assessment framework: DAMAF</w:t>
      </w:r>
      <w:r>
        <w:t xml:space="preserve">. Journal of Software: Evolution and Process. 2023;35(4):e2448.</w:t>
      </w:r>
      <w:r>
        <w:t xml:space="preserve"> </w:t>
      </w:r>
    </w:p>
    <w:bookmarkEnd w:id="220"/>
    <w:bookmarkStart w:id="221" w:name="ref-lismont2017"/>
    <w:p>
      <w:pPr>
        <w:pStyle w:val="Bibliography"/>
      </w:pPr>
      <w:r>
        <w:t xml:space="preserve">58.</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221"/>
    <w:bookmarkStart w:id="222" w:name="ref-yang2021"/>
    <w:p>
      <w:pPr>
        <w:pStyle w:val="Bibliography"/>
      </w:pPr>
      <w:r>
        <w:t xml:space="preserve">59.</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222"/>
    <w:bookmarkStart w:id="223" w:name="ref-arts2002"/>
    <w:p>
      <w:pPr>
        <w:pStyle w:val="Bibliography"/>
      </w:pPr>
      <w:r>
        <w:t xml:space="preserve">60.</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223"/>
    <w:bookmarkStart w:id="224" w:name="ref-mccoy2013"/>
    <w:p>
      <w:pPr>
        <w:pStyle w:val="Bibliography"/>
      </w:pPr>
      <w:r>
        <w:t xml:space="preserve">61.</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224"/>
    <w:bookmarkStart w:id="225" w:name="ref-rahman2020"/>
    <w:p>
      <w:pPr>
        <w:pStyle w:val="Bibliography"/>
      </w:pPr>
      <w:r>
        <w:t xml:space="preserve">62.</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225"/>
    <w:bookmarkStart w:id="226" w:name="ref-sirgo2018"/>
    <w:p>
      <w:pPr>
        <w:pStyle w:val="Bibliography"/>
      </w:pPr>
      <w:r>
        <w:t xml:space="preserve">63.</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26"/>
    <w:bookmarkStart w:id="227" w:name="ref-shi2021"/>
    <w:p>
      <w:pPr>
        <w:pStyle w:val="Bibliography"/>
      </w:pPr>
      <w:r>
        <w:t xml:space="preserve">64.</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27"/>
    <w:bookmarkStart w:id="228" w:name="ref-dugas2016"/>
    <w:p>
      <w:pPr>
        <w:pStyle w:val="Bibliography"/>
      </w:pPr>
      <w:r>
        <w:t xml:space="preserve">65.</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28"/>
    <w:bookmarkStart w:id="229" w:name="ref-bokov2017"/>
    <w:p>
      <w:pPr>
        <w:pStyle w:val="Bibliography"/>
      </w:pPr>
      <w:r>
        <w:t xml:space="preserve">66.</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29"/>
    <w:bookmarkStart w:id="230" w:name="ref-ulrich2022"/>
    <w:p>
      <w:pPr>
        <w:pStyle w:val="Bibliography"/>
      </w:pPr>
      <w:r>
        <w:t xml:space="preserve">67.</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30"/>
    <w:bookmarkStart w:id="231" w:name="ref-lucyk2017"/>
    <w:p>
      <w:pPr>
        <w:pStyle w:val="Bibliography"/>
      </w:pPr>
      <w:r>
        <w:t xml:space="preserve">68.</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31"/>
    <w:bookmarkStart w:id="232" w:name="ref-hovenga2013"/>
    <w:p>
      <w:pPr>
        <w:pStyle w:val="Bibliography"/>
      </w:pPr>
      <w:r>
        <w:t xml:space="preserve">69.</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32"/>
    <w:bookmarkStart w:id="234" w:name="ref-wu2024"/>
    <w:p>
      <w:pPr>
        <w:pStyle w:val="Bibliography"/>
      </w:pPr>
      <w:r>
        <w:t xml:space="preserve">70.</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33">
        <w:r>
          <w:rPr>
            <w:rStyle w:val="Hyperlink"/>
          </w:rPr>
          <w:t xml:space="preserve">https://pmc.ncbi.nlm.nih.gov/articles/PMC10802134/</w:t>
        </w:r>
      </w:hyperlink>
    </w:p>
    <w:bookmarkEnd w:id="234"/>
    <w:bookmarkStart w:id="236" w:name="ref-ren2024"/>
    <w:p>
      <w:pPr>
        <w:pStyle w:val="Bibliography"/>
      </w:pPr>
      <w:r>
        <w:t xml:space="preserve">71.</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35">
        <w:r>
          <w:rPr>
            <w:rStyle w:val="Hyperlink"/>
          </w:rPr>
          <w:t xml:space="preserve">https://pmc.ncbi.nlm.nih.gov/articles/PMC11919231/</w:t>
        </w:r>
      </w:hyperlink>
    </w:p>
    <w:bookmarkEnd w:id="236"/>
    <w:bookmarkStart w:id="238" w:name="ref-hong2025"/>
    <w:p>
      <w:pPr>
        <w:pStyle w:val="Bibliography"/>
      </w:pPr>
      <w:r>
        <w:t xml:space="preserve">72.</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37">
        <w:r>
          <w:rPr>
            <w:rStyle w:val="Hyperlink"/>
          </w:rPr>
          <w:t xml:space="preserve">https://academic.oup.com/jpart/advance-article-abstract/doi/10.1093/jopart/muaf019/8162522</w:t>
        </w:r>
      </w:hyperlink>
    </w:p>
    <w:bookmarkEnd w:id="238"/>
    <w:bookmarkStart w:id="240" w:name="ref-willardgrace2019"/>
    <w:p>
      <w:pPr>
        <w:pStyle w:val="Bibliography"/>
      </w:pPr>
      <w:r>
        <w:t xml:space="preserve">73.</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39">
        <w:r>
          <w:rPr>
            <w:rStyle w:val="Hyperlink"/>
          </w:rPr>
          <w:t xml:space="preserve">https://www.annfammed.org/content/17/1/36</w:t>
        </w:r>
      </w:hyperlink>
    </w:p>
    <w:bookmarkEnd w:id="240"/>
    <w:bookmarkStart w:id="242" w:name="ref-nsi2025"/>
    <w:p>
      <w:pPr>
        <w:pStyle w:val="Bibliography"/>
      </w:pPr>
      <w:r>
        <w:t xml:space="preserve">74.</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41">
        <w:r>
          <w:rPr>
            <w:rStyle w:val="Hyperlink"/>
          </w:rPr>
          <w:t xml:space="preserve">https://www.nsinursingsolutions.com/documents/library/nsi_national_health_care_retention_report.pdf</w:t>
        </w:r>
      </w:hyperlink>
    </w:p>
    <w:bookmarkEnd w:id="242"/>
    <w:bookmarkStart w:id="244" w:name="ref-ledikwe2013"/>
    <w:p>
      <w:pPr>
        <w:pStyle w:val="Bibliography"/>
      </w:pPr>
      <w:r>
        <w:t xml:space="preserve">75.</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43">
        <w:r>
          <w:rPr>
            <w:rStyle w:val="Hyperlink"/>
          </w:rPr>
          <w:t xml:space="preserve">https://human-resources-health.biomedcentral.com/articles/10.1186/1478-4491-11-35</w:t>
        </w:r>
      </w:hyperlink>
    </w:p>
    <w:bookmarkEnd w:id="244"/>
    <w:bookmarkStart w:id="246" w:name="ref-mantas2010"/>
    <w:p>
      <w:pPr>
        <w:pStyle w:val="Bibliography"/>
      </w:pPr>
      <w:r>
        <w:t xml:space="preserve">76.</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45">
        <w:r>
          <w:rPr>
            <w:rStyle w:val="Hyperlink"/>
          </w:rPr>
          <w:t xml:space="preserve">https://pubmed.ncbi.nlm.nih.gov/20054502/</w:t>
        </w:r>
      </w:hyperlink>
    </w:p>
    <w:bookmarkEnd w:id="246"/>
    <w:bookmarkStart w:id="248" w:name="ref-musa2023"/>
    <w:p>
      <w:pPr>
        <w:pStyle w:val="Bibliography"/>
      </w:pPr>
      <w:r>
        <w:t xml:space="preserve">77.</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47">
        <w:r>
          <w:rPr>
            <w:rStyle w:val="Hyperlink"/>
          </w:rPr>
          <w:t xml:space="preserve">https://pmc.ncbi.nlm.nih.gov/articles/PMC10243608/</w:t>
        </w:r>
      </w:hyperlink>
    </w:p>
    <w:bookmarkEnd w:id="248"/>
    <w:bookmarkStart w:id="250" w:name="ref-konrad2022"/>
    <w:p>
      <w:pPr>
        <w:pStyle w:val="Bibliography"/>
      </w:pPr>
      <w:r>
        <w:t xml:space="preserve">78.</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49">
        <w:r>
          <w:rPr>
            <w:rStyle w:val="Hyperlink"/>
          </w:rPr>
          <w:t xml:space="preserve">https://www.diva-portal.org/smash/record.jsf?pid=diva2:1684142</w:t>
        </w:r>
      </w:hyperlink>
    </w:p>
    <w:bookmarkEnd w:id="250"/>
    <w:bookmarkStart w:id="252" w:name="ref-mayo2016"/>
    <w:p>
      <w:pPr>
        <w:pStyle w:val="Bibliography"/>
      </w:pPr>
      <w:r>
        <w:t xml:space="preserve">79.</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51">
        <w:r>
          <w:rPr>
            <w:rStyle w:val="Hyperlink"/>
          </w:rPr>
          <w:t xml:space="preserve">https://www.redjournal.org/article/S0360-3016(16)00260-1/fulltext</w:t>
        </w:r>
      </w:hyperlink>
    </w:p>
    <w:bookmarkEnd w:id="252"/>
    <w:bookmarkStart w:id="254" w:name="ref-goffin2011"/>
    <w:p>
      <w:pPr>
        <w:pStyle w:val="Bibliography"/>
      </w:pPr>
      <w:r>
        <w:t xml:space="preserve">80.</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53">
        <w:r>
          <w:rPr>
            <w:rStyle w:val="Hyperlink"/>
          </w:rPr>
          <w:t xml:space="preserve">https://onlinelibrary.wiley.com/doi/abs/10.1111/j.1540-5885.2010.00798.x</w:t>
        </w:r>
      </w:hyperlink>
    </w:p>
    <w:bookmarkEnd w:id="254"/>
    <w:bookmarkStart w:id="256" w:name="ref-goffin2010"/>
    <w:p>
      <w:pPr>
        <w:pStyle w:val="Bibliography"/>
      </w:pPr>
      <w:r>
        <w:t xml:space="preserve">81.</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55">
        <w:r>
          <w:rPr>
            <w:rStyle w:val="Hyperlink"/>
          </w:rPr>
          <w:t xml:space="preserve">https://www.tandfonline.com/doi/abs/10.1080/08956308.2010.11657637</w:t>
        </w:r>
      </w:hyperlink>
    </w:p>
    <w:bookmarkEnd w:id="256"/>
    <w:bookmarkStart w:id="258" w:name="ref-rintala2006"/>
    <w:p>
      <w:pPr>
        <w:pStyle w:val="Bibliography"/>
      </w:pPr>
      <w:r>
        <w:t xml:space="preserve">82.</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57">
        <w:r>
          <w:rPr>
            <w:rStyle w:val="Hyperlink"/>
          </w:rPr>
          <w:t xml:space="preserve">https://www.inderscienceonline.com/doi/abs/10.1504/IJNKM.2006.009880</w:t>
        </w:r>
      </w:hyperlink>
    </w:p>
    <w:bookmarkEnd w:id="258"/>
    <w:bookmarkStart w:id="260" w:name="ref-wang2025"/>
    <w:p>
      <w:pPr>
        <w:pStyle w:val="Bibliography"/>
      </w:pPr>
      <w:r>
        <w:t xml:space="preserve">83.</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59">
        <w:r>
          <w:rPr>
            <w:rStyle w:val="Hyperlink"/>
          </w:rPr>
          <w:t xml:space="preserve">https://arxiv.org/abs/2508.08224</w:t>
        </w:r>
      </w:hyperlink>
    </w:p>
    <w:bookmarkEnd w:id="260"/>
    <w:bookmarkStart w:id="262" w:name="ref-openai2025"/>
    <w:p>
      <w:pPr>
        <w:pStyle w:val="Bibliography"/>
      </w:pPr>
      <w:r>
        <w:t xml:space="preserve">84.</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61">
        <w:r>
          <w:rPr>
            <w:rStyle w:val="Hyperlink"/>
          </w:rPr>
          <w:t xml:space="preserve">https://arxiv.org/abs/2505.08775</w:t>
        </w:r>
      </w:hyperlink>
    </w:p>
    <w:bookmarkEnd w:id="262"/>
    <w:bookmarkStart w:id="264" w:name="ref-medagentbench2024"/>
    <w:p>
      <w:pPr>
        <w:pStyle w:val="Bibliography"/>
      </w:pPr>
      <w:r>
        <w:t xml:space="preserve">85.</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63">
        <w:r>
          <w:rPr>
            <w:rStyle w:val="Hyperlink"/>
          </w:rPr>
          <w:t xml:space="preserve">https://ai.nejm.org/doi/full/10.1056/AIdbp2500144</w:t>
        </w:r>
      </w:hyperlink>
    </w:p>
    <w:bookmarkEnd w:id="264"/>
    <w:bookmarkStart w:id="266" w:name="ref-wu2024a"/>
    <w:p>
      <w:pPr>
        <w:pStyle w:val="Bibliography"/>
      </w:pPr>
      <w:r>
        <w:t xml:space="preserve">86.</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65">
        <w:r>
          <w:rPr>
            <w:rStyle w:val="Hyperlink"/>
          </w:rPr>
          <w:t xml:space="preserve">https://www.nature.com/articles/s41746-024-01390-4</w:t>
        </w:r>
      </w:hyperlink>
    </w:p>
    <w:bookmarkEnd w:id="266"/>
    <w:bookmarkStart w:id="268" w:name="ref-blaskovic2025"/>
    <w:p>
      <w:pPr>
        <w:pStyle w:val="Bibliography"/>
      </w:pPr>
      <w:r>
        <w:t xml:space="preserve">87.</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67">
        <w:r>
          <w:rPr>
            <w:rStyle w:val="Hyperlink"/>
          </w:rPr>
          <w:t xml:space="preserve">https://www.mdpi.com/2504-2289/9/10/256</w:t>
        </w:r>
      </w:hyperlink>
    </w:p>
    <w:bookmarkEnd w:id="268"/>
    <w:bookmarkStart w:id="270" w:name="ref-wang2020"/>
    <w:p>
      <w:pPr>
        <w:pStyle w:val="Bibliography"/>
      </w:pPr>
      <w:r>
        <w:t xml:space="preserve">88.</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69">
        <w:r>
          <w:rPr>
            <w:rStyle w:val="Hyperlink"/>
          </w:rPr>
          <w:t xml:space="preserve">https://arxiv.org/abs/1908.01839</w:t>
        </w:r>
      </w:hyperlink>
    </w:p>
    <w:bookmarkEnd w:id="270"/>
    <w:bookmarkStart w:id="272" w:name="ref-lee2023"/>
    <w:p>
      <w:pPr>
        <w:pStyle w:val="Bibliography"/>
      </w:pPr>
      <w:r>
        <w:t xml:space="preserve">89.</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71">
        <w:r>
          <w:rPr>
            <w:rStyle w:val="Hyperlink"/>
          </w:rPr>
          <w:t xml:space="preserve">https://arxiv.org/abs/2301.07695</w:t>
        </w:r>
      </w:hyperlink>
    </w:p>
    <w:bookmarkEnd w:id="272"/>
    <w:bookmarkStart w:id="274" w:name="ref-sivasubramaniam2024"/>
    <w:p>
      <w:pPr>
        <w:pStyle w:val="Bibliography"/>
      </w:pPr>
      <w:r>
        <w:t xml:space="preserve">90.</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73">
        <w:r>
          <w:rPr>
            <w:rStyle w:val="Hyperlink"/>
          </w:rPr>
          <w:t xml:space="preserve">https://arxiv.org/abs/2411.05521</w:t>
        </w:r>
      </w:hyperlink>
    </w:p>
    <w:bookmarkEnd w:id="274"/>
    <w:bookmarkStart w:id="276" w:name="ref-lee2025"/>
    <w:p>
      <w:pPr>
        <w:pStyle w:val="Bibliography"/>
      </w:pPr>
      <w:r>
        <w:t xml:space="preserve">91.</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75">
        <w:r>
          <w:rPr>
            <w:rStyle w:val="Hyperlink"/>
          </w:rPr>
          <w:t xml:space="preserve">https://arxiv.org/abs/2511.17559</w:t>
        </w:r>
      </w:hyperlink>
    </w:p>
    <w:bookmarkEnd w:id="276"/>
    <w:bookmarkStart w:id="278" w:name="ref-chen2025"/>
    <w:p>
      <w:pPr>
        <w:pStyle w:val="Bibliography"/>
      </w:pPr>
      <w:r>
        <w:t xml:space="preserve">92.</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77">
        <w:r>
          <w:rPr>
            <w:rStyle w:val="Hyperlink"/>
          </w:rPr>
          <w:t xml:space="preserve">https://www.sciencedirect.com/science/article/pii/S0031320324008197</w:t>
        </w:r>
      </w:hyperlink>
    </w:p>
    <w:bookmarkEnd w:id="278"/>
    <w:bookmarkStart w:id="280" w:name="ref-dadi2025"/>
    <w:p>
      <w:pPr>
        <w:pStyle w:val="Bibliography"/>
      </w:pPr>
      <w:r>
        <w:t xml:space="preserve">93.</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79">
        <w:r>
          <w:rPr>
            <w:rStyle w:val="Hyperlink"/>
          </w:rPr>
          <w:t xml:space="preserve">https://al-kindipublisher.com/index.php/jcsts/article/view/9694</w:t>
        </w:r>
      </w:hyperlink>
    </w:p>
    <w:bookmarkEnd w:id="280"/>
    <w:bookmarkStart w:id="282" w:name="ref-yuan2019"/>
    <w:p>
      <w:pPr>
        <w:pStyle w:val="Bibliography"/>
      </w:pPr>
      <w:r>
        <w:t xml:space="preserve">94.</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81">
        <w:r>
          <w:rPr>
            <w:rStyle w:val="Hyperlink"/>
          </w:rPr>
          <w:t xml:space="preserve">https://academic.oup.com/jamia/article-abstract/26/4/294/5308980</w:t>
        </w:r>
      </w:hyperlink>
    </w:p>
    <w:bookmarkEnd w:id="282"/>
    <w:bookmarkStart w:id="284" w:name="ref-park2024"/>
    <w:p>
      <w:pPr>
        <w:pStyle w:val="Bibliography"/>
      </w:pPr>
      <w:r>
        <w:t xml:space="preserve">95.</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83">
        <w:r>
          <w:rPr>
            <w:rStyle w:val="Hyperlink"/>
          </w:rPr>
          <w:t xml:space="preserve">https://www.sciencedirect.com/science/article/pii/S1532046424000650</w:t>
        </w:r>
      </w:hyperlink>
    </w:p>
    <w:bookmarkEnd w:id="284"/>
    <w:bookmarkStart w:id="286" w:name="ref-ipeirotis2025"/>
    <w:p>
      <w:pPr>
        <w:pStyle w:val="Bibliography"/>
      </w:pPr>
      <w:r>
        <w:t xml:space="preserve">96.</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85">
        <w:r>
          <w:rPr>
            <w:rStyle w:val="Hyperlink"/>
          </w:rPr>
          <w:t xml:space="preserve">https://arxiv.org/abs/2511.14718</w:t>
        </w:r>
      </w:hyperlink>
    </w:p>
    <w:bookmarkEnd w:id="286"/>
    <w:bookmarkStart w:id="288" w:name="ref-shah2020"/>
    <w:p>
      <w:pPr>
        <w:pStyle w:val="Bibliography"/>
      </w:pPr>
      <w:r>
        <w:t xml:space="preserve">97.</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87">
        <w:r>
          <w:rPr>
            <w:rStyle w:val="Hyperlink"/>
          </w:rPr>
          <w:t xml:space="preserve">https://dl.acm.org/doi/abs/10.1145/3318464.3389777</w:t>
        </w:r>
      </w:hyperlink>
    </w:p>
    <w:bookmarkEnd w:id="288"/>
    <w:bookmarkStart w:id="290" w:name="ref-safari2014"/>
    <w:p>
      <w:pPr>
        <w:pStyle w:val="Bibliography"/>
      </w:pPr>
      <w:r>
        <w:t xml:space="preserve">98.</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289">
        <w:r>
          <w:rPr>
            <w:rStyle w:val="Hyperlink"/>
          </w:rPr>
          <w:t xml:space="preserve">https://www.sciencedirect.com/science/article/pii/S1532046414001592</w:t>
        </w:r>
      </w:hyperlink>
    </w:p>
    <w:bookmarkEnd w:id="290"/>
    <w:bookmarkStart w:id="292" w:name="ref-han2019"/>
    <w:p>
      <w:pPr>
        <w:pStyle w:val="Bibliography"/>
      </w:pPr>
      <w:r>
        <w:t xml:space="preserve">99.</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291">
        <w:r>
          <w:rPr>
            <w:rStyle w:val="Hyperlink"/>
          </w:rPr>
          <w:t xml:space="preserve">https://medinform.jmir.org/2019/3/e13331</w:t>
        </w:r>
      </w:hyperlink>
    </w:p>
    <w:bookmarkEnd w:id="292"/>
    <w:bookmarkStart w:id="294" w:name="ref-marshan2024"/>
    <w:p>
      <w:pPr>
        <w:pStyle w:val="Bibliography"/>
      </w:pPr>
      <w:r>
        <w:t xml:space="preserve">100.</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293">
        <w:r>
          <w:rPr>
            <w:rStyle w:val="Hyperlink"/>
          </w:rPr>
          <w:t xml:space="preserve">https://www.frontiersin.org/articles/10.3389/fdata.2024.1371680</w:t>
        </w:r>
      </w:hyperlink>
    </w:p>
    <w:bookmarkEnd w:id="294"/>
    <w:bookmarkStart w:id="296" w:name="ref-saha2023"/>
    <w:p>
      <w:pPr>
        <w:pStyle w:val="Bibliography"/>
      </w:pPr>
      <w:r>
        <w:t xml:space="preserve">101.</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295">
        <w:r>
          <w:rPr>
            <w:rStyle w:val="Hyperlink"/>
          </w:rPr>
          <w:t xml:space="preserve">https://www.proquest.com/openview/0d955ee8209664a4447c9995a1b9e721/1?pq-origsite=gscholar&amp;cbl=326365</w:t>
        </w:r>
      </w:hyperlink>
    </w:p>
    <w:bookmarkEnd w:id="296"/>
    <w:bookmarkStart w:id="298" w:name="ref-khandelwal2025"/>
    <w:p>
      <w:pPr>
        <w:pStyle w:val="Bibliography"/>
      </w:pPr>
      <w:r>
        <w:t xml:space="preserve">102.</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297">
        <w:r>
          <w:rPr>
            <w:rStyle w:val="Hyperlink"/>
          </w:rPr>
          <w:t xml:space="preserve">https://sarcouncil.com/2025/06/ai-driven-mainframe-modernization-unlocking-legacy-data-for-cloud-analytics</w:t>
        </w:r>
      </w:hyperlink>
    </w:p>
    <w:bookmarkEnd w:id="298"/>
    <w:bookmarkStart w:id="299" w:name="ref-syed2025"/>
    <w:p>
      <w:pPr>
        <w:pStyle w:val="Bibliography"/>
      </w:pPr>
      <w:r>
        <w:t xml:space="preserve">103.</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Syed Publication; 2025.</w:t>
      </w:r>
      <w:r>
        <w:t xml:space="preserve"> </w:t>
      </w:r>
    </w:p>
    <w:bookmarkEnd w:id="299"/>
    <w:bookmarkStart w:id="301" w:name="ref-samimi2025"/>
    <w:p>
      <w:pPr>
        <w:pStyle w:val="Bibliography"/>
      </w:pPr>
      <w:r>
        <w:t xml:space="preserve">104.</w:t>
      </w:r>
      <w:r>
        <w:t xml:space="preserve"> </w:t>
      </w:r>
      <w:r>
        <w:t xml:space="preserve">	</w:t>
      </w:r>
      <w:r>
        <w:t xml:space="preserve">Samimi R, Bhattacharya A, Gosak L, Stiglic G, Verbert K.</w:t>
      </w:r>
      <w:r>
        <w:t xml:space="preserve"> </w:t>
      </w:r>
      <w:hyperlink r:id="rId300">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301"/>
    <w:bookmarkStart w:id="303" w:name="ref-ruoff2023"/>
    <w:p>
      <w:pPr>
        <w:pStyle w:val="Bibliography"/>
      </w:pPr>
      <w:r>
        <w:t xml:space="preserve">105.</w:t>
      </w:r>
      <w:r>
        <w:t xml:space="preserve"> </w:t>
      </w:r>
      <w:r>
        <w:t xml:space="preserve">	</w:t>
      </w:r>
      <w:r>
        <w:t xml:space="preserve">Ruoff M, Gnewuch U, Maedche A, Scheibehenne B.</w:t>
      </w:r>
      <w:r>
        <w:t xml:space="preserve"> </w:t>
      </w:r>
      <w:hyperlink r:id="rId302">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303"/>
    <w:bookmarkStart w:id="304" w:name="ref-chowdhury2020"/>
    <w:p>
      <w:pPr>
        <w:pStyle w:val="Bibliography"/>
      </w:pPr>
      <w:r>
        <w:t xml:space="preserve">106.</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2020;</w:t>
      </w:r>
      <w:r>
        <w:t xml:space="preserve"> </w:t>
      </w:r>
    </w:p>
    <w:bookmarkEnd w:id="304"/>
    <w:bookmarkStart w:id="305" w:name="ref-holmes2019"/>
    <w:p>
      <w:pPr>
        <w:pStyle w:val="Bibliography"/>
      </w:pPr>
      <w:r>
        <w:t xml:space="preserve">107.</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2019.</w:t>
      </w:r>
      <w:r>
        <w:t xml:space="preserve"> </w:t>
      </w:r>
    </w:p>
    <w:bookmarkEnd w:id="305"/>
    <w:bookmarkStart w:id="307" w:name="ref-milneives2020"/>
    <w:p>
      <w:pPr>
        <w:pStyle w:val="Bibliography"/>
      </w:pPr>
      <w:r>
        <w:t xml:space="preserve">108.</w:t>
      </w:r>
      <w:r>
        <w:t xml:space="preserve"> </w:t>
      </w:r>
      <w:r>
        <w:t xml:space="preserve">	</w:t>
      </w:r>
      <w:r>
        <w:t xml:space="preserve">Milne-Ives DC M.</w:t>
      </w:r>
      <w:r>
        <w:t xml:space="preserve"> </w:t>
      </w:r>
      <w:r>
        <w:t xml:space="preserve">The effectiveness of artificial intelligence conversational agents in health care: systematic review</w:t>
      </w:r>
      <w:r>
        <w:t xml:space="preserve">. Journal of Medical Internet Research [Internet]. 2020; Available from:</w:t>
      </w:r>
      <w:r>
        <w:t xml:space="preserve"> </w:t>
      </w:r>
      <w:hyperlink r:id="rId306">
        <w:r>
          <w:rPr>
            <w:rStyle w:val="Hyperlink"/>
          </w:rPr>
          <w:t xml:space="preserve">https://www.jmir.org/2020/10/e20346/</w:t>
        </w:r>
      </w:hyperlink>
    </w:p>
    <w:bookmarkEnd w:id="307"/>
    <w:bookmarkStart w:id="309" w:name="ref-li2023"/>
    <w:p>
      <w:pPr>
        <w:pStyle w:val="Bibliography"/>
      </w:pPr>
      <w:r>
        <w:t xml:space="preserve">109.</w:t>
      </w:r>
      <w:r>
        <w:t xml:space="preserve"> </w:t>
      </w:r>
      <w:r>
        <w:t xml:space="preserve">	</w:t>
      </w:r>
      <w:r>
        <w:t xml:space="preserve">Li L Y.</w:t>
      </w:r>
      <w:r>
        <w:t xml:space="preserve"> </w:t>
      </w:r>
      <w:r>
        <w:t xml:space="preserve">Feasibility and effectiveness of artificial intelligence-driven conversational agents in healthcare interventions: A systematic review of randomized controlled trials</w:t>
      </w:r>
      <w:r>
        <w:t xml:space="preserve">. International Journal of Medical Informatics [Internet]. 2023; Available from:</w:t>
      </w:r>
      <w:r>
        <w:t xml:space="preserve"> </w:t>
      </w:r>
      <w:hyperlink r:id="rId308">
        <w:r>
          <w:rPr>
            <w:rStyle w:val="Hyperlink"/>
          </w:rPr>
          <w:t xml:space="preserve">https://www.sciencedirect.com/science/article/pii/S1386505623001296</w:t>
        </w:r>
      </w:hyperlink>
    </w:p>
    <w:bookmarkEnd w:id="309"/>
    <w:bookmarkStart w:id="311" w:name="ref-pennington2023"/>
    <w:p>
      <w:pPr>
        <w:pStyle w:val="Bibliography"/>
      </w:pPr>
      <w:r>
        <w:t xml:space="preserve">110.</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10">
        <w:r>
          <w:rPr>
            <w:rStyle w:val="Hyperlink"/>
          </w:rPr>
          <w:t xml:space="preserve">https://mds.marshall.edu/etd/1824/</w:t>
        </w:r>
      </w:hyperlink>
    </w:p>
    <w:bookmarkEnd w:id="311"/>
    <w:bookmarkStart w:id="313" w:name="ref-atobatele2023"/>
    <w:p>
      <w:pPr>
        <w:pStyle w:val="Bibliography"/>
      </w:pPr>
      <w:r>
        <w:t xml:space="preserve">111.</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12">
        <w:r>
          <w:rPr>
            <w:rStyle w:val="Hyperlink"/>
          </w:rPr>
          <w:t xml:space="preserve">https://gisrrj.com/paper/GISRRJ236426.pdf</w:t>
        </w:r>
      </w:hyperlink>
    </w:p>
    <w:bookmarkEnd w:id="313"/>
    <w:bookmarkStart w:id="315" w:name="ref-jiao2023"/>
    <w:p>
      <w:pPr>
        <w:pStyle w:val="Bibliography"/>
      </w:pPr>
      <w:r>
        <w:t xml:space="preserve">112.</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14">
        <w:r>
          <w:rPr>
            <w:rStyle w:val="Hyperlink"/>
          </w:rPr>
          <w:t xml:space="preserve">https://ieeexplore.ieee.org/document/10297311</w:t>
        </w:r>
      </w:hyperlink>
    </w:p>
    <w:bookmarkEnd w:id="315"/>
    <w:bookmarkStart w:id="317" w:name="ref-sezgin2022"/>
    <w:p>
      <w:pPr>
        <w:pStyle w:val="Bibliography"/>
      </w:pPr>
      <w:r>
        <w:t xml:space="preserve">113.</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16">
        <w:r>
          <w:rPr>
            <w:rStyle w:val="Hyperlink"/>
          </w:rPr>
          <w:t xml:space="preserve">https://medinform.jmir.org/2022/2/e32875</w:t>
        </w:r>
      </w:hyperlink>
    </w:p>
    <w:bookmarkEnd w:id="317"/>
    <w:bookmarkStart w:id="319" w:name="ref-elkamouchi2023"/>
    <w:p>
      <w:pPr>
        <w:pStyle w:val="Bibliography"/>
      </w:pPr>
      <w:r>
        <w:t xml:space="preserve">114.</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18">
        <w:r>
          <w:rPr>
            <w:rStyle w:val="Hyperlink"/>
          </w:rPr>
          <w:t xml:space="preserve">https://ieeexplore.ieee.org/abstract/document/10373712/</w:t>
        </w:r>
      </w:hyperlink>
    </w:p>
    <w:bookmarkEnd w:id="319"/>
    <w:bookmarkStart w:id="321" w:name="ref-mogili2025"/>
    <w:p>
      <w:pPr>
        <w:pStyle w:val="Bibliography"/>
      </w:pPr>
      <w:r>
        <w:t xml:space="preserve">115.</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20">
        <w:r>
          <w:rPr>
            <w:rStyle w:val="Hyperlink"/>
          </w:rPr>
          <w:t xml:space="preserve">https://sarcouncil.com/download-article/SJECS-209-_2025-630-636.pdf</w:t>
        </w:r>
      </w:hyperlink>
    </w:p>
    <w:bookmarkEnd w:id="321"/>
    <w:bookmarkStart w:id="323" w:name="ref-pervaiz2025"/>
    <w:p>
      <w:pPr>
        <w:pStyle w:val="Bibliography"/>
      </w:pPr>
      <w:r>
        <w:t xml:space="preserve">116.</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22">
        <w:r>
          <w:rPr>
            <w:rStyle w:val="Hyperlink"/>
          </w:rPr>
          <w:t xml:space="preserve">https://imjstb.com/index.php/Journal/article/view/95</w:t>
        </w:r>
      </w:hyperlink>
    </w:p>
    <w:bookmarkEnd w:id="323"/>
    <w:bookmarkStart w:id="325" w:name="ref-richesson2007"/>
    <w:p>
      <w:pPr>
        <w:pStyle w:val="Bibliography"/>
      </w:pPr>
      <w:r>
        <w:t xml:space="preserve">117.</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24">
        <w:r>
          <w:rPr>
            <w:rStyle w:val="Hyperlink"/>
          </w:rPr>
          <w:t xml:space="preserve">https://academic.oup.com/jamia/article/14/6/687/750453</w:t>
        </w:r>
      </w:hyperlink>
    </w:p>
    <w:bookmarkEnd w:id="325"/>
    <w:bookmarkStart w:id="327" w:name="ref-zheng2020"/>
    <w:p>
      <w:pPr>
        <w:pStyle w:val="Bibliography"/>
      </w:pPr>
      <w:r>
        <w:t xml:space="preserve">118.</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26">
        <w:r>
          <w:rPr>
            <w:rStyle w:val="Hyperlink"/>
          </w:rPr>
          <w:t xml:space="preserve">https://www.acpjournals.org/doi/10.7326/M19-0871</w:t>
        </w:r>
      </w:hyperlink>
    </w:p>
    <w:bookmarkEnd w:id="327"/>
    <w:bookmarkStart w:id="329" w:name="ref-bogaert2021"/>
    <w:p>
      <w:pPr>
        <w:pStyle w:val="Bibliography"/>
      </w:pPr>
      <w:r>
        <w:t xml:space="preserve">119.</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28">
        <w:r>
          <w:rPr>
            <w:rStyle w:val="Hyperlink"/>
          </w:rPr>
          <w:t xml:space="preserve">https://www.sciencedirect.com/science/article/pii/S0168851021002396</w:t>
        </w:r>
      </w:hyperlink>
    </w:p>
    <w:bookmarkEnd w:id="329"/>
    <w:bookmarkStart w:id="331" w:name="ref-strickland2019"/>
    <w:p>
      <w:pPr>
        <w:pStyle w:val="Bibliography"/>
      </w:pPr>
      <w:r>
        <w:t xml:space="preserve">120.</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30">
        <w:r>
          <w:rPr>
            <w:rStyle w:val="Hyperlink"/>
          </w:rPr>
          <w:t xml:space="preserve">https://ieeexplore.ieee.org/abstract/document/8678513/</w:t>
        </w:r>
      </w:hyperlink>
    </w:p>
    <w:bookmarkEnd w:id="331"/>
    <w:bookmarkStart w:id="333" w:name="ref-yang2020"/>
    <w:p>
      <w:pPr>
        <w:pStyle w:val="Bibliography"/>
      </w:pPr>
      <w:r>
        <w:t xml:space="preserve">121.</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32">
        <w:r>
          <w:rPr>
            <w:rStyle w:val="Hyperlink"/>
          </w:rPr>
          <w:t xml:space="preserve">https://oulurepo.oulu.fi/bitstream/handle/10024/27921/nbnfi-fe2020050424858.pdf</w:t>
        </w:r>
      </w:hyperlink>
    </w:p>
    <w:bookmarkEnd w:id="333"/>
    <w:bookmarkStart w:id="335" w:name="ref-acchiardo2021"/>
    <w:p>
      <w:pPr>
        <w:pStyle w:val="Bibliography"/>
      </w:pPr>
      <w:r>
        <w:t xml:space="preserve">122.</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34">
        <w:r>
          <w:rPr>
            <w:rStyle w:val="Hyperlink"/>
          </w:rPr>
          <w:t xml:space="preserve">https://www.academicradiology.org/article/S1076-6332(21)00140-9/abstract</w:t>
        </w:r>
      </w:hyperlink>
    </w:p>
    <w:bookmarkEnd w:id="335"/>
    <w:bookmarkStart w:id="337" w:name="ref-ozalp2022"/>
    <w:p>
      <w:pPr>
        <w:pStyle w:val="Bibliography"/>
      </w:pPr>
      <w:r>
        <w:t xml:space="preserve">123.</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36">
        <w:r>
          <w:rPr>
            <w:rStyle w:val="Hyperlink"/>
          </w:rPr>
          <w:t xml:space="preserve">https://journals.sagepub.com/doi/abs/10.1177/00081256221094307</w:t>
        </w:r>
      </w:hyperlink>
    </w:p>
    <w:bookmarkEnd w:id="337"/>
    <w:bookmarkStart w:id="339" w:name="ref-alukal2006"/>
    <w:p>
      <w:pPr>
        <w:pStyle w:val="Bibliography"/>
      </w:pPr>
      <w:r>
        <w:t xml:space="preserve">124.</w:t>
      </w:r>
      <w:r>
        <w:t xml:space="preserve"> </w:t>
      </w:r>
      <w:r>
        <w:t xml:space="preserve">	</w:t>
      </w:r>
      <w:r>
        <w:t xml:space="preserve">Alukal VG, Manos A. Lean kaizen: A simplified approach to process improvement [Internet]. Milwaukee, WI: ASQ Quality Press; 2006. Available from:</w:t>
      </w:r>
      <w:r>
        <w:t xml:space="preserve"> </w:t>
      </w:r>
      <w:hyperlink r:id="rId338">
        <w:r>
          <w:rPr>
            <w:rStyle w:val="Hyperlink"/>
          </w:rPr>
          <w:t xml:space="preserve">https://books.google.com/books?id=9uqiEAAAQBAJ</w:t>
        </w:r>
      </w:hyperlink>
    </w:p>
    <w:bookmarkEnd w:id="339"/>
    <w:bookmarkStart w:id="341" w:name="ref-mannapur2025"/>
    <w:p>
      <w:pPr>
        <w:pStyle w:val="Bibliography"/>
      </w:pPr>
      <w:r>
        <w:t xml:space="preserve">125.</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40">
        <w:r>
          <w:rPr>
            <w:rStyle w:val="Hyperlink"/>
          </w:rPr>
          <w:t xml:space="preserve">https://www.quantbeckman.com/api/v1/file/5b240742-bf0d-4f8c-a0f9-cb29fab42611.pdf</w:t>
        </w:r>
      </w:hyperlink>
    </w:p>
    <w:bookmarkEnd w:id="341"/>
    <w:bookmarkStart w:id="343" w:name="ref-yupopa2005"/>
    <w:p>
      <w:pPr>
        <w:pStyle w:val="Bibliography"/>
      </w:pPr>
      <w:r>
        <w:t xml:space="preserve">126.</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42">
        <w:r>
          <w:rPr>
            <w:rStyle w:val="Hyperlink"/>
          </w:rPr>
          <w:t xml:space="preserve">https://mail.vldb.org/archives/website/2005/program/paper/fri/p1006-yu.pdf</w:t>
        </w:r>
      </w:hyperlink>
    </w:p>
    <w:bookmarkEnd w:id="343"/>
    <w:bookmarkStart w:id="345" w:name="ref-oliveira2023"/>
    <w:p>
      <w:pPr>
        <w:pStyle w:val="Bibliography"/>
      </w:pPr>
      <w:r>
        <w:t xml:space="preserve">127.</w:t>
      </w:r>
      <w:r>
        <w:t xml:space="preserve"> </w:t>
      </w:r>
      <w:r>
        <w:t xml:space="preserve">	</w:t>
      </w:r>
      <w:r>
        <w:t xml:space="preserve">Oliveira MAP et al. Semantic modelling for enterprise data governance 4.0. arXiv preprint arXiv:231102082 [Internet]. 2023; Available from:</w:t>
      </w:r>
      <w:r>
        <w:t xml:space="preserve"> </w:t>
      </w:r>
      <w:hyperlink r:id="rId344">
        <w:r>
          <w:rPr>
            <w:rStyle w:val="Hyperlink"/>
          </w:rPr>
          <w:t xml:space="preserve">https://arxiv.org/pdf/2311.02082</w:t>
        </w:r>
      </w:hyperlink>
    </w:p>
    <w:bookmarkEnd w:id="345"/>
    <w:bookmarkStart w:id="346" w:name="ref-sivaranjani2025"/>
    <w:p>
      <w:pPr>
        <w:pStyle w:val="Bibliography"/>
      </w:pPr>
      <w:r>
        <w:t xml:space="preserve">128.</w:t>
      </w:r>
      <w:r>
        <w:t xml:space="preserve"> </w:t>
      </w:r>
      <w:r>
        <w:t xml:space="preserve">	</w:t>
      </w:r>
      <w:r>
        <w:t xml:space="preserve">Sivaranjani S, Tharunika V.</w:t>
      </w:r>
      <w:r>
        <w:t xml:space="preserve"> </w:t>
      </w:r>
      <w:r>
        <w:t xml:space="preserve">Semantic Web for Addressing Data Integration Challenges</w:t>
      </w:r>
      <w:r>
        <w:t xml:space="preserve">. Taylor &amp; Francis; 2025.</w:t>
      </w:r>
      <w:r>
        <w:t xml:space="preserve"> </w:t>
      </w:r>
    </w:p>
    <w:bookmarkEnd w:id="346"/>
    <w:bookmarkStart w:id="348" w:name="ref-battula2025"/>
    <w:p>
      <w:pPr>
        <w:pStyle w:val="Bibliography"/>
      </w:pPr>
      <w:r>
        <w:t xml:space="preserve">129.</w:t>
      </w:r>
      <w:r>
        <w:t xml:space="preserve"> </w:t>
      </w:r>
      <w:r>
        <w:t xml:space="preserve">	</w:t>
      </w:r>
      <w:r>
        <w:t xml:space="preserve">Battula SKY.</w:t>
      </w:r>
      <w:r>
        <w:t xml:space="preserve"> </w:t>
      </w:r>
      <w:hyperlink r:id="rId347">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48"/>
    <w:bookmarkStart w:id="350" w:name="ref-lenz2007"/>
    <w:p>
      <w:pPr>
        <w:pStyle w:val="Bibliography"/>
      </w:pPr>
      <w:r>
        <w:t xml:space="preserve">130.</w:t>
      </w:r>
      <w:r>
        <w:t xml:space="preserve"> </w:t>
      </w:r>
      <w:r>
        <w:t xml:space="preserve">	</w:t>
      </w:r>
      <w:r>
        <w:t xml:space="preserve">Lenz R, Beyer M, Kuhn KA.</w:t>
      </w:r>
      <w:r>
        <w:t xml:space="preserve"> </w:t>
      </w:r>
      <w:hyperlink r:id="rId349">
        <w:r>
          <w:rPr>
            <w:rStyle w:val="Hyperlink"/>
          </w:rPr>
          <w:t xml:space="preserve">Semantic integration in healthcare networks</w:t>
        </w:r>
      </w:hyperlink>
      <w:r>
        <w:t xml:space="preserve">. International Journal of Medical Informatics. 2007;76(2-3):201–7.</w:t>
      </w:r>
      <w:r>
        <w:t xml:space="preserve"> </w:t>
      </w:r>
    </w:p>
    <w:bookmarkEnd w:id="350"/>
    <w:bookmarkStart w:id="352" w:name="ref-whittaker2008"/>
    <w:p>
      <w:pPr>
        <w:pStyle w:val="Bibliography"/>
      </w:pPr>
      <w:r>
        <w:t xml:space="preserve">131.</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51">
        <w:r>
          <w:rPr>
            <w:rStyle w:val="Hyperlink"/>
          </w:rPr>
          <w:t xml:space="preserve">https://www.academia.edu/download/41283190/Design_and_evaluation_of_systems_to_supp20160117-25708-98zc50.pdf</w:t>
        </w:r>
      </w:hyperlink>
    </w:p>
    <w:bookmarkEnd w:id="352"/>
    <w:bookmarkStart w:id="354" w:name="ref-moore2018"/>
    <w:p>
      <w:pPr>
        <w:pStyle w:val="Bibliography"/>
      </w:pPr>
      <w:r>
        <w:t xml:space="preserve">132.</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53">
        <w:r>
          <w:rPr>
            <w:rStyle w:val="Hyperlink"/>
          </w:rPr>
          <w:t xml:space="preserve">https://wendyju.com/publications/18_ijee3593.pdf</w:t>
        </w:r>
      </w:hyperlink>
    </w:p>
    <w:bookmarkEnd w:id="354"/>
    <w:bookmarkStart w:id="356" w:name="ref-zimmermann2017"/>
    <w:p>
      <w:pPr>
        <w:pStyle w:val="Bibliography"/>
      </w:pPr>
      <w:r>
        <w:t xml:space="preserve">133.</w:t>
      </w:r>
      <w:r>
        <w:t xml:space="preserve"> </w:t>
      </w:r>
      <w:r>
        <w:t xml:space="preserve">	</w:t>
      </w:r>
      <w:r>
        <w:t xml:space="preserve">Zimmermann S, Rentrop C, Felden C.</w:t>
      </w:r>
      <w:r>
        <w:t xml:space="preserve"> </w:t>
      </w:r>
      <w:hyperlink r:id="rId355">
        <w:r>
          <w:rPr>
            <w:rStyle w:val="Hyperlink"/>
          </w:rPr>
          <w:t xml:space="preserve">A Multiple Case Study on the Nature and Management of Shadow Information Technology</w:t>
        </w:r>
      </w:hyperlink>
      <w:r>
        <w:t xml:space="preserve">. Journal of Information Systems. 2017;31(1):79–101.</w:t>
      </w:r>
      <w:r>
        <w:t xml:space="preserve"> </w:t>
      </w:r>
    </w:p>
    <w:bookmarkEnd w:id="356"/>
    <w:bookmarkStart w:id="358" w:name="ref-rivard1987"/>
    <w:p>
      <w:pPr>
        <w:pStyle w:val="Bibliography"/>
      </w:pPr>
      <w:r>
        <w:t xml:space="preserve">134.</w:t>
      </w:r>
      <w:r>
        <w:t xml:space="preserve"> </w:t>
      </w:r>
      <w:r>
        <w:t xml:space="preserve">	</w:t>
      </w:r>
      <w:r>
        <w:t xml:space="preserve">Rivard S.</w:t>
      </w:r>
      <w:r>
        <w:t xml:space="preserve"> </w:t>
      </w:r>
      <w:hyperlink r:id="rId357">
        <w:r>
          <w:rPr>
            <w:rStyle w:val="Hyperlink"/>
          </w:rPr>
          <w:t xml:space="preserve">Successful Implementation of End-User Computing</w:t>
        </w:r>
      </w:hyperlink>
      <w:r>
        <w:t xml:space="preserve">. Interfaces. 1987;17(3):25–33.</w:t>
      </w:r>
      <w:r>
        <w:t xml:space="preserve"> </w:t>
      </w:r>
    </w:p>
    <w:bookmarkEnd w:id="358"/>
    <w:bookmarkStart w:id="360" w:name="ref-kopper2020"/>
    <w:p>
      <w:pPr>
        <w:pStyle w:val="Bibliography"/>
      </w:pPr>
      <w:r>
        <w:t xml:space="preserve">135.</w:t>
      </w:r>
      <w:r>
        <w:t xml:space="preserve"> </w:t>
      </w:r>
      <w:r>
        <w:t xml:space="preserve">	</w:t>
      </w:r>
      <w:r>
        <w:t xml:space="preserve">Kopper A, Westner M, Strahringer S.</w:t>
      </w:r>
      <w:r>
        <w:t xml:space="preserve"> </w:t>
      </w:r>
      <w:hyperlink r:id="rId359">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60"/>
    <w:bookmarkStart w:id="362" w:name="ref-himss2025ucdavis"/>
    <w:p>
      <w:pPr>
        <w:pStyle w:val="Bibliography"/>
      </w:pPr>
      <w:r>
        <w:t xml:space="preserve">136.</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61">
        <w:r>
          <w:rPr>
            <w:rStyle w:val="Hyperlink"/>
          </w:rPr>
          <w:t xml:space="preserve">https://pages.himss.org/LP-HA-Case-Study-UC-Davis.html</w:t>
        </w:r>
      </w:hyperlink>
    </w:p>
    <w:bookmarkEnd w:id="362"/>
    <w:bookmarkEnd w:id="363"/>
    <w:bookmarkEnd w:id="364"/>
    <w:bookmarkStart w:id="371" w:name="appendices"/>
    <w:p>
      <w:pPr>
        <w:pStyle w:val="Heading1"/>
      </w:pPr>
      <w:r>
        <w:rPr>
          <w:rStyle w:val="SectionNumber"/>
        </w:rPr>
        <w:t xml:space="preserve">15</w:t>
      </w:r>
      <w:r>
        <w:tab/>
      </w:r>
      <w:r>
        <w:t xml:space="preserve">Appendices</w:t>
      </w:r>
    </w:p>
    <w:bookmarkStart w:id="365" w:name="appendix-a-healthcare-analytics-glossary"/>
    <w:p>
      <w:pPr>
        <w:pStyle w:val="Heading2"/>
      </w:pPr>
      <w:r>
        <w:rPr>
          <w:rStyle w:val="SectionNumber"/>
        </w:rPr>
        <w:t xml:space="preserve">15.1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365"/>
    <w:bookmarkStart w:id="366" w:name="Xda282ad3909d53d8ac6252a99a3daf0ffe2dfbb"/>
    <w:p>
      <w:pPr>
        <w:pStyle w:val="Heading2"/>
      </w:pPr>
      <w:r>
        <w:rPr>
          <w:rStyle w:val="SectionNumber"/>
        </w:rPr>
        <w:t xml:space="preserve">15.2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366"/>
    <w:bookmarkStart w:id="370" w:name="Xbfd30549e6247e2f3e5132a039875af0e2849bb"/>
    <w:p>
      <w:pPr>
        <w:pStyle w:val="Heading2"/>
      </w:pPr>
      <w:r>
        <w:rPr>
          <w:rStyle w:val="SectionNumber"/>
        </w:rPr>
        <w:t xml:space="preserve">15.3</w:t>
      </w:r>
      <w:r>
        <w:tab/>
      </w:r>
      <w:r>
        <w:t xml:space="preserve">Appendix C: Healthcare NL2SQL Query Examples</w:t>
      </w:r>
    </w:p>
    <w:bookmarkStart w:id="367" w:name="patient-population-analysis"/>
    <w:p>
      <w:pPr>
        <w:pStyle w:val="Heading3"/>
      </w:pPr>
      <w:r>
        <w:rPr>
          <w:rStyle w:val="SectionNumber"/>
        </w:rPr>
        <w:t xml:space="preserve">15.3.1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367"/>
    <w:bookmarkStart w:id="368" w:name="X4f3204a1a55f74fb94aff14df64c2c9789526a0"/>
    <w:p>
      <w:pPr>
        <w:pStyle w:val="Heading3"/>
      </w:pPr>
      <w:r>
        <w:rPr>
          <w:rStyle w:val="SectionNumber"/>
        </w:rPr>
        <w:t xml:space="preserve">15.3.2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368"/>
    <w:bookmarkStart w:id="369" w:name="quality-metrics"/>
    <w:p>
      <w:pPr>
        <w:pStyle w:val="Heading3"/>
      </w:pPr>
      <w:r>
        <w:rPr>
          <w:rStyle w:val="SectionNumber"/>
        </w:rPr>
        <w:t xml:space="preserve">15.3.3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69"/>
    <w:bookmarkEnd w:id="370"/>
    <w:bookmarkEnd w:id="3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1" Target="https://academic.oup.com/jamia/article-abstract/26/4/294/5308980" TargetMode="External" /><Relationship Type="http://schemas.openxmlformats.org/officeDocument/2006/relationships/hyperlink" Id="rId324" Target="https://academic.oup.com/jamia/article/14/6/687/750453" TargetMode="External" /><Relationship Type="http://schemas.openxmlformats.org/officeDocument/2006/relationships/hyperlink" Id="rId237" Target="https://academic.oup.com/jpart/advance-article-abstract/doi/10.1093/jopart/muaf019/8162522" TargetMode="External" /><Relationship Type="http://schemas.openxmlformats.org/officeDocument/2006/relationships/hyperlink" Id="rId123" Target="https://academic.oup.com/jpubhealth" TargetMode="External" /><Relationship Type="http://schemas.openxmlformats.org/officeDocument/2006/relationships/hyperlink" Id="rId263" Target="https://ai.nejm.org/doi/full/10.1056/AIdbp2500144" TargetMode="External" /><Relationship Type="http://schemas.openxmlformats.org/officeDocument/2006/relationships/hyperlink" Id="rId279" Target="https://al-kindipublisher.com/index.php/jcsts/article/view/9694" TargetMode="External" /><Relationship Type="http://schemas.openxmlformats.org/officeDocument/2006/relationships/hyperlink" Id="rId119" Target="https://api.wittkieffer.com/wp-content/uploads/2012/10/cio-insights-the-state-of-healthcare-it-leadership-wittkieffer-october-2024.pdf" TargetMode="External" /><Relationship Type="http://schemas.openxmlformats.org/officeDocument/2006/relationships/hyperlink" Id="rId269" Target="https://arxiv.org/abs/1908.01839" TargetMode="External" /><Relationship Type="http://schemas.openxmlformats.org/officeDocument/2006/relationships/hyperlink" Id="rId271" Target="https://arxiv.org/abs/2301.07695" TargetMode="External" /><Relationship Type="http://schemas.openxmlformats.org/officeDocument/2006/relationships/hyperlink" Id="rId150" Target="https://arxiv.org/abs/2403.09226" TargetMode="External" /><Relationship Type="http://schemas.openxmlformats.org/officeDocument/2006/relationships/hyperlink" Id="rId273" Target="https://arxiv.org/abs/2411.05521" TargetMode="External" /><Relationship Type="http://schemas.openxmlformats.org/officeDocument/2006/relationships/hyperlink" Id="rId261" Target="https://arxiv.org/abs/2505.08775" TargetMode="External" /><Relationship Type="http://schemas.openxmlformats.org/officeDocument/2006/relationships/hyperlink" Id="rId259" Target="https://arxiv.org/abs/2508.08224" TargetMode="External" /><Relationship Type="http://schemas.openxmlformats.org/officeDocument/2006/relationships/hyperlink" Id="rId285" Target="https://arxiv.org/abs/2511.14718" TargetMode="External" /><Relationship Type="http://schemas.openxmlformats.org/officeDocument/2006/relationships/hyperlink" Id="rId275" Target="https://arxiv.org/abs/2511.17559" TargetMode="External" /><Relationship Type="http://schemas.openxmlformats.org/officeDocument/2006/relationships/hyperlink" Id="rId344" Target="https://arxiv.org/pdf/2311.02082" TargetMode="External" /><Relationship Type="http://schemas.openxmlformats.org/officeDocument/2006/relationships/hyperlink" Id="rId338" Target="https://books.google.com/books?id=9uqiEAAAQBAJ" TargetMode="External" /><Relationship Type="http://schemas.openxmlformats.org/officeDocument/2006/relationships/hyperlink" Id="rId125" Target="https://dl.acm.org/doi/10.1145/1017114.1017118" TargetMode="External" /><Relationship Type="http://schemas.openxmlformats.org/officeDocument/2006/relationships/hyperlink" Id="rId132" Target="https://dl.acm.org/doi/abs/10.1145/320251.320253" TargetMode="External" /><Relationship Type="http://schemas.openxmlformats.org/officeDocument/2006/relationships/hyperlink" Id="rId287" Target="https://dl.acm.org/doi/abs/10.1145/3318464.3389777" TargetMode="External" /><Relationship Type="http://schemas.openxmlformats.org/officeDocument/2006/relationships/hyperlink" Id="rId359" Target="https://doi.org/10.1007/s10257-020-00472-y" TargetMode="External" /><Relationship Type="http://schemas.openxmlformats.org/officeDocument/2006/relationships/hyperlink" Id="rId182"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49" Target="https://doi.org/10.1016/j.ijmedinf.2006.05.008" TargetMode="External" /><Relationship Type="http://schemas.openxmlformats.org/officeDocument/2006/relationships/hyperlink" Id="rId176" Target="https://doi.org/10.1108/JKM-08-2016-0338" TargetMode="External" /><Relationship Type="http://schemas.openxmlformats.org/officeDocument/2006/relationships/hyperlink" Id="rId300" Target="https://doi.org/10.1145/3670653.3670660" TargetMode="External" /><Relationship Type="http://schemas.openxmlformats.org/officeDocument/2006/relationships/hyperlink" Id="rId172" Target="https://doi.org/10.1177/0165551506070706" TargetMode="External" /><Relationship Type="http://schemas.openxmlformats.org/officeDocument/2006/relationships/hyperlink" Id="rId357" Target="https://doi.org/10.1287/inte.17.3.25" TargetMode="External" /><Relationship Type="http://schemas.openxmlformats.org/officeDocument/2006/relationships/hyperlink" Id="rId302" Target="https://doi.org/10.17705/1jais.00801" TargetMode="External" /><Relationship Type="http://schemas.openxmlformats.org/officeDocument/2006/relationships/hyperlink" Id="rId355" Target="https://doi.org/10.2308/isys-51517" TargetMode="External" /><Relationship Type="http://schemas.openxmlformats.org/officeDocument/2006/relationships/hyperlink" Id="rId140" Target="https://doi.org/10.25163/business.1110345" TargetMode="External" /><Relationship Type="http://schemas.openxmlformats.org/officeDocument/2006/relationships/hyperlink" Id="rId347" Target="https://doi.org/10.63282/3050-9262.IJAIDSML-V6I4P130" TargetMode="External" /><Relationship Type="http://schemas.openxmlformats.org/officeDocument/2006/relationships/hyperlink" Id="rId152" Target="https://dspace.flinders.edu.au/jspui/bitstream/2328/3326/4/AACODS_Checklist.pdf" TargetMode="External" /><Relationship Type="http://schemas.openxmlformats.org/officeDocument/2006/relationships/hyperlink" Id="rId312" Target="https://gisrrj.com/paper/GISRRJ236426.pdf" TargetMode="External" /><Relationship Type="http://schemas.openxmlformats.org/officeDocument/2006/relationships/hyperlink" Id="rId243" Target="https://human-resources-health.biomedcentral.com/articles/10.1186/1478-4491-11-35" TargetMode="External" /><Relationship Type="http://schemas.openxmlformats.org/officeDocument/2006/relationships/hyperlink" Id="rId158" Target="https://ia.berkshirehealthcare.nhs.uk/citizen-developer-programme" TargetMode="External" /><Relationship Type="http://schemas.openxmlformats.org/officeDocument/2006/relationships/hyperlink" Id="rId318" Target="https://ieeexplore.ieee.org/abstract/document/10373712/" TargetMode="External" /><Relationship Type="http://schemas.openxmlformats.org/officeDocument/2006/relationships/hyperlink" Id="rId330" Target="https://ieeexplore.ieee.org/abstract/document/8678513/" TargetMode="External" /><Relationship Type="http://schemas.openxmlformats.org/officeDocument/2006/relationships/hyperlink" Id="rId314" Target="https://ieeexplore.ieee.org/document/10297311" TargetMode="External" /><Relationship Type="http://schemas.openxmlformats.org/officeDocument/2006/relationships/hyperlink" Id="rId322" Target="https://imjstb.com/index.php/Journal/article/view/95" TargetMode="External" /><Relationship Type="http://schemas.openxmlformats.org/officeDocument/2006/relationships/hyperlink" Id="rId142" Target="https://journalofbigdata.springeropen.com/articles/10.1186/s40537-019-0170-y"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4"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148" Target="https://link.springer.com/content/pdf/10.1007/s10462-022-10246-w.pdf" TargetMode="External" /><Relationship Type="http://schemas.openxmlformats.org/officeDocument/2006/relationships/hyperlink" Id="rId342" Target="https://mail.vldb.org/archives/website/2005/program/paper/fri/p1006-yu.pdf" TargetMode="External" /><Relationship Type="http://schemas.openxmlformats.org/officeDocument/2006/relationships/hyperlink" Id="rId310"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291" Target="https://medinform.jmir.org/2019/3/e13331" TargetMode="External" /><Relationship Type="http://schemas.openxmlformats.org/officeDocument/2006/relationships/hyperlink" Id="rId316" Target="https://medinform.jmir.org/2022/2/e32875" TargetMode="External" /><Relationship Type="http://schemas.openxmlformats.org/officeDocument/2006/relationships/hyperlink" Id="rId166" Target="https://newsroom.ibm.com/2022-01-21-Francisco-Partners-to-Acquire-IBMs-Healthcare-Data-and-Analytics-Assets" TargetMode="External" /><Relationship Type="http://schemas.openxmlformats.org/officeDocument/2006/relationships/hyperlink" Id="rId174"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3" Target="https://onlinelibrary.wiley.com/doi/abs/10.1111/j.1540-5885.2010.00798.x" TargetMode="External" /><Relationship Type="http://schemas.openxmlformats.org/officeDocument/2006/relationships/hyperlink" Id="rId332" Target="https://oulurepo.oulu.fi/bitstream/handle/10024/27921/nbnfi-fe2020050424858.pdf" TargetMode="External" /><Relationship Type="http://schemas.openxmlformats.org/officeDocument/2006/relationships/hyperlink" Id="rId361" Target="https://pages.himss.org/LP-HA-Case-Study-UC-Davis.html" TargetMode="External" /><Relationship Type="http://schemas.openxmlformats.org/officeDocument/2006/relationships/hyperlink" Id="rId136" Target="https://papers.ssrn.com/sol3/papers.cfm?abstract_id=5268176" TargetMode="External" /><Relationship Type="http://schemas.openxmlformats.org/officeDocument/2006/relationships/hyperlink" Id="rId247" Target="https://pmc.ncbi.nlm.nih.gov/articles/PMC10243608/" TargetMode="External" /><Relationship Type="http://schemas.openxmlformats.org/officeDocument/2006/relationships/hyperlink" Id="rId233" Target="https://pmc.ncbi.nlm.nih.gov/articles/PMC10802134/" TargetMode="External" /><Relationship Type="http://schemas.openxmlformats.org/officeDocument/2006/relationships/hyperlink" Id="rId235" Target="https://pmc.ncbi.nlm.nih.gov/articles/PMC11919231/" TargetMode="External" /><Relationship Type="http://schemas.openxmlformats.org/officeDocument/2006/relationships/hyperlink" Id="rId245" Target="https://pubmed.ncbi.nlm.nih.gov/20054502/" TargetMode="External" /><Relationship Type="http://schemas.openxmlformats.org/officeDocument/2006/relationships/hyperlink" Id="rId130" Target="https://resources.anthropic.com/code-modernization-playbook" TargetMode="External" /><Relationship Type="http://schemas.openxmlformats.org/officeDocument/2006/relationships/hyperlink" Id="rId297" Target="https://sarcouncil.com/2025/06/ai-driven-mainframe-modernization-unlocking-legacy-data-for-cloud-analytics" TargetMode="External" /><Relationship Type="http://schemas.openxmlformats.org/officeDocument/2006/relationships/hyperlink" Id="rId320"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160" Target="https://tei.forrester.com/go/microsoft/powerappstei/?lang=en-us" TargetMode="External" /><Relationship Type="http://schemas.openxmlformats.org/officeDocument/2006/relationships/hyperlink" Id="rId353" Target="https://wendyju.com/publications/18_ijee3593.pdf" TargetMode="External" /><Relationship Type="http://schemas.openxmlformats.org/officeDocument/2006/relationships/hyperlink" Id="rId351"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6"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4" Target="https://www.allmultidisciplinaryjournal.com/uploads/archives/20250306182550_MGE-2025-2-018.1.pdf" TargetMode="External" /><Relationship Type="http://schemas.openxmlformats.org/officeDocument/2006/relationships/hyperlink" Id="rId239" Target="https://www.annfammed.org/content/17/1/36" TargetMode="External" /><Relationship Type="http://schemas.openxmlformats.org/officeDocument/2006/relationships/hyperlink" Id="rId168" Target="https://www.cnbc.com/2021/01/04/haven-the-amazon-berkshire-jpmorgan-venture-to-disrupt-healthcare-is-disbanding-after-3-years.html" TargetMode="External" /><Relationship Type="http://schemas.openxmlformats.org/officeDocument/2006/relationships/hyperlink" Id="rId249" Target="https://www.diva-portal.org/smash/record.jsf?pid=diva2:1684142" TargetMode="External" /><Relationship Type="http://schemas.openxmlformats.org/officeDocument/2006/relationships/hyperlink" Id="rId180" Target="https://www.emerald.com/insight/content/doi/10.1108/13673270610650067/full/html" TargetMode="External" /><Relationship Type="http://schemas.openxmlformats.org/officeDocument/2006/relationships/hyperlink" Id="rId184" Target="https://www.emerald.com/insight/content/doi/10.1108/JKM-03-2024-0262/full/html" TargetMode="External" /><Relationship Type="http://schemas.openxmlformats.org/officeDocument/2006/relationships/hyperlink" Id="rId293" Target="https://www.frontiersin.org/articles/10.3389/fdata.2024.1371680" TargetMode="External" /><Relationship Type="http://schemas.openxmlformats.org/officeDocument/2006/relationships/hyperlink" Id="rId178" Target="https://www.frontiersin.org/articles/10.3389/fpsyg.2019.02730"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56"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1" Target="https://www.himss.org/resources/the-future-of-workforce/" TargetMode="External" /><Relationship Type="http://schemas.openxmlformats.org/officeDocument/2006/relationships/hyperlink" Id="rId257" Target="https://www.inderscienceonline.com/doi/abs/10.1504/IJNKM.2006.009880" TargetMode="External" /><Relationship Type="http://schemas.openxmlformats.org/officeDocument/2006/relationships/hyperlink" Id="rId138" Target="https://www.ingentaconnect.com/content/hsp/mih/2024/00000008/00000004/art00006" TargetMode="External" /><Relationship Type="http://schemas.openxmlformats.org/officeDocument/2006/relationships/hyperlink" Id="rId306" Target="https://www.jmir.org/2020/10/e20346/" TargetMode="External" /><Relationship Type="http://schemas.openxmlformats.org/officeDocument/2006/relationships/hyperlink" Id="rId197" Target="https://www.jmir.org/2024/1/e56316" TargetMode="External" /><Relationship Type="http://schemas.openxmlformats.org/officeDocument/2006/relationships/hyperlink" Id="rId203" Target="https://www.mdpi.com/2227-9032/13/1/1" TargetMode="External" /><Relationship Type="http://schemas.openxmlformats.org/officeDocument/2006/relationships/hyperlink" Id="rId267"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65" Target="https://www.nature.com/articles/s41746-024-01390-4" TargetMode="External" /><Relationship Type="http://schemas.openxmlformats.org/officeDocument/2006/relationships/hyperlink" Id="rId241" Target="https://www.nsinursingsolutions.com/documents/library/nsi_national_health_care_retention_report.pdf" TargetMode="External" /><Relationship Type="http://schemas.openxmlformats.org/officeDocument/2006/relationships/hyperlink" Id="rId127" Target="https://www.nyulawreview.org/issues/volume-94-number-4/data-standardization/" TargetMode="External" /><Relationship Type="http://schemas.openxmlformats.org/officeDocument/2006/relationships/hyperlink" Id="rId162" Target="https://www.oracle.com/human-capital-management/cost-employee-turnover-healthcare/" TargetMode="External" /><Relationship Type="http://schemas.openxmlformats.org/officeDocument/2006/relationships/hyperlink" Id="rId164" Target="https://www.precedenceresearch.com/healthcare-analytics-market" TargetMode="External" /><Relationship Type="http://schemas.openxmlformats.org/officeDocument/2006/relationships/hyperlink" Id="rId193" Target="https://www.prnewswire.com/news-releases/taiwans-first-hospital-to-achieve-amam-stage-7-certification-302390824.html" TargetMode="External" /><Relationship Type="http://schemas.openxmlformats.org/officeDocument/2006/relationships/hyperlink" Id="rId295" Target="https://www.proquest.com/openview/0d955ee8209664a4447c9995a1b9e721/1?pq-origsite=gscholar&amp;cbl=326365" TargetMode="External" /><Relationship Type="http://schemas.openxmlformats.org/officeDocument/2006/relationships/hyperlink" Id="rId340" Target="https://www.quantbeckman.com/api/v1/file/5b240742-bf0d-4f8c-a0f9-cb29fab42611.pdf" TargetMode="External" /><Relationship Type="http://schemas.openxmlformats.org/officeDocument/2006/relationships/hyperlink" Id="rId251" Target="https://www.redjournal.org/article/S0360-3016(16)00260-1/fulltext" TargetMode="External" /><Relationship Type="http://schemas.openxmlformats.org/officeDocument/2006/relationships/hyperlink" Id="rId186" Target="https://www.sciencedirect.com/science/article/abs/pii/S0040162516000500" TargetMode="External" /><Relationship Type="http://schemas.openxmlformats.org/officeDocument/2006/relationships/hyperlink" Id="rId188" Target="https://www.sciencedirect.com/science/article/abs/pii/S0148296316304891" TargetMode="External" /><Relationship Type="http://schemas.openxmlformats.org/officeDocument/2006/relationships/hyperlink" Id="rId277" Target="https://www.sciencedirect.com/science/article/pii/S0031320324008197" TargetMode="External" /><Relationship Type="http://schemas.openxmlformats.org/officeDocument/2006/relationships/hyperlink" Id="rId328" Target="https://www.sciencedirect.com/science/article/pii/S0168851021002396" TargetMode="External" /><Relationship Type="http://schemas.openxmlformats.org/officeDocument/2006/relationships/hyperlink" Id="rId308" Target="https://www.sciencedirect.com/science/article/pii/S13865056230012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289" Target="https://www.sciencedirect.com/science/article/pii/S1532046414001592" TargetMode="External" /><Relationship Type="http://schemas.openxmlformats.org/officeDocument/2006/relationships/hyperlink" Id="rId283" Target="https://www.sciencedirect.com/science/article/pii/S1532046424000650" TargetMode="External" /><Relationship Type="http://schemas.openxmlformats.org/officeDocument/2006/relationships/hyperlink" Id="rId255" Target="https://www.tandfonline.com/doi/abs/10.1080/08956308.2010.11657637" TargetMode="External" /><Relationship Type="http://schemas.openxmlformats.org/officeDocument/2006/relationships/hyperlink" Id="rId144" Target="https://www.tandfonline.com/doi/full/10.1080/20479700.2018.1531606" TargetMode="External" /><Relationship Type="http://schemas.openxmlformats.org/officeDocument/2006/relationships/hyperlink" Id="rId146" Target="https://www.tdx.cat/bitstream/handle/10803/695722/TGJBR1de1.pdf?sequence=1" TargetMode="External" /><Relationship Type="http://schemas.openxmlformats.org/officeDocument/2006/relationships/hyperlink" Id="rId191"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81" Target="https://academic.oup.com/jamia/article-abstract/26/4/294/5308980" TargetMode="External" /><Relationship Type="http://schemas.openxmlformats.org/officeDocument/2006/relationships/hyperlink" Id="rId324" Target="https://academic.oup.com/jamia/article/14/6/687/750453" TargetMode="External" /><Relationship Type="http://schemas.openxmlformats.org/officeDocument/2006/relationships/hyperlink" Id="rId237" Target="https://academic.oup.com/jpart/advance-article-abstract/doi/10.1093/jopart/muaf019/8162522" TargetMode="External" /><Relationship Type="http://schemas.openxmlformats.org/officeDocument/2006/relationships/hyperlink" Id="rId123" Target="https://academic.oup.com/jpubhealth" TargetMode="External" /><Relationship Type="http://schemas.openxmlformats.org/officeDocument/2006/relationships/hyperlink" Id="rId263" Target="https://ai.nejm.org/doi/full/10.1056/AIdbp2500144" TargetMode="External" /><Relationship Type="http://schemas.openxmlformats.org/officeDocument/2006/relationships/hyperlink" Id="rId279" Target="https://al-kindipublisher.com/index.php/jcsts/article/view/9694" TargetMode="External" /><Relationship Type="http://schemas.openxmlformats.org/officeDocument/2006/relationships/hyperlink" Id="rId119" Target="https://api.wittkieffer.com/wp-content/uploads/2012/10/cio-insights-the-state-of-healthcare-it-leadership-wittkieffer-october-2024.pdf" TargetMode="External" /><Relationship Type="http://schemas.openxmlformats.org/officeDocument/2006/relationships/hyperlink" Id="rId269" Target="https://arxiv.org/abs/1908.01839" TargetMode="External" /><Relationship Type="http://schemas.openxmlformats.org/officeDocument/2006/relationships/hyperlink" Id="rId271" Target="https://arxiv.org/abs/2301.07695" TargetMode="External" /><Relationship Type="http://schemas.openxmlformats.org/officeDocument/2006/relationships/hyperlink" Id="rId150" Target="https://arxiv.org/abs/2403.09226" TargetMode="External" /><Relationship Type="http://schemas.openxmlformats.org/officeDocument/2006/relationships/hyperlink" Id="rId273" Target="https://arxiv.org/abs/2411.05521" TargetMode="External" /><Relationship Type="http://schemas.openxmlformats.org/officeDocument/2006/relationships/hyperlink" Id="rId261" Target="https://arxiv.org/abs/2505.08775" TargetMode="External" /><Relationship Type="http://schemas.openxmlformats.org/officeDocument/2006/relationships/hyperlink" Id="rId259" Target="https://arxiv.org/abs/2508.08224" TargetMode="External" /><Relationship Type="http://schemas.openxmlformats.org/officeDocument/2006/relationships/hyperlink" Id="rId285" Target="https://arxiv.org/abs/2511.14718" TargetMode="External" /><Relationship Type="http://schemas.openxmlformats.org/officeDocument/2006/relationships/hyperlink" Id="rId275" Target="https://arxiv.org/abs/2511.17559" TargetMode="External" /><Relationship Type="http://schemas.openxmlformats.org/officeDocument/2006/relationships/hyperlink" Id="rId344" Target="https://arxiv.org/pdf/2311.02082" TargetMode="External" /><Relationship Type="http://schemas.openxmlformats.org/officeDocument/2006/relationships/hyperlink" Id="rId338" Target="https://books.google.com/books?id=9uqiEAAAQBAJ" TargetMode="External" /><Relationship Type="http://schemas.openxmlformats.org/officeDocument/2006/relationships/hyperlink" Id="rId125" Target="https://dl.acm.org/doi/10.1145/1017114.1017118" TargetMode="External" /><Relationship Type="http://schemas.openxmlformats.org/officeDocument/2006/relationships/hyperlink" Id="rId132" Target="https://dl.acm.org/doi/abs/10.1145/320251.320253" TargetMode="External" /><Relationship Type="http://schemas.openxmlformats.org/officeDocument/2006/relationships/hyperlink" Id="rId287" Target="https://dl.acm.org/doi/abs/10.1145/3318464.3389777" TargetMode="External" /><Relationship Type="http://schemas.openxmlformats.org/officeDocument/2006/relationships/hyperlink" Id="rId359" Target="https://doi.org/10.1007/s10257-020-00472-y" TargetMode="External" /><Relationship Type="http://schemas.openxmlformats.org/officeDocument/2006/relationships/hyperlink" Id="rId182"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49" Target="https://doi.org/10.1016/j.ijmedinf.2006.05.008" TargetMode="External" /><Relationship Type="http://schemas.openxmlformats.org/officeDocument/2006/relationships/hyperlink" Id="rId176" Target="https://doi.org/10.1108/JKM-08-2016-0338" TargetMode="External" /><Relationship Type="http://schemas.openxmlformats.org/officeDocument/2006/relationships/hyperlink" Id="rId300" Target="https://doi.org/10.1145/3670653.3670660" TargetMode="External" /><Relationship Type="http://schemas.openxmlformats.org/officeDocument/2006/relationships/hyperlink" Id="rId172" Target="https://doi.org/10.1177/0165551506070706" TargetMode="External" /><Relationship Type="http://schemas.openxmlformats.org/officeDocument/2006/relationships/hyperlink" Id="rId357" Target="https://doi.org/10.1287/inte.17.3.25" TargetMode="External" /><Relationship Type="http://schemas.openxmlformats.org/officeDocument/2006/relationships/hyperlink" Id="rId302" Target="https://doi.org/10.17705/1jais.00801" TargetMode="External" /><Relationship Type="http://schemas.openxmlformats.org/officeDocument/2006/relationships/hyperlink" Id="rId355" Target="https://doi.org/10.2308/isys-51517" TargetMode="External" /><Relationship Type="http://schemas.openxmlformats.org/officeDocument/2006/relationships/hyperlink" Id="rId140" Target="https://doi.org/10.25163/business.1110345" TargetMode="External" /><Relationship Type="http://schemas.openxmlformats.org/officeDocument/2006/relationships/hyperlink" Id="rId347" Target="https://doi.org/10.63282/3050-9262.IJAIDSML-V6I4P130" TargetMode="External" /><Relationship Type="http://schemas.openxmlformats.org/officeDocument/2006/relationships/hyperlink" Id="rId152" Target="https://dspace.flinders.edu.au/jspui/bitstream/2328/3326/4/AACODS_Checklist.pdf" TargetMode="External" /><Relationship Type="http://schemas.openxmlformats.org/officeDocument/2006/relationships/hyperlink" Id="rId312" Target="https://gisrrj.com/paper/GISRRJ236426.pdf" TargetMode="External" /><Relationship Type="http://schemas.openxmlformats.org/officeDocument/2006/relationships/hyperlink" Id="rId243" Target="https://human-resources-health.biomedcentral.com/articles/10.1186/1478-4491-11-35" TargetMode="External" /><Relationship Type="http://schemas.openxmlformats.org/officeDocument/2006/relationships/hyperlink" Id="rId158" Target="https://ia.berkshirehealthcare.nhs.uk/citizen-developer-programme" TargetMode="External" /><Relationship Type="http://schemas.openxmlformats.org/officeDocument/2006/relationships/hyperlink" Id="rId318" Target="https://ieeexplore.ieee.org/abstract/document/10373712/" TargetMode="External" /><Relationship Type="http://schemas.openxmlformats.org/officeDocument/2006/relationships/hyperlink" Id="rId330" Target="https://ieeexplore.ieee.org/abstract/document/8678513/" TargetMode="External" /><Relationship Type="http://schemas.openxmlformats.org/officeDocument/2006/relationships/hyperlink" Id="rId314" Target="https://ieeexplore.ieee.org/document/10297311" TargetMode="External" /><Relationship Type="http://schemas.openxmlformats.org/officeDocument/2006/relationships/hyperlink" Id="rId322" Target="https://imjstb.com/index.php/Journal/article/view/95" TargetMode="External" /><Relationship Type="http://schemas.openxmlformats.org/officeDocument/2006/relationships/hyperlink" Id="rId142" Target="https://journalofbigdata.springeropen.com/articles/10.1186/s40537-019-0170-y"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4"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148" Target="https://link.springer.com/content/pdf/10.1007/s10462-022-10246-w.pdf" TargetMode="External" /><Relationship Type="http://schemas.openxmlformats.org/officeDocument/2006/relationships/hyperlink" Id="rId342" Target="https://mail.vldb.org/archives/website/2005/program/paper/fri/p1006-yu.pdf" TargetMode="External" /><Relationship Type="http://schemas.openxmlformats.org/officeDocument/2006/relationships/hyperlink" Id="rId310"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291" Target="https://medinform.jmir.org/2019/3/e13331" TargetMode="External" /><Relationship Type="http://schemas.openxmlformats.org/officeDocument/2006/relationships/hyperlink" Id="rId316" Target="https://medinform.jmir.org/2022/2/e32875" TargetMode="External" /><Relationship Type="http://schemas.openxmlformats.org/officeDocument/2006/relationships/hyperlink" Id="rId166" Target="https://newsroom.ibm.com/2022-01-21-Francisco-Partners-to-Acquire-IBMs-Healthcare-Data-and-Analytics-Assets" TargetMode="External" /><Relationship Type="http://schemas.openxmlformats.org/officeDocument/2006/relationships/hyperlink" Id="rId174"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3" Target="https://onlinelibrary.wiley.com/doi/abs/10.1111/j.1540-5885.2010.00798.x" TargetMode="External" /><Relationship Type="http://schemas.openxmlformats.org/officeDocument/2006/relationships/hyperlink" Id="rId332" Target="https://oulurepo.oulu.fi/bitstream/handle/10024/27921/nbnfi-fe2020050424858.pdf" TargetMode="External" /><Relationship Type="http://schemas.openxmlformats.org/officeDocument/2006/relationships/hyperlink" Id="rId361" Target="https://pages.himss.org/LP-HA-Case-Study-UC-Davis.html" TargetMode="External" /><Relationship Type="http://schemas.openxmlformats.org/officeDocument/2006/relationships/hyperlink" Id="rId136" Target="https://papers.ssrn.com/sol3/papers.cfm?abstract_id=5268176" TargetMode="External" /><Relationship Type="http://schemas.openxmlformats.org/officeDocument/2006/relationships/hyperlink" Id="rId247" Target="https://pmc.ncbi.nlm.nih.gov/articles/PMC10243608/" TargetMode="External" /><Relationship Type="http://schemas.openxmlformats.org/officeDocument/2006/relationships/hyperlink" Id="rId233" Target="https://pmc.ncbi.nlm.nih.gov/articles/PMC10802134/" TargetMode="External" /><Relationship Type="http://schemas.openxmlformats.org/officeDocument/2006/relationships/hyperlink" Id="rId235" Target="https://pmc.ncbi.nlm.nih.gov/articles/PMC11919231/" TargetMode="External" /><Relationship Type="http://schemas.openxmlformats.org/officeDocument/2006/relationships/hyperlink" Id="rId245" Target="https://pubmed.ncbi.nlm.nih.gov/20054502/" TargetMode="External" /><Relationship Type="http://schemas.openxmlformats.org/officeDocument/2006/relationships/hyperlink" Id="rId130" Target="https://resources.anthropic.com/code-modernization-playbook" TargetMode="External" /><Relationship Type="http://schemas.openxmlformats.org/officeDocument/2006/relationships/hyperlink" Id="rId297" Target="https://sarcouncil.com/2025/06/ai-driven-mainframe-modernization-unlocking-legacy-data-for-cloud-analytics" TargetMode="External" /><Relationship Type="http://schemas.openxmlformats.org/officeDocument/2006/relationships/hyperlink" Id="rId320"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160" Target="https://tei.forrester.com/go/microsoft/powerappstei/?lang=en-us" TargetMode="External" /><Relationship Type="http://schemas.openxmlformats.org/officeDocument/2006/relationships/hyperlink" Id="rId353" Target="https://wendyju.com/publications/18_ijee3593.pdf" TargetMode="External" /><Relationship Type="http://schemas.openxmlformats.org/officeDocument/2006/relationships/hyperlink" Id="rId351"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6"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4" Target="https://www.allmultidisciplinaryjournal.com/uploads/archives/20250306182550_MGE-2025-2-018.1.pdf" TargetMode="External" /><Relationship Type="http://schemas.openxmlformats.org/officeDocument/2006/relationships/hyperlink" Id="rId239" Target="https://www.annfammed.org/content/17/1/36" TargetMode="External" /><Relationship Type="http://schemas.openxmlformats.org/officeDocument/2006/relationships/hyperlink" Id="rId168" Target="https://www.cnbc.com/2021/01/04/haven-the-amazon-berkshire-jpmorgan-venture-to-disrupt-healthcare-is-disbanding-after-3-years.html" TargetMode="External" /><Relationship Type="http://schemas.openxmlformats.org/officeDocument/2006/relationships/hyperlink" Id="rId249" Target="https://www.diva-portal.org/smash/record.jsf?pid=diva2:1684142" TargetMode="External" /><Relationship Type="http://schemas.openxmlformats.org/officeDocument/2006/relationships/hyperlink" Id="rId180" Target="https://www.emerald.com/insight/content/doi/10.1108/13673270610650067/full/html" TargetMode="External" /><Relationship Type="http://schemas.openxmlformats.org/officeDocument/2006/relationships/hyperlink" Id="rId184" Target="https://www.emerald.com/insight/content/doi/10.1108/JKM-03-2024-0262/full/html" TargetMode="External" /><Relationship Type="http://schemas.openxmlformats.org/officeDocument/2006/relationships/hyperlink" Id="rId293" Target="https://www.frontiersin.org/articles/10.3389/fdata.2024.1371680" TargetMode="External" /><Relationship Type="http://schemas.openxmlformats.org/officeDocument/2006/relationships/hyperlink" Id="rId178" Target="https://www.frontiersin.org/articles/10.3389/fpsyg.2019.02730"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56"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1" Target="https://www.himss.org/resources/the-future-of-workforce/" TargetMode="External" /><Relationship Type="http://schemas.openxmlformats.org/officeDocument/2006/relationships/hyperlink" Id="rId257" Target="https://www.inderscienceonline.com/doi/abs/10.1504/IJNKM.2006.009880" TargetMode="External" /><Relationship Type="http://schemas.openxmlformats.org/officeDocument/2006/relationships/hyperlink" Id="rId138" Target="https://www.ingentaconnect.com/content/hsp/mih/2024/00000008/00000004/art00006" TargetMode="External" /><Relationship Type="http://schemas.openxmlformats.org/officeDocument/2006/relationships/hyperlink" Id="rId306" Target="https://www.jmir.org/2020/10/e20346/" TargetMode="External" /><Relationship Type="http://schemas.openxmlformats.org/officeDocument/2006/relationships/hyperlink" Id="rId197" Target="https://www.jmir.org/2024/1/e56316" TargetMode="External" /><Relationship Type="http://schemas.openxmlformats.org/officeDocument/2006/relationships/hyperlink" Id="rId203" Target="https://www.mdpi.com/2227-9032/13/1/1" TargetMode="External" /><Relationship Type="http://schemas.openxmlformats.org/officeDocument/2006/relationships/hyperlink" Id="rId267"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65" Target="https://www.nature.com/articles/s41746-024-01390-4" TargetMode="External" /><Relationship Type="http://schemas.openxmlformats.org/officeDocument/2006/relationships/hyperlink" Id="rId241" Target="https://www.nsinursingsolutions.com/documents/library/nsi_national_health_care_retention_report.pdf" TargetMode="External" /><Relationship Type="http://schemas.openxmlformats.org/officeDocument/2006/relationships/hyperlink" Id="rId127" Target="https://www.nyulawreview.org/issues/volume-94-number-4/data-standardization/" TargetMode="External" /><Relationship Type="http://schemas.openxmlformats.org/officeDocument/2006/relationships/hyperlink" Id="rId162" Target="https://www.oracle.com/human-capital-management/cost-employee-turnover-healthcare/" TargetMode="External" /><Relationship Type="http://schemas.openxmlformats.org/officeDocument/2006/relationships/hyperlink" Id="rId164" Target="https://www.precedenceresearch.com/healthcare-analytics-market" TargetMode="External" /><Relationship Type="http://schemas.openxmlformats.org/officeDocument/2006/relationships/hyperlink" Id="rId193" Target="https://www.prnewswire.com/news-releases/taiwans-first-hospital-to-achieve-amam-stage-7-certification-302390824.html" TargetMode="External" /><Relationship Type="http://schemas.openxmlformats.org/officeDocument/2006/relationships/hyperlink" Id="rId295" Target="https://www.proquest.com/openview/0d955ee8209664a4447c9995a1b9e721/1?pq-origsite=gscholar&amp;cbl=326365" TargetMode="External" /><Relationship Type="http://schemas.openxmlformats.org/officeDocument/2006/relationships/hyperlink" Id="rId340" Target="https://www.quantbeckman.com/api/v1/file/5b240742-bf0d-4f8c-a0f9-cb29fab42611.pdf" TargetMode="External" /><Relationship Type="http://schemas.openxmlformats.org/officeDocument/2006/relationships/hyperlink" Id="rId251" Target="https://www.redjournal.org/article/S0360-3016(16)00260-1/fulltext" TargetMode="External" /><Relationship Type="http://schemas.openxmlformats.org/officeDocument/2006/relationships/hyperlink" Id="rId186" Target="https://www.sciencedirect.com/science/article/abs/pii/S0040162516000500" TargetMode="External" /><Relationship Type="http://schemas.openxmlformats.org/officeDocument/2006/relationships/hyperlink" Id="rId188" Target="https://www.sciencedirect.com/science/article/abs/pii/S0148296316304891" TargetMode="External" /><Relationship Type="http://schemas.openxmlformats.org/officeDocument/2006/relationships/hyperlink" Id="rId277" Target="https://www.sciencedirect.com/science/article/pii/S0031320324008197" TargetMode="External" /><Relationship Type="http://schemas.openxmlformats.org/officeDocument/2006/relationships/hyperlink" Id="rId328" Target="https://www.sciencedirect.com/science/article/pii/S0168851021002396" TargetMode="External" /><Relationship Type="http://schemas.openxmlformats.org/officeDocument/2006/relationships/hyperlink" Id="rId308" Target="https://www.sciencedirect.com/science/article/pii/S13865056230012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289" Target="https://www.sciencedirect.com/science/article/pii/S1532046414001592" TargetMode="External" /><Relationship Type="http://schemas.openxmlformats.org/officeDocument/2006/relationships/hyperlink" Id="rId283" Target="https://www.sciencedirect.com/science/article/pii/S1532046424000650" TargetMode="External" /><Relationship Type="http://schemas.openxmlformats.org/officeDocument/2006/relationships/hyperlink" Id="rId255" Target="https://www.tandfonline.com/doi/abs/10.1080/08956308.2010.11657637" TargetMode="External" /><Relationship Type="http://schemas.openxmlformats.org/officeDocument/2006/relationships/hyperlink" Id="rId144" Target="https://www.tandfonline.com/doi/full/10.1080/20479700.2018.1531606" TargetMode="External" /><Relationship Type="http://schemas.openxmlformats.org/officeDocument/2006/relationships/hyperlink" Id="rId146" Target="https://www.tdx.cat/bitstream/handle/10803/695722/TGJBR1de1.pdf?sequence=1" TargetMode="External" /><Relationship Type="http://schemas.openxmlformats.org/officeDocument/2006/relationships/hyperlink" Id="rId191"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2026-01-13T20:31:34Z</dcterms:created>
  <dcterms:modified xsi:type="dcterms:W3CDTF">2026-01-13T20:31:34Z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1.24.0</vt:lpwstr>
  </property>
</Properties>
</file>