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w:t>
      </w:r>
      <w:hyperlink w:anchor="ref-tbl:aacods">
        <w:r>
          <w:rPr>
            <w:rStyle w:val="Hyperlink"/>
            <w:b/>
            <w:bCs/>
          </w:rPr>
          <w:t xml:space="preserve">tbl:aacods?</w:t>
        </w:r>
      </w:hyperlink>
      <w:r>
        <w:t xml:space="preserve">)</w:t>
      </w:r>
      <w:r>
        <w:t xml:space="preserve"> </w:t>
      </w:r>
      <w:r>
        <w:t xml:space="preserve">summarizes the assessment.</w:t>
      </w:r>
    </w:p>
    <w:p>
      <w:pPr>
        <w:pStyle w:val="TableCaption"/>
      </w:pPr>
      <w:r>
        <w:t xml:space="preserve">AACODS Assessment of Industry Sources. †Industry standards body. ‡HIMSS officer. §Vendor. ¶NHS trust. ∥Analyst firm. #Market research. **Journalism. ††Professional association + academic. ♢Sponsor. *Vendor sponsorship or low objectivity noted in manuscript text. {#tbl:aacods}</w:t>
      </w:r>
    </w:p>
    <w:tbl>
      <w:tblPr>
        <w:tblStyle w:val="Table"/>
        <w:tblW w:type="pct" w:w="4860"/>
        <w:jc w:val="left"/>
        <w:tblLayout w:type="fixed"/>
        <w:tblLook w:firstRow="1" w:lastRow="0" w:firstColumn="0" w:lastColumn="0" w:noHBand="0" w:noVBand="0" w:val="0020"/>
        <w:tblCaption w:val="AACODS Assessment of Industry Sources. †Industry standards body. ‡HIMSS officer. §Vendor. ¶NHS trust. ∥Analyst firm. #Market research. **Journalism. ††Professional association + academic. ♢Sponsor. *Vendor sponsorship or low objectivity noted in manuscript text. {#tbl:aacods}"/>
      </w:tblPr>
      <w:tblGrid>
        <w:gridCol w:w="1776"/>
        <w:gridCol w:w="1776"/>
        <w:gridCol w:w="1776"/>
        <w:gridCol w:w="1628"/>
        <w:gridCol w:w="740"/>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w:t>
            </w:r>
            <w:r>
              <w:t xml:space="preserve"> </w:t>
            </w:r>
            <w:r>
              <w:t xml:space="preserve">Verifiable</w:t>
            </w:r>
          </w:p>
        </w:tc>
        <w:tc>
          <w:tcPr/>
          <w:p>
            <w:pPr>
              <w:pStyle w:val="Compact"/>
              <w:jc w:val="left"/>
            </w:pPr>
            <w:r>
              <w:t xml:space="preserve">Global</w:t>
            </w:r>
            <w:r>
              <w:t xml:space="preserve"> </w:t>
            </w:r>
            <w:r>
              <w:t xml:space="preserve">High</w:t>
            </w:r>
          </w:p>
        </w:tc>
        <w:tc>
          <w:tcPr/>
          <w:p>
            <w:pPr>
              <w:pStyle w:val="Compact"/>
              <w:jc w:val="left"/>
            </w:pPr>
            <w:r>
              <w:t xml:space="preserve">2024</w:t>
            </w:r>
            <w:r>
              <w:t xml:space="preserve"> </w:t>
            </w:r>
            <w:r>
              <w:t xml:space="preserve">High</w:t>
            </w:r>
          </w:p>
        </w:tc>
        <w:tc>
          <w:tcPr/>
          <w:p>
            <w:pPr>
              <w:pStyle w:val="Compact"/>
              <w:jc w:val="left"/>
            </w:pPr>
            <w:r>
              <w:t xml:space="preserve">Yes</w:t>
            </w:r>
          </w:p>
        </w:tc>
      </w:tr>
      <w:tr>
        <w:tc>
          <w:tcPr/>
          <w:p>
            <w:pPr>
              <w:pStyle w:val="Compact"/>
              <w:jc w:val="left"/>
            </w:pPr>
            <w:r>
              <w:t xml:space="preserve">Snowdon/HIMSS</w:t>
            </w:r>
            <w:r>
              <w:t xml:space="preserve"> </w:t>
            </w:r>
            <w:r>
              <w:t xml:space="preserve">(</w:t>
            </w:r>
            <w:hyperlink w:anchor="ref-snowdon2024b">
              <w:r>
                <w:rPr>
                  <w:rStyle w:val="Hyperlink"/>
                </w:rPr>
                <w:t xml:space="preserve">24</w:t>
              </w:r>
            </w:hyperlink>
            <w:r>
              <w:t xml:space="preserve">)</w:t>
            </w:r>
          </w:p>
        </w:tc>
        <w:tc>
          <w:tcPr/>
          <w:p>
            <w:pPr>
              <w:pStyle w:val="Compact"/>
              <w:jc w:val="left"/>
            </w:pPr>
            <w:r>
              <w:t xml:space="preserve">High‡</w:t>
            </w:r>
            <w:r>
              <w:t xml:space="preserve"> </w:t>
            </w:r>
            <w:r>
              <w:t xml:space="preserve">Verifiable</w:t>
            </w:r>
          </w:p>
        </w:tc>
        <w:tc>
          <w:tcPr/>
          <w:p>
            <w:pPr>
              <w:pStyle w:val="Compact"/>
              <w:jc w:val="left"/>
            </w:pPr>
            <w:r>
              <w:t xml:space="preserve">N/A</w:t>
            </w:r>
            <w:r>
              <w:t xml:space="preserve"> </w:t>
            </w:r>
            <w:r>
              <w:t xml:space="preserve">High</w:t>
            </w:r>
          </w:p>
        </w:tc>
        <w:tc>
          <w:tcPr/>
          <w:p>
            <w:pPr>
              <w:pStyle w:val="Compact"/>
              <w:jc w:val="left"/>
            </w:pPr>
            <w:r>
              <w:t xml:space="preserve">2024</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25</w:t>
              </w:r>
            </w:hyperlink>
            <w:r>
              <w:t xml:space="preserve">)</w:t>
            </w:r>
          </w:p>
        </w:tc>
        <w:tc>
          <w:tcPr/>
          <w:p>
            <w:pPr>
              <w:pStyle w:val="Compact"/>
              <w:jc w:val="left"/>
            </w:pPr>
            <w:r>
              <w:t xml:space="preserve">Medium§</w:t>
            </w:r>
            <w:r>
              <w:t xml:space="preserve"> </w:t>
            </w:r>
            <w:r>
              <w:t xml:space="preserve">Unverifiable</w:t>
            </w:r>
          </w:p>
        </w:tc>
        <w:tc>
          <w:tcPr/>
          <w:p>
            <w:pPr>
              <w:pStyle w:val="Compact"/>
              <w:jc w:val="left"/>
            </w:pPr>
            <w:r>
              <w:t xml:space="preserve">US</w:t>
            </w:r>
            <w:r>
              <w:t xml:space="preserve"> </w:t>
            </w:r>
            <w:r>
              <w:t xml:space="preserve">Low</w:t>
            </w:r>
          </w:p>
        </w:tc>
        <w:tc>
          <w:tcPr/>
          <w:p>
            <w:pPr>
              <w:pStyle w:val="Compact"/>
              <w:jc w:val="left"/>
            </w:pPr>
            <w:r>
              <w:t xml:space="preserve">2020</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26</w:t>
              </w:r>
            </w:hyperlink>
            <w:r>
              <w:t xml:space="preserve">)</w:t>
            </w:r>
          </w:p>
        </w:tc>
        <w:tc>
          <w:tcPr/>
          <w:p>
            <w:pPr>
              <w:pStyle w:val="Compact"/>
              <w:jc w:val="left"/>
            </w:pPr>
            <w:r>
              <w:t xml:space="preserve">High¶</w:t>
            </w:r>
            <w:r>
              <w:t xml:space="preserve"> </w:t>
            </w:r>
            <w:r>
              <w:t xml:space="preserve">Verifiable</w:t>
            </w:r>
          </w:p>
        </w:tc>
        <w:tc>
          <w:tcPr/>
          <w:p>
            <w:pPr>
              <w:pStyle w:val="Compact"/>
              <w:jc w:val="left"/>
            </w:pPr>
            <w:r>
              <w:t xml:space="preserve">Single site</w:t>
            </w:r>
            <w:r>
              <w:t xml:space="preserve"> </w:t>
            </w:r>
            <w:r>
              <w:t xml:space="preserve">High</w:t>
            </w:r>
          </w:p>
        </w:tc>
        <w:tc>
          <w:tcPr/>
          <w:p>
            <w:pPr>
              <w:pStyle w:val="Compact"/>
              <w:jc w:val="left"/>
            </w:pPr>
            <w:r>
              <w:t xml:space="preserve">2024</w:t>
            </w:r>
            <w:r>
              <w:t xml:space="preserve"> </w:t>
            </w:r>
            <w:r>
              <w:t xml:space="preserve">High</w:t>
            </w:r>
          </w:p>
        </w:tc>
        <w:tc>
          <w:tcPr/>
          <w:p>
            <w:pPr>
              <w:pStyle w:val="Compact"/>
              <w:jc w:val="left"/>
            </w:pPr>
            <w:r>
              <w:t xml:space="preserve">Yes</w:t>
            </w:r>
          </w:p>
        </w:tc>
      </w:tr>
      <w:tr>
        <w:tc>
          <w:tcPr/>
          <w:p>
            <w:pPr>
              <w:pStyle w:val="Compact"/>
              <w:jc w:val="left"/>
            </w:pPr>
            <w:r>
              <w:t xml:space="preserve">Forrester/Microsoft</w:t>
            </w:r>
            <w:r>
              <w:t xml:space="preserve"> </w:t>
            </w:r>
            <w:r>
              <w:t xml:space="preserve">(</w:t>
            </w:r>
            <w:hyperlink w:anchor="ref-forrester2024">
              <w:r>
                <w:rPr>
                  <w:rStyle w:val="Hyperlink"/>
                </w:rPr>
                <w:t xml:space="preserve">27</w:t>
              </w:r>
            </w:hyperlink>
            <w:r>
              <w:t xml:space="preserve">)</w:t>
            </w:r>
          </w:p>
        </w:tc>
        <w:tc>
          <w:tcPr/>
          <w:p>
            <w:pPr>
              <w:pStyle w:val="Compact"/>
              <w:jc w:val="left"/>
            </w:pPr>
            <w:r>
              <w:t xml:space="preserve">Medium∥</w:t>
            </w:r>
            <w:r>
              <w:t xml:space="preserve"> </w:t>
            </w:r>
            <w:r>
              <w:t xml:space="preserve">Unverifiable</w:t>
            </w:r>
          </w:p>
        </w:tc>
        <w:tc>
          <w:tcPr/>
          <w:p>
            <w:pPr>
              <w:pStyle w:val="Compact"/>
              <w:jc w:val="left"/>
            </w:pPr>
            <w:r>
              <w:t xml:space="preserve">Enterprise</w:t>
            </w:r>
            <w:r>
              <w:t xml:space="preserve"> </w:t>
            </w:r>
            <w:r>
              <w:t xml:space="preserve">Low♢</w:t>
            </w:r>
          </w:p>
        </w:tc>
        <w:tc>
          <w:tcPr/>
          <w:p>
            <w:pPr>
              <w:pStyle w:val="Compact"/>
              <w:jc w:val="left"/>
            </w:pPr>
            <w:r>
              <w:t xml:space="preserve">2024</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28</w:t>
              </w:r>
            </w:hyperlink>
            <w:r>
              <w:t xml:space="preserve">)</w:t>
            </w:r>
          </w:p>
        </w:tc>
        <w:tc>
          <w:tcPr/>
          <w:p>
            <w:pPr>
              <w:pStyle w:val="Compact"/>
              <w:jc w:val="left"/>
            </w:pPr>
            <w:r>
              <w:t xml:space="preserve">Low§</w:t>
            </w:r>
            <w:r>
              <w:t xml:space="preserve"> </w:t>
            </w:r>
            <w:r>
              <w:t xml:space="preserve">Unverifiable</w:t>
            </w:r>
          </w:p>
        </w:tc>
        <w:tc>
          <w:tcPr/>
          <w:p>
            <w:pPr>
              <w:pStyle w:val="Compact"/>
              <w:jc w:val="left"/>
            </w:pPr>
            <w:r>
              <w:t xml:space="preserve">N/A</w:t>
            </w:r>
            <w:r>
              <w:t xml:space="preserve"> </w:t>
            </w:r>
            <w:r>
              <w:t xml:space="preserve">Low</w:t>
            </w:r>
          </w:p>
        </w:tc>
        <w:tc>
          <w:tcPr/>
          <w:p>
            <w:pPr>
              <w:pStyle w:val="Compact"/>
              <w:jc w:val="left"/>
            </w:pPr>
            <w:r>
              <w:t xml:space="preserve">2024</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29</w:t>
              </w:r>
            </w:hyperlink>
            <w:r>
              <w:t xml:space="preserve">)</w:t>
            </w:r>
          </w:p>
        </w:tc>
        <w:tc>
          <w:tcPr/>
          <w:p>
            <w:pPr>
              <w:pStyle w:val="Compact"/>
              <w:jc w:val="left"/>
            </w:pPr>
            <w:r>
              <w:t xml:space="preserve">Medium#</w:t>
            </w:r>
            <w:r>
              <w:t xml:space="preserve"> </w:t>
            </w:r>
            <w:r>
              <w:t xml:space="preserve">Unverifiable</w:t>
            </w:r>
          </w:p>
        </w:tc>
        <w:tc>
          <w:tcPr/>
          <w:p>
            <w:pPr>
              <w:pStyle w:val="Compact"/>
              <w:jc w:val="left"/>
            </w:pPr>
            <w:r>
              <w:t xml:space="preserve">Global</w:t>
            </w:r>
            <w:r>
              <w:t xml:space="preserve"> </w:t>
            </w:r>
            <w:r>
              <w:t xml:space="preserve">Medium</w:t>
            </w:r>
          </w:p>
        </w:tc>
        <w:tc>
          <w:tcPr/>
          <w:p>
            <w:pPr>
              <w:pStyle w:val="Compact"/>
              <w:jc w:val="left"/>
            </w:pPr>
            <w:r>
              <w:t xml:space="preserve">2024</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12</w:t>
              </w:r>
            </w:hyperlink>
            <w:r>
              <w:t xml:space="preserve">)</w:t>
            </w:r>
          </w:p>
        </w:tc>
        <w:tc>
          <w:tcPr/>
          <w:p>
            <w:pPr>
              <w:pStyle w:val="Compact"/>
              <w:jc w:val="left"/>
            </w:pPr>
            <w:r>
              <w:t xml:space="preserve">Medium§</w:t>
            </w:r>
            <w:r>
              <w:t xml:space="preserve"> </w:t>
            </w:r>
            <w:r>
              <w:t xml:space="preserve">Verifiable</w:t>
            </w:r>
          </w:p>
        </w:tc>
        <w:tc>
          <w:tcPr/>
          <w:p>
            <w:pPr>
              <w:pStyle w:val="Compact"/>
              <w:jc w:val="left"/>
            </w:pPr>
            <w:r>
              <w:t xml:space="preserve">N/A</w:t>
            </w:r>
            <w:r>
              <w:t xml:space="preserve"> </w:t>
            </w:r>
            <w:r>
              <w:t xml:space="preserve">Medium</w:t>
            </w:r>
          </w:p>
        </w:tc>
        <w:tc>
          <w:tcPr/>
          <w:p>
            <w:pPr>
              <w:pStyle w:val="Compact"/>
              <w:jc w:val="left"/>
            </w:pPr>
            <w:r>
              <w:t xml:space="preserve">2025</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30</w:t>
              </w:r>
            </w:hyperlink>
            <w:r>
              <w:t xml:space="preserve">)</w:t>
            </w:r>
          </w:p>
        </w:tc>
        <w:tc>
          <w:tcPr/>
          <w:p>
            <w:pPr>
              <w:pStyle w:val="Compact"/>
              <w:jc w:val="left"/>
            </w:pPr>
            <w:r>
              <w:t xml:space="preserve">High**</w:t>
            </w:r>
            <w:r>
              <w:t xml:space="preserve"> </w:t>
            </w:r>
            <w:r>
              <w:t xml:space="preserve">Verifiable</w:t>
            </w:r>
          </w:p>
        </w:tc>
        <w:tc>
          <w:tcPr/>
          <w:p>
            <w:pPr>
              <w:pStyle w:val="Compact"/>
              <w:jc w:val="left"/>
            </w:pPr>
            <w:r>
              <w:t xml:space="preserve">N/A</w:t>
            </w:r>
            <w:r>
              <w:t xml:space="preserve"> </w:t>
            </w:r>
            <w:r>
              <w:t xml:space="preserve">High</w:t>
            </w:r>
          </w:p>
        </w:tc>
        <w:tc>
          <w:tcPr/>
          <w:p>
            <w:pPr>
              <w:pStyle w:val="Compact"/>
              <w:jc w:val="left"/>
            </w:pPr>
            <w:r>
              <w:t xml:space="preserve">2022</w:t>
            </w:r>
            <w:r>
              <w:t xml:space="preserve"> </w:t>
            </w:r>
            <w:r>
              <w:t xml:space="preserve">High</w:t>
            </w:r>
          </w:p>
        </w:tc>
        <w:tc>
          <w:tcPr/>
          <w:p>
            <w:pPr>
              <w:pStyle w:val="Compact"/>
              <w:jc w:val="left"/>
            </w:pPr>
            <w:r>
              <w:t xml:space="preserve">Yes</w:t>
            </w:r>
          </w:p>
        </w:tc>
      </w:tr>
      <w:tr>
        <w:tc>
          <w:tcPr/>
          <w:p>
            <w:pPr>
              <w:pStyle w:val="Compact"/>
              <w:jc w:val="left"/>
            </w:pPr>
            <w:r>
              <w:t xml:space="preserve">CNBC/Haven</w:t>
            </w:r>
            <w:r>
              <w:t xml:space="preserve"> </w:t>
            </w:r>
            <w:r>
              <w:t xml:space="preserve">(</w:t>
            </w:r>
            <w:hyperlink w:anchor="ref-lavito2021">
              <w:r>
                <w:rPr>
                  <w:rStyle w:val="Hyperlink"/>
                </w:rPr>
                <w:t xml:space="preserve">31</w:t>
              </w:r>
            </w:hyperlink>
            <w:r>
              <w:t xml:space="preserve">)</w:t>
            </w:r>
          </w:p>
        </w:tc>
        <w:tc>
          <w:tcPr/>
          <w:p>
            <w:pPr>
              <w:pStyle w:val="Compact"/>
              <w:jc w:val="left"/>
            </w:pPr>
            <w:r>
              <w:t xml:space="preserve">High**</w:t>
            </w:r>
            <w:r>
              <w:t xml:space="preserve"> </w:t>
            </w:r>
            <w:r>
              <w:t xml:space="preserve">Verifiable</w:t>
            </w:r>
          </w:p>
        </w:tc>
        <w:tc>
          <w:tcPr/>
          <w:p>
            <w:pPr>
              <w:pStyle w:val="Compact"/>
              <w:jc w:val="left"/>
            </w:pPr>
            <w:r>
              <w:t xml:space="preserve">N/A</w:t>
            </w:r>
            <w:r>
              <w:t xml:space="preserve"> </w:t>
            </w:r>
            <w:r>
              <w:t xml:space="preserve">High</w:t>
            </w:r>
          </w:p>
        </w:tc>
        <w:tc>
          <w:tcPr/>
          <w:p>
            <w:pPr>
              <w:pStyle w:val="Compact"/>
              <w:jc w:val="left"/>
            </w:pPr>
            <w:r>
              <w:t xml:space="preserve">2021</w:t>
            </w:r>
            <w:r>
              <w:t xml:space="preserve"> </w:t>
            </w:r>
            <w:r>
              <w:t xml:space="preserve">High</w:t>
            </w:r>
          </w:p>
        </w:tc>
        <w:tc>
          <w:tcPr/>
          <w:p>
            <w:pPr>
              <w:pStyle w:val="Compact"/>
              <w:jc w:val="left"/>
            </w:pPr>
            <w:r>
              <w:t xml:space="preserve">Yes</w:t>
            </w: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w:t>
            </w:r>
            <w:r>
              <w:t xml:space="preserve"> </w:t>
            </w:r>
            <w:r>
              <w:t xml:space="preserve">Verifiable</w:t>
            </w:r>
          </w:p>
        </w:tc>
        <w:tc>
          <w:tcPr/>
          <w:p>
            <w:pPr>
              <w:pStyle w:val="Compact"/>
              <w:jc w:val="left"/>
            </w:pPr>
            <w:r>
              <w:t xml:space="preserve">US</w:t>
            </w:r>
            <w:r>
              <w:t xml:space="preserve"> </w:t>
            </w:r>
            <w:r>
              <w:t xml:space="preserve">High</w:t>
            </w:r>
          </w:p>
        </w:tc>
        <w:tc>
          <w:tcPr/>
          <w:p>
            <w:pPr>
              <w:pStyle w:val="Compact"/>
              <w:jc w:val="left"/>
            </w:pPr>
            <w:r>
              <w:t xml:space="preserve">2023</w:t>
            </w:r>
            <w:r>
              <w:t xml:space="preserve"> </w:t>
            </w:r>
            <w:r>
              <w:t xml:space="preserve">High</w:t>
            </w:r>
          </w:p>
        </w:tc>
        <w:tc>
          <w:tcPr/>
          <w:p>
            <w:pPr>
              <w:pStyle w:val="Compact"/>
              <w:jc w:val="left"/>
            </w:pPr>
            <w:r>
              <w:t xml:space="preserve">Yes</w:t>
            </w:r>
          </w:p>
        </w:tc>
      </w:tr>
    </w:tbl>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32</w:t>
        </w:r>
      </w:hyperlink>
      <w:r>
        <w:t xml:space="preserve">,</w:t>
      </w:r>
      <w:hyperlink w:anchor="ref-soylemez2017">
        <w:r>
          <w:rPr>
            <w:rStyle w:val="Hyperlink"/>
          </w:rPr>
          <w:t xml:space="preserve">33</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34</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35</w:t>
        </w:r>
      </w:hyperlink>
      <w:r>
        <w:t xml:space="preserve">,</w:t>
      </w:r>
      <w:hyperlink w:anchor="ref-massingham2018">
        <w:r>
          <w:rPr>
            <w:rStyle w:val="Hyperlink"/>
          </w:rPr>
          <w:t xml:space="preserve">36</w:t>
        </w:r>
      </w:hyperlink>
      <w:r>
        <w:t xml:space="preserve">)</w:t>
      </w:r>
      <w:r>
        <w:t xml:space="preserve">, tacit knowledge transfer</w:t>
      </w:r>
      <w:r>
        <w:t xml:space="preserve"> </w:t>
      </w:r>
      <w:r>
        <w:t xml:space="preserve">(</w:t>
      </w:r>
      <w:hyperlink w:anchor="ref-farnese2019">
        <w:r>
          <w:rPr>
            <w:rStyle w:val="Hyperlink"/>
          </w:rPr>
          <w:t xml:space="preserve">37</w:t>
        </w:r>
      </w:hyperlink>
      <w:r>
        <w:t xml:space="preserve">,</w:t>
      </w:r>
      <w:hyperlink w:anchor="ref-foos2006">
        <w:r>
          <w:rPr>
            <w:rStyle w:val="Hyperlink"/>
          </w:rPr>
          <w:t xml:space="preserve">38</w:t>
        </w:r>
      </w:hyperlink>
      <w:r>
        <w:t xml:space="preserve">)</w:t>
      </w:r>
      <w:r>
        <w:t xml:space="preserve">, and knowledge codification</w:t>
      </w:r>
      <w:r>
        <w:t xml:space="preserve"> </w:t>
      </w:r>
      <w:r>
        <w:t xml:space="preserve">(</w:t>
      </w:r>
      <w:hyperlink w:anchor="ref-benbya2004">
        <w:r>
          <w:rPr>
            <w:rStyle w:val="Hyperlink"/>
          </w:rPr>
          <w:t xml:space="preserve">39</w:t>
        </w:r>
      </w:hyperlink>
      <w:r>
        <w:t xml:space="preserve">,</w:t>
      </w:r>
      <w:hyperlink w:anchor="ref-zhang2025">
        <w:r>
          <w:rPr>
            <w:rStyle w:val="Hyperlink"/>
          </w:rPr>
          <w:t xml:space="preserve">40</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24</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41</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41</w:t>
        </w:r>
      </w:hyperlink>
      <w:r>
        <w:t xml:space="preserve">)</w:t>
      </w:r>
      <w:r>
        <w:t xml:space="preserve">,</w:t>
      </w:r>
      <w:r>
        <w:t xml:space="preserve"> </w:t>
      </w:r>
      <w:r>
        <w:t xml:space="preserve">(</w:t>
      </w:r>
      <w:hyperlink w:anchor="ref-wang2017">
        <w:r>
          <w:rPr>
            <w:rStyle w:val="Hyperlink"/>
          </w:rPr>
          <w:t xml:space="preserve">42</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43</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25</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36</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28</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35</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36</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38</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25</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108</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109</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110</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111</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37</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40</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112</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110</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115</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29</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26</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30</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31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26</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29</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35</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25</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26</w:t>
              </w:r>
            </w:hyperlink>
            <w:r>
              <w:t xml:space="preserve">,</w:t>
            </w:r>
            <w:hyperlink w:anchor="ref-wang2018">
              <w:r>
                <w:rPr>
                  <w:rStyle w:val="Hyperlink"/>
                </w:rPr>
                <w:t xml:space="preserve">41</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39</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39</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41</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39</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36</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26</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112</w:t>
        </w:r>
      </w:hyperlink>
      <w:r>
        <w:t xml:space="preserve">,</w:t>
      </w:r>
      <w:hyperlink w:anchor="ref-sezgin2022">
        <w:r>
          <w:rPr>
            <w:rStyle w:val="Hyperlink"/>
          </w:rPr>
          <w:t xml:space="preserve">113</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9" w:name="ref-snowdon2024b"/>
    <w:p>
      <w:pPr>
        <w:pStyle w:val="Bibliography"/>
      </w:pPr>
      <w:r>
        <w:t xml:space="preserve">24.</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8">
        <w:r>
          <w:rPr>
            <w:rStyle w:val="Hyperlink"/>
          </w:rPr>
          <w:t xml:space="preserve">https://legacy.himss.org/news/new-analytics-maturity-adoption-model-pushes-digital-transformation-and-data-driven-decisions</w:t>
        </w:r>
      </w:hyperlink>
    </w:p>
    <w:bookmarkEnd w:id="159"/>
    <w:bookmarkStart w:id="161" w:name="ref-health2020"/>
    <w:p>
      <w:pPr>
        <w:pStyle w:val="Bibliography"/>
      </w:pPr>
      <w:r>
        <w:t xml:space="preserve">25.</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0">
        <w:r>
          <w:rPr>
            <w:rStyle w:val="Hyperlink"/>
          </w:rPr>
          <w:t xml:space="preserve">https://www.healthcatalyst.com/learn/insights/healthcare-analytics-adoption-model-roadmap-analytic-maturity</w:t>
        </w:r>
      </w:hyperlink>
    </w:p>
    <w:bookmarkEnd w:id="161"/>
    <w:bookmarkStart w:id="163" w:name="ref-berkshire2024"/>
    <w:p>
      <w:pPr>
        <w:pStyle w:val="Bibliography"/>
      </w:pPr>
      <w:r>
        <w:t xml:space="preserve">26.</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2">
        <w:r>
          <w:rPr>
            <w:rStyle w:val="Hyperlink"/>
          </w:rPr>
          <w:t xml:space="preserve">https://ia.berkshirehealthcare.nhs.uk/citizen-developer-programme</w:t>
        </w:r>
      </w:hyperlink>
    </w:p>
    <w:bookmarkEnd w:id="163"/>
    <w:bookmarkStart w:id="165" w:name="ref-forrester2024"/>
    <w:p>
      <w:pPr>
        <w:pStyle w:val="Bibliography"/>
      </w:pPr>
      <w:r>
        <w:t xml:space="preserve">27.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4">
        <w:r>
          <w:rPr>
            <w:rStyle w:val="Hyperlink"/>
          </w:rPr>
          <w:t xml:space="preserve">https://tei.forrester.com/go/microsoft/powerappstei/?lang=en-us</w:t>
        </w:r>
      </w:hyperlink>
    </w:p>
    <w:bookmarkEnd w:id="165"/>
    <w:bookmarkStart w:id="167" w:name="ref-oracle2024"/>
    <w:p>
      <w:pPr>
        <w:pStyle w:val="Bibliography"/>
      </w:pPr>
      <w:r>
        <w:t xml:space="preserve">28.</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6">
        <w:r>
          <w:rPr>
            <w:rStyle w:val="Hyperlink"/>
          </w:rPr>
          <w:t xml:space="preserve">https://www.oracle.com/human-capital-management/cost-employee-turnover-healthcare/</w:t>
        </w:r>
      </w:hyperlink>
    </w:p>
    <w:bookmarkEnd w:id="167"/>
    <w:bookmarkStart w:id="169" w:name="ref-precedence2024"/>
    <w:p>
      <w:pPr>
        <w:pStyle w:val="Bibliography"/>
      </w:pPr>
      <w:r>
        <w:t xml:space="preserve">29.</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8">
        <w:r>
          <w:rPr>
            <w:rStyle w:val="Hyperlink"/>
          </w:rPr>
          <w:t xml:space="preserve">https://www.precedenceresearch.com/healthcare-analytics-market</w:t>
        </w:r>
      </w:hyperlink>
    </w:p>
    <w:bookmarkEnd w:id="169"/>
    <w:bookmarkStart w:id="171" w:name="ref-ibm2022"/>
    <w:p>
      <w:pPr>
        <w:pStyle w:val="Bibliography"/>
      </w:pPr>
      <w:r>
        <w:t xml:space="preserve">30.</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0">
        <w:r>
          <w:rPr>
            <w:rStyle w:val="Hyperlink"/>
          </w:rPr>
          <w:t xml:space="preserve">https://newsroom.ibm.com/2022-01-21-Francisco-Partners-to-Acquire-IBMs-Healthcare-Data-and-Analytics-Assets</w:t>
        </w:r>
      </w:hyperlink>
    </w:p>
    <w:bookmarkEnd w:id="171"/>
    <w:bookmarkStart w:id="173" w:name="ref-lavito2021"/>
    <w:p>
      <w:pPr>
        <w:pStyle w:val="Bibliography"/>
      </w:pPr>
      <w:r>
        <w:t xml:space="preserve">31.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2">
        <w:r>
          <w:rPr>
            <w:rStyle w:val="Hyperlink"/>
          </w:rPr>
          <w:t xml:space="preserve">https://www.cnbc.com/2021/01/04/haven-the-amazon-berkshire-jpmorgan-venture-to-disrupt-healthcare-is-disbanding-after-3-years.html</w:t>
        </w:r>
      </w:hyperlink>
    </w:p>
    <w:bookmarkEnd w:id="173"/>
    <w:bookmarkStart w:id="174" w:name="ref-allison2021"/>
    <w:p>
      <w:pPr>
        <w:pStyle w:val="Bibliography"/>
      </w:pPr>
      <w:r>
        <w:t xml:space="preserve">32.</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4"/>
    <w:bookmarkStart w:id="175" w:name="ref-soylemez2017"/>
    <w:p>
      <w:pPr>
        <w:pStyle w:val="Bibliography"/>
      </w:pPr>
      <w:r>
        <w:t xml:space="preserve">33.</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5"/>
    <w:bookmarkStart w:id="177" w:name="ref-rowley2007"/>
    <w:p>
      <w:pPr>
        <w:pStyle w:val="Bibliography"/>
      </w:pPr>
      <w:r>
        <w:t xml:space="preserve">34.</w:t>
      </w:r>
      <w:r>
        <w:t xml:space="preserve"> </w:t>
      </w:r>
      <w:r>
        <w:t xml:space="preserve">	</w:t>
      </w:r>
      <w:r>
        <w:t xml:space="preserve">Rowley J.</w:t>
      </w:r>
      <w:r>
        <w:t xml:space="preserve"> </w:t>
      </w:r>
      <w:hyperlink r:id="rId176">
        <w:r>
          <w:rPr>
            <w:rStyle w:val="Hyperlink"/>
          </w:rPr>
          <w:t xml:space="preserve">The wisdom hierarchy: representations of the DIKW hierarchy</w:t>
        </w:r>
      </w:hyperlink>
      <w:r>
        <w:t xml:space="preserve">. Journal of Information Science. 2007;33(2):163–80.</w:t>
      </w:r>
      <w:r>
        <w:t xml:space="preserve"> </w:t>
      </w:r>
    </w:p>
    <w:bookmarkEnd w:id="177"/>
    <w:bookmarkStart w:id="179" w:name="ref-rao2006"/>
    <w:p>
      <w:pPr>
        <w:pStyle w:val="Bibliography"/>
      </w:pPr>
      <w:r>
        <w:t xml:space="preserve">35.</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8">
        <w:r>
          <w:rPr>
            <w:rStyle w:val="Hyperlink"/>
          </w:rPr>
          <w:t xml:space="preserve">https://onlinelibrary.wiley.com/doi/abs/10.1057/palgrave.emr.1500057</w:t>
        </w:r>
      </w:hyperlink>
    </w:p>
    <w:bookmarkEnd w:id="179"/>
    <w:bookmarkStart w:id="181" w:name="ref-massingham2018"/>
    <w:p>
      <w:pPr>
        <w:pStyle w:val="Bibliography"/>
      </w:pPr>
      <w:r>
        <w:t xml:space="preserve">36.</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0">
        <w:r>
          <w:rPr>
            <w:rStyle w:val="Hyperlink"/>
          </w:rPr>
          <w:t xml:space="preserve">https://doi.org/10.1108/JKM-08-2016-0338</w:t>
        </w:r>
      </w:hyperlink>
    </w:p>
    <w:bookmarkEnd w:id="181"/>
    <w:bookmarkStart w:id="183" w:name="ref-farnese2019"/>
    <w:p>
      <w:pPr>
        <w:pStyle w:val="Bibliography"/>
      </w:pPr>
      <w:r>
        <w:t xml:space="preserve">37.</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2">
        <w:r>
          <w:rPr>
            <w:rStyle w:val="Hyperlink"/>
          </w:rPr>
          <w:t xml:space="preserve">https://www.frontiersin.org/articles/10.3389/fpsyg.2019.02730</w:t>
        </w:r>
      </w:hyperlink>
    </w:p>
    <w:bookmarkEnd w:id="183"/>
    <w:bookmarkStart w:id="185" w:name="ref-foos2006"/>
    <w:p>
      <w:pPr>
        <w:pStyle w:val="Bibliography"/>
      </w:pPr>
      <w:r>
        <w:t xml:space="preserve">38.</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4">
        <w:r>
          <w:rPr>
            <w:rStyle w:val="Hyperlink"/>
          </w:rPr>
          <w:t xml:space="preserve">https://www.emerald.com/insight/content/doi/10.1108/13673270610650067/full/html</w:t>
        </w:r>
      </w:hyperlink>
    </w:p>
    <w:bookmarkEnd w:id="185"/>
    <w:bookmarkStart w:id="187" w:name="ref-benbya2004"/>
    <w:p>
      <w:pPr>
        <w:pStyle w:val="Bibliography"/>
      </w:pPr>
      <w:r>
        <w:t xml:space="preserve">39.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6">
        <w:r>
          <w:rPr>
            <w:rStyle w:val="Hyperlink"/>
          </w:rPr>
          <w:t xml:space="preserve">https://doi.org/10.1016/j.ijinfomgt.2003.12.012</w:t>
        </w:r>
      </w:hyperlink>
    </w:p>
    <w:bookmarkEnd w:id="187"/>
    <w:bookmarkStart w:id="189" w:name="ref-zhang2025"/>
    <w:p>
      <w:pPr>
        <w:pStyle w:val="Bibliography"/>
      </w:pPr>
      <w:r>
        <w:t xml:space="preserve">40.</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8">
        <w:r>
          <w:rPr>
            <w:rStyle w:val="Hyperlink"/>
          </w:rPr>
          <w:t xml:space="preserve">https://www.emerald.com/insight/content/doi/10.1108/JKM-03-2024-0262/full/html</w:t>
        </w:r>
      </w:hyperlink>
    </w:p>
    <w:bookmarkEnd w:id="189"/>
    <w:bookmarkStart w:id="191" w:name="ref-wang2018"/>
    <w:p>
      <w:pPr>
        <w:pStyle w:val="Bibliography"/>
      </w:pPr>
      <w:r>
        <w:t xml:space="preserve">41.</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0">
        <w:r>
          <w:rPr>
            <w:rStyle w:val="Hyperlink"/>
          </w:rPr>
          <w:t xml:space="preserve">https://www.sciencedirect.com/science/article/abs/pii/S0040162516000500</w:t>
        </w:r>
      </w:hyperlink>
    </w:p>
    <w:bookmarkEnd w:id="191"/>
    <w:bookmarkStart w:id="193" w:name="ref-wang2017"/>
    <w:p>
      <w:pPr>
        <w:pStyle w:val="Bibliography"/>
      </w:pPr>
      <w:r>
        <w:t xml:space="preserve">42.</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2">
        <w:r>
          <w:rPr>
            <w:rStyle w:val="Hyperlink"/>
          </w:rPr>
          <w:t xml:space="preserve">https://www.sciencedirect.com/science/article/abs/pii/S0148296316304891</w:t>
        </w:r>
      </w:hyperlink>
    </w:p>
    <w:bookmarkEnd w:id="193"/>
    <w:bookmarkStart w:id="194" w:name="ref-himss2024apac"/>
    <w:p>
      <w:pPr>
        <w:pStyle w:val="Bibliography"/>
      </w:pPr>
      <w:r>
        <w:t xml:space="preserve">43.</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milneives2020"/>
    <w:p>
      <w:pPr>
        <w:pStyle w:val="Bibliography"/>
      </w:pPr>
      <w:r>
        <w:t xml:space="preserve">108.</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6">
        <w:r>
          <w:rPr>
            <w:rStyle w:val="Hyperlink"/>
          </w:rPr>
          <w:t xml:space="preserve">https://www.jmir.org/2020/10/e20346/</w:t>
        </w:r>
      </w:hyperlink>
    </w:p>
    <w:bookmarkEnd w:id="307"/>
    <w:bookmarkStart w:id="309" w:name="ref-li2023"/>
    <w:p>
      <w:pPr>
        <w:pStyle w:val="Bibliography"/>
      </w:pPr>
      <w:r>
        <w:t xml:space="preserve">109.</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8">
        <w:r>
          <w:rPr>
            <w:rStyle w:val="Hyperlink"/>
          </w:rPr>
          <w:t xml:space="preserve">https://www.sciencedirect.com/science/article/pii/S1386505623001296</w:t>
        </w:r>
      </w:hyperlink>
    </w:p>
    <w:bookmarkEnd w:id="309"/>
    <w:bookmarkStart w:id="311" w:name="ref-pennington2023"/>
    <w:p>
      <w:pPr>
        <w:pStyle w:val="Bibliography"/>
      </w:pPr>
      <w:r>
        <w:t xml:space="preserve">110.</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0">
        <w:r>
          <w:rPr>
            <w:rStyle w:val="Hyperlink"/>
          </w:rPr>
          <w:t xml:space="preserve">https://mds.marshall.edu/etd/1824/</w:t>
        </w:r>
      </w:hyperlink>
    </w:p>
    <w:bookmarkEnd w:id="311"/>
    <w:bookmarkStart w:id="313" w:name="ref-atobatele2023"/>
    <w:p>
      <w:pPr>
        <w:pStyle w:val="Bibliography"/>
      </w:pPr>
      <w:r>
        <w:t xml:space="preserve">111.</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2">
        <w:r>
          <w:rPr>
            <w:rStyle w:val="Hyperlink"/>
          </w:rPr>
          <w:t xml:space="preserve">https://gisrrj.com/paper/GISRRJ236426.pdf</w:t>
        </w:r>
      </w:hyperlink>
    </w:p>
    <w:bookmarkEnd w:id="313"/>
    <w:bookmarkStart w:id="315" w:name="ref-jiao2023"/>
    <w:p>
      <w:pPr>
        <w:pStyle w:val="Bibliography"/>
      </w:pPr>
      <w:r>
        <w:t xml:space="preserve">112.</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4">
        <w:r>
          <w:rPr>
            <w:rStyle w:val="Hyperlink"/>
          </w:rPr>
          <w:t xml:space="preserve">https://ieeexplore.ieee.org/document/10297311</w:t>
        </w:r>
      </w:hyperlink>
    </w:p>
    <w:bookmarkEnd w:id="315"/>
    <w:bookmarkStart w:id="317" w:name="ref-sezgin2022"/>
    <w:p>
      <w:pPr>
        <w:pStyle w:val="Bibliography"/>
      </w:pPr>
      <w:r>
        <w:t xml:space="preserve">113.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6">
        <w:r>
          <w:rPr>
            <w:rStyle w:val="Hyperlink"/>
          </w:rPr>
          <w:t xml:space="preserve">https://medinform.jmir.org/2022/2/e32875</w:t>
        </w:r>
      </w:hyperlink>
    </w:p>
    <w:bookmarkEnd w:id="317"/>
    <w:bookmarkStart w:id="319"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mogili2025"/>
    <w:p>
      <w:pPr>
        <w:pStyle w:val="Bibliography"/>
      </w:pPr>
      <w:r>
        <w:t xml:space="preserve">115.</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0">
        <w:r>
          <w:rPr>
            <w:rStyle w:val="Hyperlink"/>
          </w:rPr>
          <w:t xml:space="preserve">https://sarcouncil.com/download-article/SJECS-209-_2025-630-636.pdf</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6"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80"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6"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62"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8"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70" Target="https://newsroom.ibm.com/2022-01-21-Francisco-Partners-to-Acquire-IBMs-Healthcare-Data-and-Analytics-Assets" TargetMode="External" /><Relationship Type="http://schemas.openxmlformats.org/officeDocument/2006/relationships/hyperlink" Id="rId178"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4"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72"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4" Target="https://www.emerald.com/insight/content/doi/10.1108/13673270610650067/full/html" TargetMode="External" /><Relationship Type="http://schemas.openxmlformats.org/officeDocument/2006/relationships/hyperlink" Id="rId188"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82"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6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166" Target="https://www.oracle.com/human-capital-management/cost-employee-turnover-healthcare/" TargetMode="External" /><Relationship Type="http://schemas.openxmlformats.org/officeDocument/2006/relationships/hyperlink" Id="rId168"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90" Target="https://www.sciencedirect.com/science/article/abs/pii/S0040162516000500" TargetMode="External" /><Relationship Type="http://schemas.openxmlformats.org/officeDocument/2006/relationships/hyperlink" Id="rId192"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6"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80"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6"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62"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8"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70" Target="https://newsroom.ibm.com/2022-01-21-Francisco-Partners-to-Acquire-IBMs-Healthcare-Data-and-Analytics-Assets" TargetMode="External" /><Relationship Type="http://schemas.openxmlformats.org/officeDocument/2006/relationships/hyperlink" Id="rId178"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4"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72"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4" Target="https://www.emerald.com/insight/content/doi/10.1108/13673270610650067/full/html" TargetMode="External" /><Relationship Type="http://schemas.openxmlformats.org/officeDocument/2006/relationships/hyperlink" Id="rId188"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82"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6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166" Target="https://www.oracle.com/human-capital-management/cost-employee-turnover-healthcare/" TargetMode="External" /><Relationship Type="http://schemas.openxmlformats.org/officeDocument/2006/relationships/hyperlink" Id="rId168"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90" Target="https://www.sciencedirect.com/science/article/abs/pii/S0040162516000500" TargetMode="External" /><Relationship Type="http://schemas.openxmlformats.org/officeDocument/2006/relationships/hyperlink" Id="rId192"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2026-01-13T16:02:36Z</dcterms:created>
  <dcterms:modified xsi:type="dcterms:W3CDTF">2026-01-13T16:02:36Z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