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July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Leadership turnover, workforce shortages, and widespread intent to leave among informatics specialists systematically erase the tacit knowledge required to navigate complex clinical data schemas, trapping organizations in a cycle where knowledge loss outpaces knowledge capture.</w:t>
      </w:r>
    </w:p>
    <w:p>
      <w:pPr>
        <w:pStyle w:val="Abstract"/>
      </w:pPr>
      <w:r>
        <w:t xml:space="preserve">Viewed through Nonaka’s SECI (Socialization, Externalization, Combination, Internalization)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w:t>
      </w:r>
    </w:p>
    <w:p>
      <w:pPr>
        <w:pStyle w:val="Abstract"/>
      </w:pPr>
      <w:r>
        <w:t xml:space="preserve">The</w:t>
      </w:r>
      <w:r>
        <w:t xml:space="preserve"> </w:t>
      </w:r>
      <w:r>
        <w:t xml:space="preserve">“Validator Paradox”</w:t>
      </w:r>
      <w:r>
        <w:t xml:space="preserve"> </w:t>
      </w:r>
      <w:r>
        <w:t xml:space="preserve">(who validates the AI when experts leave?) is addressed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Decoupling analytical capability from individual tenure lets analytics maturity advance even as the workforce evolves. This paper proposes and theoretically motivates the framework; empirical validation is deferred to a companion study.</w:t>
      </w:r>
    </w:p>
    <w:bookmarkStart w:id="9"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healthcare analytics,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“Great Resignation,”</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two-decade-old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t xml:space="preserve">Theoretical Grounding: SECI and the Unstable Workforce</w:t>
      </w:r>
    </w:p>
    <w:p>
      <w:pPr>
        <w:pStyle w:val="FirstParagraph"/>
      </w:pPr>
      <w:r>
        <w:t xml:space="preserve">We ground our analysis in Nonaka’s SECI (Socialization, Externalization, Combination, Internalization) model of knowledge creation</w:t>
      </w:r>
      <w:r>
        <w:t xml:space="preserve"> </w:t>
      </w:r>
      <w:r>
        <w:t xml:space="preserve">[</w:t>
      </w:r>
      <w:hyperlink w:anchor="ref-farnese2019">
        <w:r>
          <w:rPr>
            <w:rStyle w:val="Hyperlink"/>
          </w:rPr>
          <w:t xml:space="preserve">20</w:t>
        </w:r>
      </w:hyperlink>
      <w:r>
        <w:t xml:space="preserve">]</w:t>
      </w:r>
      <w:r>
        <w:t xml:space="preserve">, informed by a narrative literature review across healthcare analytics maturity, workforce turnover,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21</w:t>
        </w:r>
      </w:hyperlink>
      <w:r>
        <w:t xml:space="preserve">]</w:t>
      </w:r>
      <w:r>
        <w:t xml:space="preserve">. Grey literature was retained only when no peer-reviewed equivalent existed or when it provided unique industry data. The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Table 1. Framework alignment with established models.</w:t>
      </w:r>
      <w:r>
        <w:t xml:space="preserve"> </w:t>
      </w:r>
    </w:p>
    <w:tbl>
      <w:tblPr>
        <w:tblStyle w:val="Table"/>
        <w:tblW w:type="pct" w:w="5000"/>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10"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“apprenticeship window”</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10"/>
    <w:bookmarkStart w:id="11"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Centers for Medicare and Medicaid Services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11"/>
    <w:bookmarkEnd w:id="12"/>
    <w:bookmarkStart w:id="22"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63754"/>
            <wp:effectExtent b="0" l="0" r="0" t="0"/>
            <wp:docPr descr="Figure 1. Human-in-the-Loop Knowledge Governance (HITL-KG) architecture."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Figure 1. Human-in-the-Loop Knowledge Governance (HITL-KG) architecture.</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six-step Validated Query Cycle, tracing queries from clinical intent through expert validation into durable organizational memory.</w:t>
      </w:r>
    </w:p>
    <w:p>
      <w:pPr>
        <w:pStyle w:val="CaptionedFigure"/>
      </w:pPr>
      <w:r>
        <w:drawing>
          <wp:inline>
            <wp:extent cx="3381271" cy="6099048"/>
            <wp:effectExtent b="0" l="0" r="0" t="0"/>
            <wp:docPr descr="Figure 2. The six-step Validated Query Cycle and its mapping to the three pillars."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six-step Validated Query Cycle and its mapping to the three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19"/>
    <w:bookmarkStart w:id="20"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30</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20"/>
    <w:bookmarkStart w:id="21"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“schema rot”</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21"/>
    <w:bookmarkEnd w:id="22"/>
    <w:bookmarkStart w:id="26"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23"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“low-maturity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so poor data quality goes unrecognized. The clinical consequences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23"/>
    <w:bookmarkStart w:id="24"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24"/>
    <w:bookmarkStart w:id="25"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25"/>
    <w:bookmarkEnd w:id="26"/>
    <w:bookmarkStart w:id="29"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healthcare found no consensus on what to measure</w:t>
      </w:r>
      <w:r>
        <w:t xml:space="preserve"> </w:t>
      </w:r>
      <w:r>
        <w:t xml:space="preserve">[</w:t>
      </w:r>
      <w:hyperlink w:anchor="ref-ignatowicz2023">
        <w:r>
          <w:rPr>
            <w:rStyle w:val="Hyperlink"/>
          </w:rPr>
          <w:t xml:space="preserve">65</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66</w:t>
        </w:r>
      </w:hyperlink>
      <w:r>
        <w:t xml:space="preserve">]</w:t>
      </w:r>
      <w:r>
        <w:t xml:space="preserve">. The Three-Pillar Assessment addresses this gap by organizing evidence-based indicators around the domains where institutional amnesia operates, measuring not just where an organization stands but how vulnerable it is.</w:t>
      </w:r>
    </w:p>
    <w:bookmarkEnd w:id="27"/>
    <w:bookmarkStart w:id="28"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 Table 2 summarizes the nine indicators; the full rubric with scoring anchors and evidence appears in Multimedia Appendix 2.</w:t>
      </w:r>
    </w:p>
    <w:p>
      <w:pPr>
        <w:pStyle w:val="TableCaption"/>
      </w:pPr>
      <w:r>
        <w:t xml:space="preserve">Table 2. Three-Pillar Assessment Rubric indicators (full rubric with anchors in Multimedia Appendix 2).</w:t>
      </w:r>
      <w:r>
        <w:t xml:space="preserve"> </w:t>
      </w:r>
    </w:p>
    <w:tbl>
      <w:tblPr>
        <w:tblStyle w:val="Table"/>
        <w:tblW w:type="pct" w:w="5000"/>
        <w:tblLayout w:type="fixed"/>
        <w:tblLook w:firstRow="1" w:lastRow="0" w:firstColumn="0" w:lastColumn="0" w:noHBand="0" w:noVBand="0" w:val="0020"/>
        <w:tblCaption w:val="Table 2. Three-Pillar Assessment Rubric indicators (full rubric with anchors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AI/NL interface</w:t>
            </w:r>
          </w:p>
        </w:tc>
      </w:tr>
      <w:tr>
        <w:tc>
          <w:tcPr/>
          <w:p>
            <w:pPr>
              <w:pStyle w:val="Compact"/>
              <w:jc w:val="left"/>
            </w:pPr>
            <w:r>
              <w:t xml:space="preserve">Workforce Agility</w:t>
            </w:r>
          </w:p>
        </w:tc>
        <w:tc>
          <w:tcPr/>
          <w:p>
            <w:pPr>
              <w:pStyle w:val="Compact"/>
              <w:jc w:val="left"/>
            </w:pPr>
            <w:r>
              <w:t xml:space="preserve">First-year analytics staff turnover; leadership tenure; knowledge concentration</w:t>
            </w:r>
          </w:p>
        </w:tc>
      </w:tr>
      <w:tr>
        <w:tc>
          <w:tcPr/>
          <w:p>
            <w:pPr>
              <w:pStyle w:val="Compact"/>
              <w:jc w:val="left"/>
            </w:pPr>
            <w:r>
              <w:t xml:space="preserve">Technical Enablement</w:t>
            </w:r>
          </w:p>
        </w:tc>
        <w:tc>
          <w:tcPr/>
          <w:p>
            <w:pPr>
              <w:pStyle w:val="Compact"/>
              <w:jc w:val="left"/>
            </w:pPr>
            <w:r>
              <w:t xml:space="preserve">Data access; interoperability; schema coupling</w:t>
            </w:r>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30"/>
    <w:bookmarkStart w:id="31"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“call-out”</w:t>
      </w:r>
      <w:r>
        <w:t xml:space="preserve"> </w:t>
      </w:r>
      <w:r>
        <w:t xml:space="preserve">that interrupts uncritical acceptance, so the friction of validation is not a cost but the mechanism of safety itself.</w:t>
      </w:r>
    </w:p>
    <w:bookmarkEnd w:id="31"/>
    <w:bookmarkStart w:id="32"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33"/>
    <w:bookmarkStart w:id="34"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34"/>
    <w:bookmarkStart w:id="35"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35"/>
    <w:bookmarkStart w:id="36"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38"/>
    <w:bookmarkStart w:id="39" w:name="funding"/>
    <w:p>
      <w:pPr>
        <w:pStyle w:val="Heading1"/>
      </w:pPr>
      <w:r>
        <w:t xml:space="preserve">Funding</w:t>
      </w:r>
    </w:p>
    <w:p>
      <w:pPr>
        <w:pStyle w:val="FirstParagraph"/>
      </w:pPr>
      <w:r>
        <w:t xml:space="preserve">Yuimedi, Inc. provided financial support for the author’s time researching and writing this manuscript.</w:t>
      </w:r>
    </w:p>
    <w:bookmarkEnd w:id="39"/>
    <w:bookmarkStart w:id="40"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40"/>
    <w:bookmarkStart w:id="209" w:name="references"/>
    <w:p>
      <w:pPr>
        <w:pStyle w:val="Heading1"/>
      </w:pPr>
      <w:r>
        <w:t xml:space="preserve">References</w:t>
      </w:r>
    </w:p>
    <w:bookmarkStart w:id="208" w:name="refs"/>
    <w:bookmarkStart w:id="42"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1">
        <w:r>
          <w:rPr>
            <w:rStyle w:val="Hyperlink"/>
          </w:rPr>
          <w:t xml:space="preserve">https://www.himss.org/maturity-models/amam/</w:t>
        </w:r>
      </w:hyperlink>
    </w:p>
    <w:bookmarkEnd w:id="42"/>
    <w:bookmarkStart w:id="44" w:name="ref-himss2024news"/>
    <w:p>
      <w:pPr>
        <w:pStyle w:val="Bibliography"/>
      </w:pPr>
      <w:r>
        <w:t xml:space="preserve">2.</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43">
        <w:r>
          <w:rPr>
            <w:rStyle w:val="Hyperlink"/>
          </w:rPr>
          <w:t xml:space="preserve">https://www.healthcareitnews.com/news/asia/himss24-apac-adoption-model-analytics-maturity-gets-facelift</w:t>
        </w:r>
      </w:hyperlink>
    </w:p>
    <w:bookmarkEnd w:id="44"/>
    <w:bookmarkStart w:id="46" w:name="ref-gal2019"/>
    <w:p>
      <w:pPr>
        <w:pStyle w:val="Bibliography"/>
      </w:pPr>
      <w:r>
        <w:t xml:space="preserve">3.</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5">
        <w:r>
          <w:rPr>
            <w:rStyle w:val="Hyperlink"/>
          </w:rPr>
          <w:t xml:space="preserve">https://www.nyulawreview.org/issues/volume-94-number-4/data-standardization/</w:t>
        </w:r>
      </w:hyperlink>
    </w:p>
    <w:bookmarkEnd w:id="46"/>
    <w:bookmarkStart w:id="48" w:name="ref-zhang2024"/>
    <w:p>
      <w:pPr>
        <w:pStyle w:val="Bibliography"/>
      </w:pPr>
      <w:r>
        <w:t xml:space="preserve">4.</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47">
        <w:r>
          <w:rPr>
            <w:rStyle w:val="Hyperlink"/>
          </w:rPr>
          <w:t xml:space="preserve">10.1093/jamiaopen/ooae058</w:t>
        </w:r>
      </w:hyperlink>
    </w:p>
    <w:bookmarkEnd w:id="48"/>
    <w:bookmarkStart w:id="50" w:name="ref-hong2025"/>
    <w:p>
      <w:pPr>
        <w:pStyle w:val="Bibliography"/>
      </w:pPr>
      <w:r>
        <w:t xml:space="preserve">5.</w:t>
      </w:r>
      <w:r>
        <w:t xml:space="preserve"> </w:t>
      </w:r>
      <w:r>
        <w:t xml:space="preserve">	</w:t>
      </w:r>
      <w:r>
        <w:t xml:space="preserve">Hong JH.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49">
        <w:r>
          <w:rPr>
            <w:rStyle w:val="Hyperlink"/>
          </w:rPr>
          <w:t xml:space="preserve">10.1093/jopart/muaf019</w:t>
        </w:r>
      </w:hyperlink>
    </w:p>
    <w:bookmarkEnd w:id="50"/>
    <w:bookmarkStart w:id="52"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1">
        <w:r>
          <w:rPr>
            <w:rStyle w:val="Hyperlink"/>
          </w:rPr>
          <w:t xml:space="preserve">https://api.wittkieffer.com/wp-content/uploads/2012/10/cio-insights-the-state-of-healthcare-it-leadership-wittkieffer-october-2024.pdf</w:t>
        </w:r>
      </w:hyperlink>
    </w:p>
    <w:bookmarkEnd w:id="52"/>
    <w:bookmarkStart w:id="54" w:name="ref-ren2024"/>
    <w:p>
      <w:pPr>
        <w:pStyle w:val="Bibliography"/>
      </w:pPr>
      <w:r>
        <w:t xml:space="preserve">7.</w:t>
      </w:r>
      <w:r>
        <w:t xml:space="preserve"> </w:t>
      </w:r>
      <w:r>
        <w:t xml:space="preserve">	</w:t>
      </w:r>
      <w:r>
        <w:t xml:space="preserve">Ren H, Li P, Xue Y, Xin W, Yin X, Li H.</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53">
        <w:r>
          <w:rPr>
            <w:rStyle w:val="Hyperlink"/>
          </w:rPr>
          <w:t xml:space="preserve">10.1155/2024/5063998</w:t>
        </w:r>
      </w:hyperlink>
    </w:p>
    <w:bookmarkEnd w:id="54"/>
    <w:bookmarkStart w:id="56" w:name="ref-wu2024"/>
    <w:p>
      <w:pPr>
        <w:pStyle w:val="Bibliography"/>
      </w:pPr>
      <w:r>
        <w:t xml:space="preserve">8.</w:t>
      </w:r>
      <w:r>
        <w:t xml:space="preserve"> </w:t>
      </w:r>
      <w:r>
        <w:t xml:space="preserve">	</w:t>
      </w:r>
      <w:r>
        <w:t xml:space="preserve">Wu F, Lao Y, Feng Y, Zhu J, Zhang Y,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55">
        <w:r>
          <w:rPr>
            <w:rStyle w:val="Hyperlink"/>
          </w:rPr>
          <w:t xml:space="preserve">10.1002/nop2.2097</w:t>
        </w:r>
      </w:hyperlink>
    </w:p>
    <w:bookmarkEnd w:id="56"/>
    <w:bookmarkStart w:id="58" w:name="ref-rajamani2025"/>
    <w:p>
      <w:pPr>
        <w:pStyle w:val="Bibliography"/>
      </w:pPr>
      <w:r>
        <w:t xml:space="preserve">9.</w:t>
      </w:r>
      <w:r>
        <w:t xml:space="preserve"> </w:t>
      </w:r>
      <w:r>
        <w:t xml:space="preserve">	</w:t>
      </w:r>
      <w:r>
        <w:t xml:space="preserve">Rajamani S, Leider JP, Gunashekar DR, Dixon BE.</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57">
        <w:r>
          <w:rPr>
            <w:rStyle w:val="Hyperlink"/>
          </w:rPr>
          <w:t xml:space="preserve">10.1093/jamia/ocaf019</w:t>
        </w:r>
      </w:hyperlink>
    </w:p>
    <w:bookmarkEnd w:id="58"/>
    <w:bookmarkStart w:id="60" w:name="ref-pollitt2000"/>
    <w:p>
      <w:pPr>
        <w:pStyle w:val="Bibliography"/>
      </w:pPr>
      <w:r>
        <w:t xml:space="preserve">10.</w:t>
      </w:r>
      <w:r>
        <w:t xml:space="preserve"> </w:t>
      </w:r>
      <w:r>
        <w:t xml:space="preserve">	</w:t>
      </w:r>
      <w:r>
        <w:t xml:space="preserve">Pollitt C.</w:t>
      </w:r>
      <w:r>
        <w:t xml:space="preserve"> </w:t>
      </w:r>
      <w:r>
        <w:t xml:space="preserve">Institutional Amnesia: A Paradox of the ’Information Age’?</w:t>
      </w:r>
      <w:r>
        <w:t xml:space="preserve"> </w:t>
      </w:r>
      <w:r>
        <w:rPr>
          <w:i/>
          <w:iCs/>
        </w:rPr>
        <w:t xml:space="preserve">Prometheus</w:t>
      </w:r>
      <w:r>
        <w:t xml:space="preserve">. 2000;18(1):5-16. doi:</w:t>
      </w:r>
      <w:hyperlink r:id="rId59">
        <w:r>
          <w:rPr>
            <w:rStyle w:val="Hyperlink"/>
          </w:rPr>
          <w:t xml:space="preserve">10.1080/08109020050000627</w:t>
        </w:r>
      </w:hyperlink>
    </w:p>
    <w:bookmarkEnd w:id="60"/>
    <w:bookmarkStart w:id="62" w:name="ref-stark2019"/>
    <w:p>
      <w:pPr>
        <w:pStyle w:val="Bibliography"/>
      </w:pPr>
      <w:r>
        <w:t xml:space="preserve">11.</w:t>
      </w:r>
      <w:r>
        <w:t xml:space="preserve"> </w:t>
      </w:r>
      <w:r>
        <w:t xml:space="preserve">	</w:t>
      </w:r>
      <w:r>
        <w:t xml:space="preserve">Stark A, Head B.</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61">
        <w:r>
          <w:rPr>
            <w:rStyle w:val="Hyperlink"/>
          </w:rPr>
          <w:t xml:space="preserve">10.1080/13501763.2018.1535612</w:t>
        </w:r>
      </w:hyperlink>
    </w:p>
    <w:bookmarkEnd w:id="62"/>
    <w:bookmarkStart w:id="64" w:name="ref-deholan2004"/>
    <w:p>
      <w:pPr>
        <w:pStyle w:val="Bibliography"/>
      </w:pPr>
      <w:r>
        <w:t xml:space="preserve">12.</w:t>
      </w:r>
      <w:r>
        <w:t xml:space="preserve"> </w:t>
      </w:r>
      <w:r>
        <w:t xml:space="preserve">	</w:t>
      </w:r>
      <w:r>
        <w:t xml:space="preserve">Holan PM de, Phillips N.</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63">
        <w:r>
          <w:rPr>
            <w:rStyle w:val="Hyperlink"/>
          </w:rPr>
          <w:t xml:space="preserve">10.1287/mnsc.1040.0273</w:t>
        </w:r>
      </w:hyperlink>
    </w:p>
    <w:bookmarkEnd w:id="64"/>
    <w:bookmarkStart w:id="66" w:name="ref-rao2006"/>
    <w:p>
      <w:pPr>
        <w:pStyle w:val="Bibliography"/>
      </w:pPr>
      <w:r>
        <w:t xml:space="preserve">13.</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 doi:</w:t>
      </w:r>
      <w:hyperlink r:id="rId65">
        <w:r>
          <w:rPr>
            <w:rStyle w:val="Hyperlink"/>
          </w:rPr>
          <w:t xml:space="preserve">10.1057/palgrave.emr.1500057</w:t>
        </w:r>
      </w:hyperlink>
    </w:p>
    <w:bookmarkEnd w:id="66"/>
    <w:bookmarkStart w:id="68" w:name="ref-gitelman2013"/>
    <w:p>
      <w:pPr>
        <w:pStyle w:val="Bibliography"/>
      </w:pPr>
      <w:r>
        <w:t xml:space="preserve">14.</w:t>
      </w:r>
      <w:r>
        <w:t xml:space="preserve"> </w:t>
      </w:r>
      <w:r>
        <w:t xml:space="preserve">	</w:t>
      </w:r>
      <w:r>
        <w:t xml:space="preserve">, ed.Gitelman L.</w:t>
      </w:r>
      <w:r>
        <w:t xml:space="preserve"> </w:t>
      </w:r>
      <w:r>
        <w:rPr>
          <w:i/>
          <w:iCs/>
        </w:rPr>
        <w:t xml:space="preserve">"Raw Data" Is an Oxymoron</w:t>
      </w:r>
      <w:r>
        <w:t xml:space="preserve">. MIT Press; 2013. doi:</w:t>
      </w:r>
      <w:hyperlink r:id="rId67">
        <w:r>
          <w:rPr>
            <w:rStyle w:val="Hyperlink"/>
          </w:rPr>
          <w:t xml:space="preserve">10.7551/mitpress/9302.001.0001</w:t>
        </w:r>
      </w:hyperlink>
    </w:p>
    <w:bookmarkEnd w:id="68"/>
    <w:bookmarkStart w:id="70" w:name="ref-wang2020"/>
    <w:p>
      <w:pPr>
        <w:pStyle w:val="Bibliography"/>
      </w:pPr>
      <w:r>
        <w:t xml:space="preserve">15.</w:t>
      </w:r>
      <w:r>
        <w:t xml:space="preserve"> </w:t>
      </w:r>
      <w:r>
        <w:t xml:space="preserve">	</w:t>
      </w:r>
      <w:r>
        <w:t xml:space="preserve">Wang P, Shi T, Reddy CK.</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9">
        <w:r>
          <w:rPr>
            <w:rStyle w:val="Hyperlink"/>
          </w:rPr>
          <w:t xml:space="preserve">10.1145/3366423.3380120</w:t>
        </w:r>
      </w:hyperlink>
    </w:p>
    <w:bookmarkEnd w:id="70"/>
    <w:bookmarkStart w:id="72" w:name="ref-mayo2016"/>
    <w:p>
      <w:pPr>
        <w:pStyle w:val="Bibliography"/>
      </w:pPr>
      <w:r>
        <w:t xml:space="preserve">16.</w:t>
      </w:r>
      <w:r>
        <w:t xml:space="preserve"> </w:t>
      </w:r>
      <w:r>
        <w:t xml:space="preserve">	</w:t>
      </w:r>
      <w:r>
        <w:t xml:space="preserve">Mayo CS, Deasy JO, Chera BS, Freymann J, Kirby JS, Hardenberg PH.</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71">
        <w:r>
          <w:rPr>
            <w:rStyle w:val="Hyperlink"/>
          </w:rPr>
          <w:t xml:space="preserve">10.1016/j.ijrobp.2015.12.355</w:t>
        </w:r>
      </w:hyperlink>
    </w:p>
    <w:bookmarkEnd w:id="72"/>
    <w:bookmarkStart w:id="74" w:name="ref-ledikwe2013"/>
    <w:p>
      <w:pPr>
        <w:pStyle w:val="Bibliography"/>
      </w:pPr>
      <w:r>
        <w:t xml:space="preserve">17.</w:t>
      </w:r>
      <w:r>
        <w:t xml:space="preserve"> </w:t>
      </w:r>
      <w:r>
        <w:t xml:space="preserve">	</w:t>
      </w:r>
      <w:r>
        <w:t xml:space="preserve">Ledikwe JH, Reason LL, Burnett SM, et al.</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3">
        <w:r>
          <w:rPr>
            <w:rStyle w:val="Hyperlink"/>
          </w:rPr>
          <w:t xml:space="preserve">10.1186/1478-4491-11-35</w:t>
        </w:r>
      </w:hyperlink>
    </w:p>
    <w:bookmarkEnd w:id="74"/>
    <w:bookmarkStart w:id="76" w:name="ref-mantas2010"/>
    <w:p>
      <w:pPr>
        <w:pStyle w:val="Bibliography"/>
      </w:pPr>
      <w:r>
        <w:t xml:space="preserve">18.</w:t>
      </w:r>
      <w:r>
        <w:t xml:space="preserve"> </w:t>
      </w:r>
      <w:r>
        <w:t xml:space="preserve">	</w:t>
      </w:r>
      <w:r>
        <w:t xml:space="preserve">Mantas J, Ammenwerth E, Demiris G, et al.</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75">
        <w:r>
          <w:rPr>
            <w:rStyle w:val="Hyperlink"/>
          </w:rPr>
          <w:t xml:space="preserve">10.3414/ME5119</w:t>
        </w:r>
      </w:hyperlink>
    </w:p>
    <w:bookmarkEnd w:id="76"/>
    <w:bookmarkStart w:id="78" w:name="ref-ang2004"/>
    <w:p>
      <w:pPr>
        <w:pStyle w:val="Bibliography"/>
      </w:pPr>
      <w:r>
        <w:t xml:space="preserve">19.</w:t>
      </w:r>
      <w:r>
        <w:t xml:space="preserve"> </w:t>
      </w:r>
      <w:r>
        <w:t xml:space="preserve">	</w:t>
      </w:r>
      <w:r>
        <w:t xml:space="preserve">Ang S, Slaughter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77">
        <w:r>
          <w:rPr>
            <w:rStyle w:val="Hyperlink"/>
          </w:rPr>
          <w:t xml:space="preserve">10.1145/1017114.1017118</w:t>
        </w:r>
      </w:hyperlink>
    </w:p>
    <w:bookmarkEnd w:id="78"/>
    <w:bookmarkStart w:id="80" w:name="ref-farnese2019"/>
    <w:p>
      <w:pPr>
        <w:pStyle w:val="Bibliography"/>
      </w:pPr>
      <w:r>
        <w:t xml:space="preserve">20.</w:t>
      </w:r>
      <w:r>
        <w:t xml:space="preserve"> </w:t>
      </w:r>
      <w:r>
        <w:t xml:space="preserve">	</w:t>
      </w:r>
      <w:r>
        <w:t xml:space="preserve">Farnese ML, Barbieri B, Chirumbolo A, Patriotta G.</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79">
        <w:r>
          <w:rPr>
            <w:rStyle w:val="Hyperlink"/>
          </w:rPr>
          <w:t xml:space="preserve">10.3389/fpsyg.2019.02730</w:t>
        </w:r>
      </w:hyperlink>
    </w:p>
    <w:bookmarkEnd w:id="80"/>
    <w:bookmarkStart w:id="82"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81">
        <w:r>
          <w:rPr>
            <w:rStyle w:val="Hyperlink"/>
          </w:rPr>
          <w:t xml:space="preserve">https://fac.flinders.edu.au/dspace/api/core/bitstreams/e94a96eb-0334-4300-8880-c836d4d9a676/content</w:t>
        </w:r>
      </w:hyperlink>
    </w:p>
    <w:bookmarkEnd w:id="82"/>
    <w:bookmarkStart w:id="84" w:name="ref-foos2006"/>
    <w:p>
      <w:pPr>
        <w:pStyle w:val="Bibliography"/>
      </w:pPr>
      <w:r>
        <w:t xml:space="preserve">22.</w:t>
      </w:r>
      <w:r>
        <w:t xml:space="preserve"> </w:t>
      </w:r>
      <w:r>
        <w:t xml:space="preserve">	</w:t>
      </w:r>
      <w:r>
        <w:t xml:space="preserve">Foos T, Schum G, Rothenberg S.</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3">
        <w:r>
          <w:rPr>
            <w:rStyle w:val="Hyperlink"/>
          </w:rPr>
          <w:t xml:space="preserve">10.1108/13673270610650067</w:t>
        </w:r>
      </w:hyperlink>
    </w:p>
    <w:bookmarkEnd w:id="84"/>
    <w:bookmarkStart w:id="86" w:name="ref-nsi2025"/>
    <w:p>
      <w:pPr>
        <w:pStyle w:val="Bibliography"/>
      </w:pPr>
      <w:r>
        <w:t xml:space="preserve">23.</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85">
        <w:r>
          <w:rPr>
            <w:rStyle w:val="Hyperlink"/>
          </w:rPr>
          <w:t xml:space="preserve">https://www.nsinursingsolutions.com/documents/library/nsi_national_health_care_retention_report.pdf</w:t>
        </w:r>
      </w:hyperlink>
    </w:p>
    <w:bookmarkEnd w:id="86"/>
    <w:bookmarkStart w:id="88" w:name="ref-massingham2018"/>
    <w:p>
      <w:pPr>
        <w:pStyle w:val="Bibliography"/>
      </w:pPr>
      <w:r>
        <w:t xml:space="preserve">24.</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87">
        <w:r>
          <w:rPr>
            <w:rStyle w:val="Hyperlink"/>
          </w:rPr>
          <w:t xml:space="preserve">10.1108/JKM-08-2016-0338</w:t>
        </w:r>
      </w:hyperlink>
    </w:p>
    <w:bookmarkEnd w:id="88"/>
    <w:bookmarkStart w:id="90" w:name="ref-zhang2025"/>
    <w:p>
      <w:pPr>
        <w:pStyle w:val="Bibliography"/>
      </w:pPr>
      <w:r>
        <w:t xml:space="preserve">25.</w:t>
      </w:r>
      <w:r>
        <w:t xml:space="preserve"> </w:t>
      </w:r>
      <w:r>
        <w:t xml:space="preserve">	</w:t>
      </w:r>
      <w:r>
        <w:t xml:space="preserve">Zhang W, Zhang W, Daim T, Yalçın H.</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89">
        <w:r>
          <w:rPr>
            <w:rStyle w:val="Hyperlink"/>
          </w:rPr>
          <w:t xml:space="preserve">10.1108/JKM-02-2024-0203</w:t>
        </w:r>
      </w:hyperlink>
    </w:p>
    <w:bookmarkEnd w:id="90"/>
    <w:bookmarkStart w:id="92" w:name="ref-goffin2011"/>
    <w:p>
      <w:pPr>
        <w:pStyle w:val="Bibliography"/>
      </w:pPr>
      <w:r>
        <w:t xml:space="preserve">26.</w:t>
      </w:r>
      <w:r>
        <w:t xml:space="preserve"> </w:t>
      </w:r>
      <w:r>
        <w:t xml:space="preserve">	</w:t>
      </w:r>
      <w:r>
        <w:t xml:space="preserve">Goffin K, Koners U.</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91">
        <w:r>
          <w:rPr>
            <w:rStyle w:val="Hyperlink"/>
          </w:rPr>
          <w:t xml:space="preserve">10.1111/j.1540-5885.2010.00798.x</w:t>
        </w:r>
      </w:hyperlink>
    </w:p>
    <w:bookmarkEnd w:id="92"/>
    <w:bookmarkStart w:id="94"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93">
        <w:r>
          <w:rPr>
            <w:rStyle w:val="Hyperlink"/>
          </w:rPr>
          <w:t xml:space="preserve">https://www.himss.org/resources/the-future-of-workforce/</w:t>
        </w:r>
      </w:hyperlink>
    </w:p>
    <w:bookmarkEnd w:id="94"/>
    <w:bookmarkStart w:id="96" w:name="ref-moore2018"/>
    <w:p>
      <w:pPr>
        <w:pStyle w:val="Bibliography"/>
      </w:pPr>
      <w:r>
        <w:t xml:space="preserve">28.</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5">
        <w:r>
          <w:rPr>
            <w:rStyle w:val="Hyperlink"/>
          </w:rPr>
          <w:t xml:space="preserve">https://wendyju.com/publications/18_ijee3593.pdf</w:t>
        </w:r>
      </w:hyperlink>
    </w:p>
    <w:bookmarkEnd w:id="96"/>
    <w:bookmarkStart w:id="98" w:name="ref-foss2007"/>
    <w:p>
      <w:pPr>
        <w:pStyle w:val="Bibliography"/>
      </w:pPr>
      <w:r>
        <w:t xml:space="preserve">29.</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7">
        <w:r>
          <w:rPr>
            <w:rStyle w:val="Hyperlink"/>
          </w:rPr>
          <w:t xml:space="preserve">10.1177/1350508407071859</w:t>
        </w:r>
      </w:hyperlink>
    </w:p>
    <w:bookmarkEnd w:id="98"/>
    <w:bookmarkStart w:id="100" w:name="ref-lee2023"/>
    <w:p>
      <w:pPr>
        <w:pStyle w:val="Bibliography"/>
      </w:pPr>
      <w:r>
        <w:t xml:space="preserve">30.</w:t>
      </w:r>
      <w:r>
        <w:t xml:space="preserve"> </w:t>
      </w:r>
      <w:r>
        <w:t xml:space="preserve">	</w:t>
      </w:r>
      <w:r>
        <w:t xml:space="preserve">Lee G et al.</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9">
        <w:r>
          <w:rPr>
            <w:rStyle w:val="Hyperlink"/>
          </w:rPr>
          <w:t xml:space="preserve">https://arxiv.org/abs/2301.07695</w:t>
        </w:r>
      </w:hyperlink>
    </w:p>
    <w:bookmarkEnd w:id="100"/>
    <w:bookmarkStart w:id="102" w:name="ref-bravorocca2023"/>
    <w:p>
      <w:pPr>
        <w:pStyle w:val="Bibliography"/>
      </w:pPr>
      <w:r>
        <w:t xml:space="preserve">31.</w:t>
      </w:r>
      <w:r>
        <w:t xml:space="preserve"> </w:t>
      </w:r>
      <w:r>
        <w:t xml:space="preserve">	</w:t>
      </w:r>
      <w:r>
        <w:t xml:space="preserve">Bravo Rocca G.</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2023.</w:t>
      </w:r>
      <w:r>
        <w:t xml:space="preserve"> </w:t>
      </w:r>
      <w:hyperlink r:id="rId101">
        <w:r>
          <w:rPr>
            <w:rStyle w:val="Hyperlink"/>
          </w:rPr>
          <w:t xml:space="preserve">https://hdl.handle.net/10803/695722</w:t>
        </w:r>
      </w:hyperlink>
    </w:p>
    <w:bookmarkEnd w:id="102"/>
    <w:bookmarkStart w:id="104" w:name="ref-mosqueirarey2023"/>
    <w:p>
      <w:pPr>
        <w:pStyle w:val="Bibliography"/>
      </w:pPr>
      <w:r>
        <w:t xml:space="preserve">32.</w:t>
      </w:r>
      <w:r>
        <w:t xml:space="preserve"> </w:t>
      </w:r>
      <w:r>
        <w:t xml:space="preserve">	</w:t>
      </w:r>
      <w:r>
        <w:t xml:space="preserve">Mosqueira-Rey E, Hernández-Pereira E, Alonso-Ríos D, Bobes-Bascarán J, Fernández-Leal Á. Human-in-the-loop machine learning: A state of the art.</w:t>
      </w:r>
      <w:r>
        <w:t xml:space="preserve"> </w:t>
      </w:r>
      <w:r>
        <w:rPr>
          <w:i/>
          <w:iCs/>
        </w:rPr>
        <w:t xml:space="preserve">Artificial Intelligence Review</w:t>
      </w:r>
      <w:r>
        <w:t xml:space="preserve">. 2023;56:3005-3054. doi:</w:t>
      </w:r>
      <w:hyperlink r:id="rId103">
        <w:r>
          <w:rPr>
            <w:rStyle w:val="Hyperlink"/>
          </w:rPr>
          <w:t xml:space="preserve">10.1007/s10462-022-10246-w</w:t>
        </w:r>
      </w:hyperlink>
    </w:p>
    <w:bookmarkEnd w:id="104"/>
    <w:bookmarkStart w:id="106" w:name="ref-benbya2004"/>
    <w:p>
      <w:pPr>
        <w:pStyle w:val="Bibliography"/>
      </w:pPr>
      <w:r>
        <w:t xml:space="preserve">33.</w:t>
      </w:r>
      <w:r>
        <w:t xml:space="preserve"> </w:t>
      </w:r>
      <w:r>
        <w:t xml:space="preserve">	</w:t>
      </w:r>
      <w:r>
        <w:t xml:space="preserve">Benbya H, Passiante G, Belbaly NA.</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05">
        <w:r>
          <w:rPr>
            <w:rStyle w:val="Hyperlink"/>
          </w:rPr>
          <w:t xml:space="preserve">10.1016/j.ijinfomgt.2003.12.012</w:t>
        </w:r>
      </w:hyperlink>
    </w:p>
    <w:bookmarkEnd w:id="106"/>
    <w:bookmarkStart w:id="108" w:name="ref-whittaker2008"/>
    <w:p>
      <w:pPr>
        <w:pStyle w:val="Bibliography"/>
      </w:pPr>
      <w:r>
        <w:t xml:space="preserve">34.</w:t>
      </w:r>
      <w:r>
        <w:t xml:space="preserve"> </w:t>
      </w:r>
      <w:r>
        <w:t xml:space="preserve">	</w:t>
      </w:r>
      <w:r>
        <w:t xml:space="preserve">Whittaker S, Tucker S, Swampillai K, Laban R. Design and evaluation of systems to support interaction capture and retrieval.</w:t>
      </w:r>
      <w:r>
        <w:t xml:space="preserve"> </w:t>
      </w:r>
      <w:r>
        <w:rPr>
          <w:i/>
          <w:iCs/>
        </w:rPr>
        <w:t xml:space="preserve">Personal and Ubiquitous Computing</w:t>
      </w:r>
      <w:r>
        <w:t xml:space="preserve">. 2008;12(3):197-221. doi:</w:t>
      </w:r>
      <w:hyperlink r:id="rId107">
        <w:r>
          <w:rPr>
            <w:rStyle w:val="Hyperlink"/>
          </w:rPr>
          <w:t xml:space="preserve">10.1007/s00779-007-0146-3</w:t>
        </w:r>
      </w:hyperlink>
    </w:p>
    <w:bookmarkEnd w:id="108"/>
    <w:bookmarkStart w:id="110"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9">
        <w:r>
          <w:rPr>
            <w:rStyle w:val="Hyperlink"/>
          </w:rPr>
          <w:t xml:space="preserve">10.63282/3050-9262.IJAIDSML-V6I4P130</w:t>
        </w:r>
      </w:hyperlink>
    </w:p>
    <w:bookmarkEnd w:id="110"/>
    <w:bookmarkStart w:id="112" w:name="ref-jindal2019"/>
    <w:p>
      <w:pPr>
        <w:pStyle w:val="Bibliography"/>
      </w:pPr>
      <w:r>
        <w:t xml:space="preserve">36.</w:t>
      </w:r>
      <w:r>
        <w:t xml:space="preserve"> </w:t>
      </w:r>
      <w:r>
        <w:t xml:space="preserve">	</w:t>
      </w:r>
      <w:r>
        <w:t xml:space="preserve">Jindal A, Patel H, Roy A, et al.</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11">
        <w:r>
          <w:rPr>
            <w:rStyle w:val="Hyperlink"/>
          </w:rPr>
          <w:t xml:space="preserve">10.1145/3357223.3362726</w:t>
        </w:r>
      </w:hyperlink>
    </w:p>
    <w:bookmarkEnd w:id="112"/>
    <w:bookmarkStart w:id="114" w:name="ref-kul2018"/>
    <w:p>
      <w:pPr>
        <w:pStyle w:val="Bibliography"/>
      </w:pPr>
      <w:r>
        <w:t xml:space="preserve">37.</w:t>
      </w:r>
      <w:r>
        <w:t xml:space="preserve"> </w:t>
      </w:r>
      <w:r>
        <w:t xml:space="preserve">	</w:t>
      </w:r>
      <w:r>
        <w:t xml:space="preserve">Kul G, Luong DTA, Xie T, Chandola V, Kennedy O, Upadhyaya S.</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13">
        <w:r>
          <w:rPr>
            <w:rStyle w:val="Hyperlink"/>
          </w:rPr>
          <w:t xml:space="preserve">10.1109/TKDE.2018.2831214</w:t>
        </w:r>
      </w:hyperlink>
    </w:p>
    <w:bookmarkEnd w:id="114"/>
    <w:bookmarkStart w:id="116" w:name="ref-ziletti2024"/>
    <w:p>
      <w:pPr>
        <w:pStyle w:val="Bibliography"/>
      </w:pPr>
      <w:r>
        <w:t xml:space="preserve">38.</w:t>
      </w:r>
      <w:r>
        <w:t xml:space="preserve"> </w:t>
      </w:r>
      <w:r>
        <w:t xml:space="preserve">	</w:t>
      </w:r>
      <w:r>
        <w:t xml:space="preserve">Ziletti A, D’Ambrosi L.</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15">
        <w:r>
          <w:rPr>
            <w:rStyle w:val="Hyperlink"/>
          </w:rPr>
          <w:t xml:space="preserve">https://arxiv.org/abs/2403.09226</w:t>
        </w:r>
      </w:hyperlink>
    </w:p>
    <w:bookmarkEnd w:id="116"/>
    <w:bookmarkStart w:id="117" w:name="ref-davenport2007"/>
    <w:p>
      <w:pPr>
        <w:pStyle w:val="Bibliography"/>
      </w:pPr>
      <w:r>
        <w:t xml:space="preserve">39.</w:t>
      </w:r>
      <w:r>
        <w:t xml:space="preserve"> </w:t>
      </w:r>
      <w:r>
        <w:t xml:space="preserve">	</w:t>
      </w:r>
      <w:r>
        <w:t xml:space="preserve">Davenport TH, Harris JG.</w:t>
      </w:r>
      <w:r>
        <w:t xml:space="preserve"> </w:t>
      </w:r>
      <w:r>
        <w:rPr>
          <w:i/>
          <w:iCs/>
        </w:rPr>
        <w:t xml:space="preserve">Competing on Analytics: The New Science of Winning</w:t>
      </w:r>
      <w:r>
        <w:t xml:space="preserve">. Harvard Business School Press; 2007.</w:t>
      </w:r>
    </w:p>
    <w:bookmarkEnd w:id="117"/>
    <w:bookmarkStart w:id="119" w:name="ref-grossman2018"/>
    <w:p>
      <w:pPr>
        <w:pStyle w:val="Bibliography"/>
      </w:pPr>
      <w:r>
        <w:t xml:space="preserve">40.</w:t>
      </w:r>
      <w:r>
        <w:t xml:space="preserve"> </w:t>
      </w:r>
      <w:r>
        <w:t xml:space="preserve">	</w:t>
      </w:r>
      <w:r>
        <w:t xml:space="preserve">Grossman RL.</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18">
        <w:r>
          <w:rPr>
            <w:rStyle w:val="Hyperlink"/>
          </w:rPr>
          <w:t xml:space="preserve">10.1016/j.ijinfomgt.2017.08.005</w:t>
        </w:r>
      </w:hyperlink>
    </w:p>
    <w:bookmarkEnd w:id="119"/>
    <w:bookmarkStart w:id="121" w:name="ref-langer2025"/>
    <w:p>
      <w:pPr>
        <w:pStyle w:val="Bibliography"/>
      </w:pPr>
      <w:r>
        <w:t xml:space="preserve">41.</w:t>
      </w:r>
      <w:r>
        <w:t xml:space="preserve"> </w:t>
      </w:r>
      <w:r>
        <w:t xml:space="preserve">	</w:t>
      </w:r>
      <w:r>
        <w:t xml:space="preserve">Langer B.</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20">
        <w:r>
          <w:rPr>
            <w:rStyle w:val="Hyperlink"/>
          </w:rPr>
          <w:t xml:space="preserve">10.1007/s41471-024-00205-2</w:t>
        </w:r>
      </w:hyperlink>
    </w:p>
    <w:bookmarkEnd w:id="121"/>
    <w:bookmarkStart w:id="123" w:name="ref-halbesleben2013"/>
    <w:p>
      <w:pPr>
        <w:pStyle w:val="Bibliography"/>
      </w:pPr>
      <w:r>
        <w:t xml:space="preserve">42.</w:t>
      </w:r>
      <w:r>
        <w:t xml:space="preserve"> </w:t>
      </w:r>
      <w:r>
        <w:t xml:space="preserve">	</w:t>
      </w:r>
      <w:r>
        <w:t xml:space="preserve">Halbesleben JRB, Whitman MV.</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22">
        <w:r>
          <w:rPr>
            <w:rStyle w:val="Hyperlink"/>
          </w:rPr>
          <w:t xml:space="preserve">10.1111/1475-6773.12002</w:t>
        </w:r>
      </w:hyperlink>
    </w:p>
    <w:bookmarkEnd w:id="123"/>
    <w:bookmarkStart w:id="125" w:name="ref-tomaskovic1994"/>
    <w:p>
      <w:pPr>
        <w:pStyle w:val="Bibliography"/>
      </w:pPr>
      <w:r>
        <w:t xml:space="preserve">43.</w:t>
      </w:r>
      <w:r>
        <w:t xml:space="preserve"> </w:t>
      </w:r>
      <w:r>
        <w:t xml:space="preserve">	</w:t>
      </w:r>
      <w:r>
        <w:t xml:space="preserve">Tomaskovic-Devey D, Leiter J, Thompson S.</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24">
        <w:r>
          <w:rPr>
            <w:rStyle w:val="Hyperlink"/>
          </w:rPr>
          <w:t xml:space="preserve">10.2307/2393298</w:t>
        </w:r>
      </w:hyperlink>
    </w:p>
    <w:bookmarkEnd w:id="125"/>
    <w:bookmarkStart w:id="127"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6">
        <w:r>
          <w:rPr>
            <w:rStyle w:val="Hyperlink"/>
          </w:rPr>
          <w:t xml:space="preserve">https://www.healthcatalyst.com/learn/insights/healthcare-analytics-adoption-model-roadmap-analytic-maturity</w:t>
        </w:r>
      </w:hyperlink>
    </w:p>
    <w:bookmarkEnd w:id="127"/>
    <w:bookmarkStart w:id="129" w:name="ref-snowdon2024"/>
    <w:p>
      <w:pPr>
        <w:pStyle w:val="Bibliography"/>
      </w:pPr>
      <w:r>
        <w:t xml:space="preserve">45.</w:t>
      </w:r>
      <w:r>
        <w:t xml:space="preserve"> </w:t>
      </w:r>
      <w:r>
        <w:t xml:space="preserve">	</w:t>
      </w:r>
      <w:r>
        <w:t xml:space="preserve">Snowdon A, Hussein A, Danforth M, Wright A, Oakes R.</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28">
        <w:r>
          <w:rPr>
            <w:rStyle w:val="Hyperlink"/>
          </w:rPr>
          <w:t xml:space="preserve">10.2196/56316</w:t>
        </w:r>
      </w:hyperlink>
    </w:p>
    <w:bookmarkEnd w:id="129"/>
    <w:bookmarkStart w:id="131"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30">
        <w:r>
          <w:rPr>
            <w:rStyle w:val="Hyperlink"/>
          </w:rPr>
          <w:t xml:space="preserve">10.1001/jamanetworkopen.2021.1793</w:t>
        </w:r>
      </w:hyperlink>
    </w:p>
    <w:bookmarkEnd w:id="131"/>
    <w:bookmarkStart w:id="133" w:name="ref-latrella2024"/>
    <w:p>
      <w:pPr>
        <w:pStyle w:val="Bibliography"/>
      </w:pPr>
      <w:r>
        <w:t xml:space="preserve">47.</w:t>
      </w:r>
      <w:r>
        <w:t xml:space="preserve"> </w:t>
      </w:r>
      <w:r>
        <w:t xml:space="preserve">	</w:t>
      </w:r>
      <w:r>
        <w:t xml:space="preserve">Latrella M, Baldasare L.</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32">
        <w:r>
          <w:rPr>
            <w:rStyle w:val="Hyperlink"/>
          </w:rPr>
          <w:t xml:space="preserve">10.69554/RITW9729</w:t>
        </w:r>
      </w:hyperlink>
    </w:p>
    <w:bookmarkEnd w:id="133"/>
    <w:bookmarkStart w:id="135" w:name="ref-shahbaz2019"/>
    <w:p>
      <w:pPr>
        <w:pStyle w:val="Bibliography"/>
      </w:pPr>
      <w:r>
        <w:t xml:space="preserve">48.</w:t>
      </w:r>
      <w:r>
        <w:t xml:space="preserve"> </w:t>
      </w:r>
      <w:r>
        <w:t xml:space="preserve">	</w:t>
      </w:r>
      <w:r>
        <w:t xml:space="preserve">Shahbaz M, Gao C, Zhai L, Shahzad F, Hu Y.</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34">
        <w:r>
          <w:rPr>
            <w:rStyle w:val="Hyperlink"/>
          </w:rPr>
          <w:t xml:space="preserve">10.1186/s40537-019-0170-y</w:t>
        </w:r>
      </w:hyperlink>
    </w:p>
    <w:bookmarkEnd w:id="135"/>
    <w:bookmarkStart w:id="137" w:name="ref-kamble2019"/>
    <w:p>
      <w:pPr>
        <w:pStyle w:val="Bibliography"/>
      </w:pPr>
      <w:r>
        <w:t xml:space="preserve">49.</w:t>
      </w:r>
      <w:r>
        <w:t xml:space="preserve"> </w:t>
      </w:r>
      <w:r>
        <w:t xml:space="preserve">	</w:t>
      </w:r>
      <w:r>
        <w:t xml:space="preserve">Kamble SS, Gunasekaran A, Goswami M, Manda J.</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36">
        <w:r>
          <w:rPr>
            <w:rStyle w:val="Hyperlink"/>
          </w:rPr>
          <w:t xml:space="preserve">10.1080/20479700.2018.1531606</w:t>
        </w:r>
      </w:hyperlink>
    </w:p>
    <w:bookmarkEnd w:id="137"/>
    <w:bookmarkStart w:id="139" w:name="ref-breu2002"/>
    <w:p>
      <w:pPr>
        <w:pStyle w:val="Bibliography"/>
      </w:pPr>
      <w:r>
        <w:t xml:space="preserve">50.</w:t>
      </w:r>
      <w:r>
        <w:t xml:space="preserve"> </w:t>
      </w:r>
      <w:r>
        <w:t xml:space="preserve">	</w:t>
      </w:r>
      <w:r>
        <w:t xml:space="preserve">Breu K, Hemingway CJ, Strathern M, Bridger D.</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38">
        <w:r>
          <w:rPr>
            <w:rStyle w:val="Hyperlink"/>
          </w:rPr>
          <w:t xml:space="preserve">10.1080/02683960110132070</w:t>
        </w:r>
      </w:hyperlink>
    </w:p>
    <w:bookmarkEnd w:id="139"/>
    <w:bookmarkStart w:id="141" w:name="ref-tessarini2021"/>
    <w:p>
      <w:pPr>
        <w:pStyle w:val="Bibliography"/>
      </w:pPr>
      <w:r>
        <w:t xml:space="preserve">51.</w:t>
      </w:r>
      <w:r>
        <w:t xml:space="preserve"> </w:t>
      </w:r>
      <w:r>
        <w:t xml:space="preserve">	</w:t>
      </w:r>
      <w:r>
        <w:t xml:space="preserve">Tessarini Junior G, Saltorato P.</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40">
        <w:r>
          <w:rPr>
            <w:rStyle w:val="Hyperlink"/>
          </w:rPr>
          <w:t xml:space="preserve">10.15446/innovar.v31n81.95582</w:t>
        </w:r>
      </w:hyperlink>
    </w:p>
    <w:bookmarkEnd w:id="141"/>
    <w:bookmarkStart w:id="143" w:name="ref-wynendaele2025"/>
    <w:p>
      <w:pPr>
        <w:pStyle w:val="Bibliography"/>
      </w:pPr>
      <w:r>
        <w:t xml:space="preserve">52.</w:t>
      </w:r>
      <w:r>
        <w:t xml:space="preserve"> </w:t>
      </w:r>
      <w:r>
        <w:t xml:space="preserve">	</w:t>
      </w:r>
      <w:r>
        <w:t xml:space="preserve">Wynendaele H, Clays E, Peeters E, DeJonghe Y, Van Hecke A, Trybou J.</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42">
        <w:r>
          <w:rPr>
            <w:rStyle w:val="Hyperlink"/>
          </w:rPr>
          <w:t xml:space="preserve">10.1186/s12913-025-12966-5</w:t>
        </w:r>
      </w:hyperlink>
    </w:p>
    <w:bookmarkEnd w:id="143"/>
    <w:bookmarkStart w:id="145" w:name="ref-hackney2024"/>
    <w:p>
      <w:pPr>
        <w:pStyle w:val="Bibliography"/>
      </w:pPr>
      <w:r>
        <w:t xml:space="preserve">53.</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44">
        <w:r>
          <w:rPr>
            <w:rStyle w:val="Hyperlink"/>
          </w:rPr>
          <w:t xml:space="preserve">https://search.proquest.com/openview/9a3a9ef301c01ff0129d07f685b8643f/1</w:t>
        </w:r>
      </w:hyperlink>
    </w:p>
    <w:bookmarkEnd w:id="145"/>
    <w:bookmarkStart w:id="147" w:name="ref-alpar2016"/>
    <w:p>
      <w:pPr>
        <w:pStyle w:val="Bibliography"/>
      </w:pPr>
      <w:r>
        <w:t xml:space="preserve">54.</w:t>
      </w:r>
      <w:r>
        <w:t xml:space="preserve"> </w:t>
      </w:r>
      <w:r>
        <w:t xml:space="preserve">	</w:t>
      </w:r>
      <w:r>
        <w:t xml:space="preserve">Alpar P, Schulz M.</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46">
        <w:r>
          <w:rPr>
            <w:rStyle w:val="Hyperlink"/>
          </w:rPr>
          <w:t xml:space="preserve">10.1007/s12599-016-0424-6</w:t>
        </w:r>
      </w:hyperlink>
    </w:p>
    <w:bookmarkEnd w:id="147"/>
    <w:bookmarkStart w:id="149" w:name="ref-banihani2020"/>
    <w:p>
      <w:pPr>
        <w:pStyle w:val="Bibliography"/>
      </w:pPr>
      <w:r>
        <w:t xml:space="preserve">55.</w:t>
      </w:r>
      <w:r>
        <w:t xml:space="preserve"> </w:t>
      </w:r>
      <w:r>
        <w:t xml:space="preserve">	</w:t>
      </w:r>
      <w:r>
        <w:t xml:space="preserve">Bani-Hani I, Tona O, Carlsson S.</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48">
        <w:r>
          <w:rPr>
            <w:rStyle w:val="Hyperlink"/>
          </w:rPr>
          <w:t xml:space="preserve">10.24251/HICSS.2020.659</w:t>
        </w:r>
      </w:hyperlink>
    </w:p>
    <w:bookmarkEnd w:id="149"/>
    <w:bookmarkStart w:id="151" w:name="ref-blaskovic2025"/>
    <w:p>
      <w:pPr>
        <w:pStyle w:val="Bibliography"/>
      </w:pPr>
      <w:r>
        <w:t xml:space="preserve">56.</w:t>
      </w:r>
      <w:r>
        <w:t xml:space="preserve"> </w:t>
      </w:r>
      <w:r>
        <w:t xml:space="preserve">	</w:t>
      </w:r>
      <w:r>
        <w:t xml:space="preserve">Blašković L, Tanković N, Lorencin I, Baressi Šegota 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50">
        <w:r>
          <w:rPr>
            <w:rStyle w:val="Hyperlink"/>
          </w:rPr>
          <w:t xml:space="preserve">10.3390/bdcc9100256</w:t>
        </w:r>
      </w:hyperlink>
    </w:p>
    <w:bookmarkEnd w:id="151"/>
    <w:bookmarkStart w:id="153" w:name="ref-marshan2024"/>
    <w:p>
      <w:pPr>
        <w:pStyle w:val="Bibliography"/>
      </w:pPr>
      <w:r>
        <w:t xml:space="preserve">57.</w:t>
      </w:r>
      <w:r>
        <w:t xml:space="preserve"> </w:t>
      </w:r>
      <w:r>
        <w:t xml:space="preserve">	</w:t>
      </w:r>
      <w:r>
        <w:t xml:space="preserve">Marshan A, Almutairi AN, Ioannou A, Bell D, Monaghan A, Arzoky M.</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52">
        <w:r>
          <w:rPr>
            <w:rStyle w:val="Hyperlink"/>
          </w:rPr>
          <w:t xml:space="preserve">10.3389/fdata.2024.1371680</w:t>
        </w:r>
      </w:hyperlink>
    </w:p>
    <w:bookmarkEnd w:id="153"/>
    <w:bookmarkStart w:id="155" w:name="ref-chen2026graph"/>
    <w:p>
      <w:pPr>
        <w:pStyle w:val="Bibliography"/>
      </w:pPr>
      <w:r>
        <w:t xml:space="preserve">58.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54">
        <w:r>
          <w:rPr>
            <w:rStyle w:val="Hyperlink"/>
          </w:rPr>
          <w:t xml:space="preserve">10.1016/j.patcog.2025.111800</w:t>
        </w:r>
      </w:hyperlink>
    </w:p>
    <w:bookmarkEnd w:id="155"/>
    <w:bookmarkStart w:id="157" w:name="ref-tarbell2024"/>
    <w:p>
      <w:pPr>
        <w:pStyle w:val="Bibliography"/>
      </w:pPr>
      <w:r>
        <w:t xml:space="preserve">59.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56">
        <w:r>
          <w:rPr>
            <w:rStyle w:val="Hyperlink"/>
          </w:rPr>
          <w:t xml:space="preserve">https://pmc.ncbi.nlm.nih.gov/articles/PMC10785918/</w:t>
        </w:r>
      </w:hyperlink>
    </w:p>
    <w:bookmarkEnd w:id="157"/>
    <w:bookmarkStart w:id="159" w:name="ref-yuan2019"/>
    <w:p>
      <w:pPr>
        <w:pStyle w:val="Bibliography"/>
      </w:pPr>
      <w:r>
        <w:t xml:space="preserve">60.</w:t>
      </w:r>
      <w:r>
        <w:t xml:space="preserve"> </w:t>
      </w:r>
      <w:r>
        <w:t xml:space="preserve">	</w:t>
      </w:r>
      <w:r>
        <w:t xml:space="preserve">Yuan C, Ryan PB, Ta C,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58">
        <w:r>
          <w:rPr>
            <w:rStyle w:val="Hyperlink"/>
          </w:rPr>
          <w:t xml:space="preserve">10.1093/jamia/ocy178</w:t>
        </w:r>
      </w:hyperlink>
    </w:p>
    <w:bookmarkEnd w:id="159"/>
    <w:bookmarkStart w:id="161" w:name="ref-anthropic2025"/>
    <w:p>
      <w:pPr>
        <w:pStyle w:val="Bibliography"/>
      </w:pPr>
      <w:r>
        <w:t xml:space="preserve">61.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60">
        <w:r>
          <w:rPr>
            <w:rStyle w:val="Hyperlink"/>
          </w:rPr>
          <w:t xml:space="preserve">https://resources.anthropic.com/code-modernization-playbook</w:t>
        </w:r>
      </w:hyperlink>
    </w:p>
    <w:bookmarkEnd w:id="161"/>
    <w:bookmarkStart w:id="163" w:name="ref-hendrix1978"/>
    <w:p>
      <w:pPr>
        <w:pStyle w:val="Bibliography"/>
      </w:pPr>
      <w:r>
        <w:t xml:space="preserve">62.</w:t>
      </w:r>
      <w:r>
        <w:t xml:space="preserve"> </w:t>
      </w:r>
      <w:r>
        <w:t xml:space="preserve">	</w:t>
      </w:r>
      <w:r>
        <w:t xml:space="preserve">Hendrix GG, Sacerdoti ED, Sagalowicz D, Slocum J.</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62">
        <w:r>
          <w:rPr>
            <w:rStyle w:val="Hyperlink"/>
          </w:rPr>
          <w:t xml:space="preserve">10.1145/320251.320253</w:t>
        </w:r>
      </w:hyperlink>
    </w:p>
    <w:bookmarkEnd w:id="163"/>
    <w:bookmarkStart w:id="165" w:name="ref-ogunwole2023"/>
    <w:p>
      <w:pPr>
        <w:pStyle w:val="Bibliography"/>
      </w:pPr>
      <w:r>
        <w:t xml:space="preserve">63.</w:t>
      </w:r>
      <w:r>
        <w:t xml:space="preserve"> </w:t>
      </w:r>
      <w:r>
        <w:t xml:space="preserve">	</w:t>
      </w:r>
      <w:r>
        <w:t xml:space="preserve">Ogunwole O, Onukwulu EC.</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64">
        <w:r>
          <w:rPr>
            <w:rStyle w:val="Hyperlink"/>
          </w:rPr>
          <w:t xml:space="preserve">https://www.allmultidisciplinaryjournal.com/uploads/archives/20250306182550_MGE-2025-2-018.1.pdf</w:t>
        </w:r>
      </w:hyperlink>
    </w:p>
    <w:bookmarkEnd w:id="165"/>
    <w:bookmarkStart w:id="167" w:name="ref-arora2025"/>
    <w:p>
      <w:pPr>
        <w:pStyle w:val="Bibliography"/>
      </w:pPr>
      <w:r>
        <w:t xml:space="preserve">64.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66">
        <w:r>
          <w:rPr>
            <w:rStyle w:val="Hyperlink"/>
          </w:rPr>
          <w:t xml:space="preserve">10.2139/ssrn.5268176</w:t>
        </w:r>
      </w:hyperlink>
    </w:p>
    <w:bookmarkEnd w:id="167"/>
    <w:bookmarkStart w:id="169" w:name="ref-ignatowicz2023"/>
    <w:p>
      <w:pPr>
        <w:pStyle w:val="Bibliography"/>
      </w:pPr>
      <w:r>
        <w:t xml:space="preserve">65.</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68">
        <w:r>
          <w:rPr>
            <w:rStyle w:val="Hyperlink"/>
          </w:rPr>
          <w:t xml:space="preserve">10.1186/s12913-023-09242-9</w:t>
        </w:r>
      </w:hyperlink>
    </w:p>
    <w:bookmarkEnd w:id="169"/>
    <w:bookmarkStart w:id="171" w:name="ref-ratliff2025"/>
    <w:p>
      <w:pPr>
        <w:pStyle w:val="Bibliography"/>
      </w:pPr>
      <w:r>
        <w:t xml:space="preserve">66.</w:t>
      </w:r>
      <w:r>
        <w:t xml:space="preserve"> </w:t>
      </w:r>
      <w:r>
        <w:t xml:space="preserve">	</w:t>
      </w:r>
      <w:r>
        <w:t xml:space="preserve">Ratliff HC, Lee KA, Buchbinder M, Kelly LA, Yakusheva O, Costa DK.</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70">
        <w:r>
          <w:rPr>
            <w:rStyle w:val="Hyperlink"/>
          </w:rPr>
          <w:t xml:space="preserve">10.1097/JHM-D-24-00084</w:t>
        </w:r>
      </w:hyperlink>
    </w:p>
    <w:bookmarkEnd w:id="171"/>
    <w:bookmarkStart w:id="173" w:name="ref-valiaiev2025"/>
    <w:p>
      <w:pPr>
        <w:pStyle w:val="Bibliography"/>
      </w:pPr>
      <w:r>
        <w:t xml:space="preserve">67.</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72">
        <w:r>
          <w:rPr>
            <w:rStyle w:val="Hyperlink"/>
          </w:rPr>
          <w:t xml:space="preserve">https://search.proquest.com/openview/aa9acce88c488cbb8c6b3c8339062319/1</w:t>
        </w:r>
      </w:hyperlink>
    </w:p>
    <w:bookmarkEnd w:id="173"/>
    <w:bookmarkStart w:id="175" w:name="ref-mannapur2025"/>
    <w:p>
      <w:pPr>
        <w:pStyle w:val="Bibliography"/>
      </w:pPr>
      <w:r>
        <w:t xml:space="preserve">68.</w:t>
      </w:r>
      <w:r>
        <w:t xml:space="preserve"> </w:t>
      </w:r>
      <w:r>
        <w:t xml:space="preserve">	</w:t>
      </w:r>
      <w:r>
        <w:t xml:space="preserve">Mannapur SB.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74">
        <w:r>
          <w:rPr>
            <w:rStyle w:val="Hyperlink"/>
          </w:rPr>
          <w:t xml:space="preserve">10.32628/CSEIT25111239</w:t>
        </w:r>
      </w:hyperlink>
    </w:p>
    <w:bookmarkEnd w:id="175"/>
    <w:bookmarkStart w:id="177" w:name="ref-betha2023"/>
    <w:p>
      <w:pPr>
        <w:pStyle w:val="Bibliography"/>
      </w:pPr>
      <w:r>
        <w:t xml:space="preserve">69.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76">
        <w:r>
          <w:rPr>
            <w:rStyle w:val="Hyperlink"/>
          </w:rPr>
          <w:t xml:space="preserve">https://www.ijaidr.com/papers/2023/1/1299.pdf</w:t>
        </w:r>
      </w:hyperlink>
    </w:p>
    <w:bookmarkEnd w:id="177"/>
    <w:bookmarkStart w:id="179" w:name="ref-kottam2025"/>
    <w:p>
      <w:pPr>
        <w:pStyle w:val="Bibliography"/>
      </w:pPr>
      <w:r>
        <w:t xml:space="preserve">70.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78">
        <w:r>
          <w:rPr>
            <w:rStyle w:val="Hyperlink"/>
          </w:rPr>
          <w:t xml:space="preserve">10.1109/BigData66926.2025.11402102</w:t>
        </w:r>
      </w:hyperlink>
    </w:p>
    <w:bookmarkEnd w:id="179"/>
    <w:bookmarkStart w:id="181" w:name="ref-alukal2006"/>
    <w:p>
      <w:pPr>
        <w:pStyle w:val="Bibliography"/>
      </w:pPr>
      <w:r>
        <w:t xml:space="preserve">71.</w:t>
      </w:r>
      <w:r>
        <w:t xml:space="preserve"> </w:t>
      </w:r>
      <w:r>
        <w:t xml:space="preserve">	</w:t>
      </w:r>
      <w:r>
        <w:t xml:space="preserve">Alukal VG, Manos A.</w:t>
      </w:r>
      <w:r>
        <w:t xml:space="preserve"> </w:t>
      </w:r>
      <w:r>
        <w:rPr>
          <w:i/>
          <w:iCs/>
        </w:rPr>
        <w:t xml:space="preserve">Lean Kaizen: A Simplified Approach to Process Improvements</w:t>
      </w:r>
      <w:r>
        <w:t xml:space="preserve">. ASQ Quality Press; 2006.</w:t>
      </w:r>
      <w:r>
        <w:t xml:space="preserve"> </w:t>
      </w:r>
      <w:hyperlink r:id="rId180">
        <w:r>
          <w:rPr>
            <w:rStyle w:val="Hyperlink"/>
          </w:rPr>
          <w:t xml:space="preserve">https://books.google.com/books?id=9uqiEAAAQBAJ</w:t>
        </w:r>
      </w:hyperlink>
    </w:p>
    <w:bookmarkEnd w:id="181"/>
    <w:bookmarkStart w:id="183"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82">
        <w:r>
          <w:rPr>
            <w:rStyle w:val="Hyperlink"/>
          </w:rPr>
          <w:t xml:space="preserve">https://pages.himss.org/LP-HA-Case-Study-UC-Davis.html</w:t>
        </w:r>
      </w:hyperlink>
    </w:p>
    <w:bookmarkEnd w:id="183"/>
    <w:bookmarkStart w:id="185" w:name="ref-kumar2025caos"/>
    <w:p>
      <w:pPr>
        <w:pStyle w:val="Bibliography"/>
      </w:pPr>
      <w:r>
        <w:t xml:space="preserve">73.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84">
        <w:r>
          <w:rPr>
            <w:rStyle w:val="Hyperlink"/>
          </w:rPr>
          <w:t xml:space="preserve">10.1007/s10728-025-00537-y</w:t>
        </w:r>
      </w:hyperlink>
    </w:p>
    <w:bookmarkEnd w:id="185"/>
    <w:bookmarkStart w:id="187" w:name="ref-labkoff2024"/>
    <w:p>
      <w:pPr>
        <w:pStyle w:val="Bibliography"/>
      </w:pPr>
      <w:r>
        <w:t xml:space="preserve">74.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86">
        <w:r>
          <w:rPr>
            <w:rStyle w:val="Hyperlink"/>
          </w:rPr>
          <w:t xml:space="preserve">10.1093/jamia/ocae209</w:t>
        </w:r>
      </w:hyperlink>
    </w:p>
    <w:bookmarkEnd w:id="187"/>
    <w:bookmarkStart w:id="189" w:name="ref-loshin2010"/>
    <w:p>
      <w:pPr>
        <w:pStyle w:val="Bibliography"/>
      </w:pPr>
      <w:r>
        <w:t xml:space="preserve">75.</w:t>
      </w:r>
      <w:r>
        <w:t xml:space="preserve"> </w:t>
      </w:r>
      <w:r>
        <w:t xml:space="preserve">	</w:t>
      </w:r>
      <w:r>
        <w:t xml:space="preserve">Loshin D.</w:t>
      </w:r>
      <w:r>
        <w:t xml:space="preserve"> </w:t>
      </w:r>
      <w:r>
        <w:rPr>
          <w:i/>
          <w:iCs/>
        </w:rPr>
        <w:t xml:space="preserve">Master Data Management</w:t>
      </w:r>
      <w:r>
        <w:t xml:space="preserve">. Morgan Kaufmann; 2009.</w:t>
      </w:r>
      <w:r>
        <w:t xml:space="preserve"> </w:t>
      </w:r>
      <w:hyperlink r:id="rId188">
        <w:r>
          <w:rPr>
            <w:rStyle w:val="Hyperlink"/>
          </w:rPr>
          <w:t xml:space="preserve">https://books.google.com/books?id=dJtmVz3nrOUC</w:t>
        </w:r>
      </w:hyperlink>
    </w:p>
    <w:bookmarkEnd w:id="189"/>
    <w:bookmarkStart w:id="191" w:name="ref-zimmermann2017"/>
    <w:p>
      <w:pPr>
        <w:pStyle w:val="Bibliography"/>
      </w:pPr>
      <w:r>
        <w:t xml:space="preserve">76.</w:t>
      </w:r>
      <w:r>
        <w:t xml:space="preserve"> </w:t>
      </w:r>
      <w:r>
        <w:t xml:space="preserve">	</w:t>
      </w:r>
      <w:r>
        <w:t xml:space="preserve">Zimmermann S, Rentrop C, Felden C.</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190">
        <w:r>
          <w:rPr>
            <w:rStyle w:val="Hyperlink"/>
          </w:rPr>
          <w:t xml:space="preserve">10.2308/isys-51579</w:t>
        </w:r>
      </w:hyperlink>
    </w:p>
    <w:bookmarkEnd w:id="191"/>
    <w:bookmarkStart w:id="193" w:name="ref-ipeirotis2025"/>
    <w:p>
      <w:pPr>
        <w:pStyle w:val="Bibliography"/>
      </w:pPr>
      <w:r>
        <w:t xml:space="preserve">77.</w:t>
      </w:r>
      <w:r>
        <w:t xml:space="preserve"> </w:t>
      </w:r>
      <w:r>
        <w:t xml:space="preserve">	</w:t>
      </w:r>
      <w:r>
        <w:t xml:space="preserve">Ipeirotis P, Zheng H.</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92">
        <w:r>
          <w:rPr>
            <w:rStyle w:val="Hyperlink"/>
          </w:rPr>
          <w:t xml:space="preserve">https://arxiv.org/abs/2511.14718</w:t>
        </w:r>
      </w:hyperlink>
    </w:p>
    <w:bookmarkEnd w:id="193"/>
    <w:bookmarkStart w:id="195" w:name="ref-gartlehner2025"/>
    <w:p>
      <w:pPr>
        <w:pStyle w:val="Bibliography"/>
      </w:pPr>
      <w:r>
        <w:t xml:space="preserve">78.</w:t>
      </w:r>
      <w:r>
        <w:t xml:space="preserve"> </w:t>
      </w:r>
      <w:r>
        <w:t xml:space="preserve">	</w:t>
      </w:r>
      <w:r>
        <w:t xml:space="preserve">Gartlehner G, Kugley S, Crotty K, et al.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194">
        <w:r>
          <w:rPr>
            <w:rStyle w:val="Hyperlink"/>
          </w:rPr>
          <w:t xml:space="preserve">10.7326/ANNALS-25-00739</w:t>
        </w:r>
      </w:hyperlink>
    </w:p>
    <w:bookmarkEnd w:id="195"/>
    <w:bookmarkStart w:id="197" w:name="ref-benzarti2026"/>
    <w:p>
      <w:pPr>
        <w:pStyle w:val="Bibliography"/>
      </w:pPr>
      <w:r>
        <w:t xml:space="preserve">79.</w:t>
      </w:r>
      <w:r>
        <w:t xml:space="preserve"> </w:t>
      </w:r>
      <w:r>
        <w:t xml:space="preserve">	</w:t>
      </w:r>
      <w:r>
        <w:t xml:space="preserve">Benzarti S, Berrabah C.</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196">
        <w:r>
          <w:rPr>
            <w:rStyle w:val="Hyperlink"/>
          </w:rPr>
          <w:t xml:space="preserve">10.1007/978-3-032-16638-8_11</w:t>
        </w:r>
      </w:hyperlink>
    </w:p>
    <w:bookmarkEnd w:id="197"/>
    <w:bookmarkStart w:id="199" w:name="ref-ning2024"/>
    <w:p>
      <w:pPr>
        <w:pStyle w:val="Bibliography"/>
      </w:pPr>
      <w:r>
        <w:t xml:space="preserve">80.</w:t>
      </w:r>
      <w:r>
        <w:t xml:space="preserve"> </w:t>
      </w:r>
      <w:r>
        <w:t xml:space="preserve">	</w:t>
      </w:r>
      <w:r>
        <w:t xml:space="preserve">Ning Z, Tian Y, Zhang Z, Zhang T, Li TJJ.</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198">
        <w:r>
          <w:rPr>
            <w:rStyle w:val="Hyperlink"/>
          </w:rPr>
          <w:t xml:space="preserve">10.1145/3650114</w:t>
        </w:r>
      </w:hyperlink>
    </w:p>
    <w:bookmarkEnd w:id="199"/>
    <w:bookmarkStart w:id="201"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00">
        <w:r>
          <w:rPr>
            <w:rStyle w:val="Hyperlink"/>
          </w:rPr>
          <w:t xml:space="preserve">https://newsroom.ibm.com/2022-01-21-Francisco-Partners-to-Acquire-IBMs-Healthcare-Data-and-Analytics-Assets</w:t>
        </w:r>
      </w:hyperlink>
    </w:p>
    <w:bookmarkEnd w:id="201"/>
    <w:bookmarkStart w:id="203" w:name="ref-strickland2019"/>
    <w:p>
      <w:pPr>
        <w:pStyle w:val="Bibliography"/>
      </w:pPr>
      <w:r>
        <w:t xml:space="preserve">82.</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02">
        <w:r>
          <w:rPr>
            <w:rStyle w:val="Hyperlink"/>
          </w:rPr>
          <w:t xml:space="preserve">10.1109/MSPEC.2019.8678513</w:t>
        </w:r>
      </w:hyperlink>
    </w:p>
    <w:bookmarkEnd w:id="203"/>
    <w:bookmarkStart w:id="205" w:name="ref-lavito2021"/>
    <w:p>
      <w:pPr>
        <w:pStyle w:val="Bibliography"/>
      </w:pPr>
      <w:r>
        <w:t xml:space="preserve">83.</w:t>
      </w:r>
      <w:r>
        <w:t xml:space="preserve"> </w:t>
      </w:r>
      <w:r>
        <w:t xml:space="preserve">	</w:t>
      </w:r>
      <w:r>
        <w:t xml:space="preserve">Son H.</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04">
        <w:r>
          <w:rPr>
            <w:rStyle w:val="Hyperlink"/>
          </w:rPr>
          <w:t xml:space="preserve">https://www.cnbc.com/2021/01/04/haven-the-amazon-berkshire-jpmorgan-venture-to-disrupt-healthcare-is-disbanding-after-3-years.html</w:t>
        </w:r>
      </w:hyperlink>
    </w:p>
    <w:bookmarkEnd w:id="205"/>
    <w:bookmarkStart w:id="207" w:name="ref-acchiardo2021"/>
    <w:p>
      <w:pPr>
        <w:pStyle w:val="Bibliography"/>
      </w:pPr>
      <w:r>
        <w:t xml:space="preserve">84.</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06">
        <w:r>
          <w:rPr>
            <w:rStyle w:val="Hyperlink"/>
          </w:rPr>
          <w:t xml:space="preserve">10.1016/j.acra.2021.03.020</w:t>
        </w:r>
      </w:hyperlink>
    </w:p>
    <w:bookmarkEnd w:id="207"/>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_rels/footnotes.xml.rels><?xml version="1.0" encoding="UTF-8"?><Relationships xmlns="http://schemas.openxmlformats.org/package/2006/relationships"><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2026-07-11T18:05:02Z</dcterms:created>
  <dcterms:modified xsi:type="dcterms:W3CDTF">2026-07-11T18:05:02Z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Nonaka’s SECI (Socialization, Externalization, Combination, Internalization)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/Users/stharrold/Documents/GitHub/yuimedi-paper-20250901/citation-style-ama.csl</vt:lpwstr>
  </property>
  <property fmtid="{D5CDD505-2E9C-101B-9397-08002B2CF9AE}" pid="11" name="date">
    <vt:lpwstr>July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July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