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“Rationale Metadata”</w:t>
      </w:r>
      <w:r>
        <w:t xml:space="preserve"> </w:t>
      </w:r>
      <w:r>
        <w:t xml:space="preserve">documenting the query’s business logic (e.g.,</w:t>
      </w:r>
      <w:r>
        <w:t xml:space="preserve"> </w:t>
      </w:r>
      <w:r>
        <w:t xml:space="preserve">“Excluding Hospice per 2025 CMS rules”</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36"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w:t>
      </w:r>
      <w:r>
        <w:t xml:space="preserve"> </w:t>
      </w:r>
      <w:r>
        <w:rPr>
          <w:b/>
          <w:bCs/>
        </w:rPr>
        <w:t xml:space="preserve">Workforce Agility</w:t>
      </w:r>
      <w:r>
        <w:t xml:space="preserve"> </w:t>
      </w:r>
      <w:r>
        <w:t xml:space="preserve">(</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w:t>
      </w:r>
      <w:r>
        <w:t xml:space="preserve"> </w:t>
      </w:r>
      <w:r>
        <w:rPr>
          <w:b/>
          <w:bCs/>
        </w:rPr>
        <w:t xml:space="preserve">Technical Enablement</w:t>
      </w:r>
      <w:r>
        <w:t xml:space="preserve"> </w:t>
      </w:r>
      <w:r>
        <w:t xml:space="preserve">(</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pct" w:w="5000"/>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092"/>
        <w:gridCol w:w="1365"/>
        <w:gridCol w:w="1365"/>
        <w:gridCol w:w="1365"/>
        <w:gridCol w:w="1365"/>
        <w:gridCol w:w="1365"/>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i/>
                <w:i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i/>
                <w:i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i/>
                <w:i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2"/>
    <w:bookmarkStart w:id="33"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7"/>
        <w:tblLayout w:type="fixed"/>
        <w:tblLook w:firstRow="1" w:lastRow="0" w:firstColumn="0" w:lastColumn="0" w:noHBand="0" w:noVBand="0" w:val="0020"/>
        <w:tblCaption w:val="AACODS Assessment of Industry Sources. "/>
      </w:tblPr>
      <w:tblGrid>
        <w:gridCol w:w="2418"/>
        <w:gridCol w:w="1571"/>
        <w:gridCol w:w="1450"/>
        <w:gridCol w:w="1209"/>
        <w:gridCol w:w="967"/>
        <w:gridCol w:w="60"/>
      </w:tblGrid>
      <w:tr>
        <w:trPr>
          <w:tblHeader w:val="on"/>
        </w:trPr>
        <w:tc>
          <w:tcPr/>
          <w:p>
            <w:pPr>
              <w:pStyle w:val="Compact"/>
            </w:pPr>
            <w:r>
              <w:t xml:space="preserve">Source (Citation)</w:t>
            </w:r>
          </w:p>
        </w:tc>
        <w:tc>
          <w:tcPr/>
          <w:p>
            <w:pPr>
              <w:pStyle w:val="Compact"/>
            </w:pPr>
            <w:r>
              <w:t xml:space="preserve">Authority / Accuracy</w:t>
            </w:r>
          </w:p>
        </w:tc>
        <w:tc>
          <w:tcPr/>
          <w:p>
            <w:pPr>
              <w:pStyle w:val="Compact"/>
            </w:pPr>
            <w:r>
              <w:t xml:space="preserve">Coverage / Objectivity</w:t>
            </w:r>
          </w:p>
        </w:tc>
        <w:tc>
          <w:tcPr>
            <w:gridSpan w:val="3"/>
          </w:tcPr>
          <w:p>
            <w:pPr>
              <w:pStyle w:val="Compact"/>
            </w:pPr>
            <w:r>
              <w:t xml:space="preserve">Date / Significance| Include</w:t>
            </w:r>
          </w:p>
        </w:tc>
      </w:tr>
      <w:tr>
        <w:tc>
          <w:tcPr/>
          <w:p>
            <w:pPr>
              <w:pStyle w:val="Compact"/>
            </w:pPr>
            <w:r>
              <w:t xml:space="preserve">HIMSS AMAM</w:t>
            </w:r>
            <w:r>
              <w:t xml:space="preserve"> </w:t>
            </w:r>
            <w:r>
              <w:t xml:space="preserve">(</w:t>
            </w:r>
            <w:hyperlink w:anchor="ref-himss2024">
              <w:r>
                <w:rPr>
                  <w:rStyle w:val="Hyperlink"/>
                </w:rPr>
                <w:t xml:space="preserve">2</w:t>
              </w:r>
            </w:hyperlink>
            <w:r>
              <w:t xml:space="preserve">)</w:t>
            </w:r>
          </w:p>
        </w:tc>
        <w:tc>
          <w:tcPr/>
          <w:p>
            <w:pPr>
              <w:pStyle w:val="Compact"/>
            </w:pPr>
            <w:r>
              <w:t xml:space="preserve">High† / Verifiable</w:t>
            </w:r>
          </w:p>
        </w:tc>
        <w:tc>
          <w:tcPr/>
          <w:p>
            <w:pPr>
              <w:pStyle w:val="Compact"/>
            </w:pPr>
            <w:r>
              <w:t xml:space="preserve">Global / High</w:t>
            </w:r>
          </w:p>
        </w:tc>
        <w:tc>
          <w:tcPr/>
          <w:p>
            <w:pPr>
              <w:pStyle w:val="Compact"/>
            </w:pPr>
            <w:r>
              <w:t xml:space="preserve">2024 / High</w:t>
            </w:r>
          </w:p>
        </w:tc>
        <w:tc>
          <w:tcPr/>
          <w:p>
            <w:pPr>
              <w:pStyle w:val="Compact"/>
            </w:pPr>
            <w:r>
              <w:t xml:space="preserve">Yes</w:t>
            </w:r>
          </w:p>
        </w:tc>
        <w:tc>
          <w:tcPr/>
          <w:p>
            <w:pPr>
              <w:pStyle w:val="Compact"/>
            </w:pPr>
          </w:p>
        </w:tc>
      </w:tr>
      <w:tr>
        <w:tc>
          <w:tcPr/>
          <w:p>
            <w:pPr>
              <w:pStyle w:val="Compac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pPr>
            <w:r>
              <w:t xml:space="preserve">Medium§ / Unverifiable</w:t>
            </w:r>
          </w:p>
        </w:tc>
        <w:tc>
          <w:tcPr/>
          <w:p>
            <w:pPr>
              <w:pStyle w:val="Compact"/>
            </w:pPr>
            <w:r>
              <w:t xml:space="preserve">US / Low</w:t>
            </w:r>
          </w:p>
        </w:tc>
        <w:tc>
          <w:tcPr/>
          <w:p>
            <w:pPr>
              <w:pStyle w:val="Compact"/>
            </w:pPr>
            <w:r>
              <w:t xml:space="preserve">2020 / Medium</w:t>
            </w:r>
          </w:p>
        </w:tc>
        <w:tc>
          <w:tcPr/>
          <w:p>
            <w:pPr>
              <w:pStyle w:val="Compact"/>
            </w:pPr>
            <w:r>
              <w:t xml:space="preserve">Yes*</w:t>
            </w:r>
          </w:p>
        </w:tc>
        <w:tc>
          <w:tcPr/>
          <w:p>
            <w:pPr>
              <w:pStyle w:val="Compact"/>
            </w:pPr>
          </w:p>
        </w:tc>
      </w:tr>
      <w:tr>
        <w:tc>
          <w:tcPr/>
          <w:p>
            <w:pPr>
              <w:pStyle w:val="Compac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pPr>
            <w:r>
              <w:t xml:space="preserve">High¶ / Verifiable</w:t>
            </w:r>
          </w:p>
        </w:tc>
        <w:tc>
          <w:tcPr/>
          <w:p>
            <w:pPr>
              <w:pStyle w:val="Compact"/>
            </w:pPr>
            <w:r>
              <w:t xml:space="preserve">Single site / High</w:t>
            </w:r>
          </w:p>
        </w:tc>
        <w:tc>
          <w:tcPr/>
          <w:p>
            <w:pPr>
              <w:pStyle w:val="Compact"/>
            </w:pPr>
            <w:r>
              <w:t xml:space="preserve">2024 / High</w:t>
            </w:r>
          </w:p>
        </w:tc>
        <w:tc>
          <w:tcPr/>
          <w:p>
            <w:pPr>
              <w:pStyle w:val="Compact"/>
            </w:pPr>
            <w:r>
              <w:t xml:space="preserve">Yes</w:t>
            </w:r>
          </w:p>
        </w:tc>
        <w:tc>
          <w:tcPr/>
          <w:p>
            <w:pPr>
              <w:pStyle w:val="Compact"/>
            </w:pPr>
          </w:p>
        </w:tc>
      </w:tr>
      <w:tr>
        <w:tc>
          <w:tcPr/>
          <w:p>
            <w:pPr>
              <w:pStyle w:val="Compac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pPr>
            <w:r>
              <w:t xml:space="preserve">Medium∥ / Unverifiable</w:t>
            </w:r>
          </w:p>
        </w:tc>
        <w:tc>
          <w:tcPr/>
          <w:p>
            <w:pPr>
              <w:pStyle w:val="Compact"/>
            </w:pPr>
            <w:r>
              <w:t xml:space="preserve">Enterprise / Low♢</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Oracle</w:t>
            </w:r>
            <w:r>
              <w:t xml:space="preserve"> </w:t>
            </w:r>
            <w:r>
              <w:t xml:space="preserve">(</w:t>
            </w:r>
            <w:hyperlink w:anchor="ref-oracle2024">
              <w:r>
                <w:rPr>
                  <w:rStyle w:val="Hyperlink"/>
                </w:rPr>
                <w:t xml:space="preserve">26</w:t>
              </w:r>
            </w:hyperlink>
            <w:r>
              <w:t xml:space="preserve">)</w:t>
            </w:r>
          </w:p>
        </w:tc>
        <w:tc>
          <w:tcPr/>
          <w:p>
            <w:pPr>
              <w:pStyle w:val="Compact"/>
            </w:pPr>
            <w:r>
              <w:t xml:space="preserve">Low§ / Unverifiable</w:t>
            </w:r>
          </w:p>
        </w:tc>
        <w:tc>
          <w:tcPr/>
          <w:p>
            <w:pPr>
              <w:pStyle w:val="Compact"/>
            </w:pPr>
            <w:r>
              <w:t xml:space="preserve">N/A / Low</w:t>
            </w:r>
          </w:p>
        </w:tc>
        <w:tc>
          <w:tcPr/>
          <w:p>
            <w:pPr>
              <w:pStyle w:val="Compact"/>
            </w:pPr>
            <w:r>
              <w:t xml:space="preserve">2024 / Low</w:t>
            </w:r>
          </w:p>
        </w:tc>
        <w:tc>
          <w:tcPr/>
          <w:p>
            <w:pPr>
              <w:pStyle w:val="Compact"/>
            </w:pPr>
            <w:r>
              <w:t xml:space="preserve">Yes*</w:t>
            </w:r>
          </w:p>
        </w:tc>
        <w:tc>
          <w:tcPr/>
          <w:p>
            <w:pPr>
              <w:pStyle w:val="Compact"/>
            </w:pPr>
          </w:p>
        </w:tc>
      </w:tr>
      <w:tr>
        <w:tc>
          <w:tcPr/>
          <w:p>
            <w:pPr>
              <w:pStyle w:val="Compac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pPr>
            <w:r>
              <w:t xml:space="preserve">Medium# / Unverifiable</w:t>
            </w:r>
          </w:p>
        </w:tc>
        <w:tc>
          <w:tcPr/>
          <w:p>
            <w:pPr>
              <w:pStyle w:val="Compact"/>
            </w:pPr>
            <w:r>
              <w:t xml:space="preserve">Global / Medium</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pPr>
            <w:r>
              <w:t xml:space="preserve">Medium§ / Verifiable</w:t>
            </w:r>
          </w:p>
        </w:tc>
        <w:tc>
          <w:tcPr/>
          <w:p>
            <w:pPr>
              <w:pStyle w:val="Compact"/>
            </w:pPr>
            <w:r>
              <w:t xml:space="preserve">N/A / Medium</w:t>
            </w:r>
          </w:p>
        </w:tc>
        <w:tc>
          <w:tcPr/>
          <w:p>
            <w:pPr>
              <w:pStyle w:val="Compact"/>
            </w:pPr>
            <w:r>
              <w:t xml:space="preserve">2025 / Low</w:t>
            </w:r>
          </w:p>
        </w:tc>
        <w:tc>
          <w:tcPr/>
          <w:p>
            <w:pPr>
              <w:pStyle w:val="Compact"/>
            </w:pPr>
            <w:r>
              <w:t xml:space="preserve">Yes</w:t>
            </w:r>
          </w:p>
        </w:tc>
        <w:tc>
          <w:tcPr/>
          <w:p>
            <w:pPr>
              <w:pStyle w:val="Compact"/>
            </w:pPr>
          </w:p>
        </w:tc>
      </w:tr>
      <w:tr>
        <w:tc>
          <w:tcPr/>
          <w:p>
            <w:pPr>
              <w:pStyle w:val="Compac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2022 / High</w:t>
            </w:r>
          </w:p>
        </w:tc>
        <w:tc>
          <w:tcPr/>
          <w:p>
            <w:pPr>
              <w:pStyle w:val="Compact"/>
            </w:pPr>
            <w:r>
              <w:t xml:space="preserve">Yes</w:t>
            </w:r>
          </w:p>
        </w:tc>
        <w:tc>
          <w:tcPr/>
          <w:p>
            <w:pPr>
              <w:pStyle w:val="Compact"/>
            </w:pPr>
          </w:p>
        </w:tc>
      </w:tr>
      <w:tr>
        <w:tc>
          <w:tcPr/>
          <w:p>
            <w:pPr>
              <w:pStyle w:val="Compac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2021 / High</w:t>
            </w:r>
          </w:p>
        </w:tc>
        <w:tc>
          <w:tcPr/>
          <w:p>
            <w:pPr>
              <w:pStyle w:val="Compact"/>
            </w:pPr>
            <w:r>
              <w:t xml:space="preserve">Yes</w:t>
            </w:r>
          </w:p>
        </w:tc>
        <w:tc>
          <w:tcPr/>
          <w:p>
            <w:pPr>
              <w:pStyle w:val="Compact"/>
            </w:pPr>
          </w:p>
        </w:tc>
      </w:tr>
      <w:tr>
        <w:tc>
          <w:tcPr/>
          <w:p>
            <w:pPr>
              <w:pStyle w:val="Compac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pPr>
            <w:r>
              <w:t xml:space="preserve">High†† / Verifiable</w:t>
            </w:r>
          </w:p>
        </w:tc>
        <w:tc>
          <w:tcPr/>
          <w:p>
            <w:pPr>
              <w:pStyle w:val="Compact"/>
            </w:pPr>
            <w:r>
              <w:t xml:space="preserve">US / High</w:t>
            </w:r>
          </w:p>
        </w:tc>
        <w:tc>
          <w:tcPr/>
          <w:p>
            <w:pPr>
              <w:pStyle w:val="Compact"/>
            </w:pPr>
            <w:r>
              <w:t xml:space="preserve">2023 / High</w:t>
            </w:r>
          </w:p>
        </w:tc>
        <w:tc>
          <w:tcPr/>
          <w:p>
            <w:pPr>
              <w:pStyle w:val="Compac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3"/>
    <w:bookmarkStart w:id="34"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4"/>
    <w:bookmarkStart w:id="35"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5"/>
    <w:bookmarkEnd w:id="36"/>
    <w:bookmarkStart w:id="40"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7"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37"/>
    <w:bookmarkStart w:id="38"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38"/>
    <w:bookmarkStart w:id="39"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9"/>
    <w:bookmarkEnd w:id="40"/>
    <w:bookmarkStart w:id="67"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5" w:name="state-of-healthcare-analytics-maturity"/>
    <w:p>
      <w:pPr>
        <w:pStyle w:val="Heading2"/>
      </w:pPr>
      <w:r>
        <w:rPr>
          <w:rStyle w:val="SectionNumber"/>
        </w:rPr>
        <w:t xml:space="preserve">4.1</w:t>
      </w:r>
      <w:r>
        <w:tab/>
      </w:r>
      <w:r>
        <w:t xml:space="preserve">State of Healthcare Analytics Maturity</w:t>
      </w:r>
    </w:p>
    <w:bookmarkStart w:id="41"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1"/>
    <w:bookmarkStart w:id="42"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2"/>
    <w:bookmarkStart w:id="43"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3"/>
    <w:bookmarkStart w:id="44"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4"/>
    <w:bookmarkEnd w:id="45"/>
    <w:bookmarkStart w:id="49" w:name="X033aaa01add75caa19416ed7b909f71ff5bd76d"/>
    <w:p>
      <w:pPr>
        <w:pStyle w:val="Heading2"/>
      </w:pPr>
      <w:r>
        <w:rPr>
          <w:rStyle w:val="SectionNumber"/>
        </w:rPr>
        <w:t xml:space="preserve">4.2</w:t>
      </w:r>
      <w:r>
        <w:tab/>
      </w:r>
      <w:r>
        <w:t xml:space="preserve">Healthcare Workforce Turnover and Knowledge Loss</w:t>
      </w:r>
    </w:p>
    <w:bookmarkStart w:id="46"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6"/>
    <w:bookmarkStart w:id="47"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47"/>
    <w:bookmarkStart w:id="48"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48"/>
    <w:bookmarkEnd w:id="49"/>
    <w:bookmarkStart w:id="54" w:name="Xb8a8e2823f9f1dde7832c4cb2e15583554ebaf3"/>
    <w:p>
      <w:pPr>
        <w:pStyle w:val="Heading2"/>
      </w:pPr>
      <w:r>
        <w:rPr>
          <w:rStyle w:val="SectionNumber"/>
        </w:rPr>
        <w:t xml:space="preserve">4.3</w:t>
      </w:r>
      <w:r>
        <w:tab/>
      </w:r>
      <w:r>
        <w:t xml:space="preserve">State of Natural Language to SQL Generation</w:t>
      </w:r>
    </w:p>
    <w:bookmarkStart w:id="50"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0"/>
    <w:bookmarkStart w:id="51"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1"/>
    <w:bookmarkStart w:id="52"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2"/>
    <w:bookmarkStart w:id="53"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3"/>
    <w:bookmarkEnd w:id="54"/>
    <w:bookmarkStart w:id="58" w:name="Xca10dac733c4b284609ad3ca0d26f7400b78729"/>
    <w:p>
      <w:pPr>
        <w:pStyle w:val="Heading2"/>
      </w:pPr>
      <w:r>
        <w:rPr>
          <w:rStyle w:val="SectionNumber"/>
        </w:rPr>
        <w:t xml:space="preserve">4.4</w:t>
      </w:r>
      <w:r>
        <w:tab/>
      </w:r>
      <w:r>
        <w:t xml:space="preserve">Integration of Evidence: Synthesis Across Three Pillars</w:t>
      </w:r>
    </w:p>
    <w:bookmarkStart w:id="55"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5"/>
    <w:bookmarkStart w:id="56"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6"/>
    <w:bookmarkStart w:id="57"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7"/>
    <w:bookmarkEnd w:id="58"/>
    <w:bookmarkStart w:id="62" w:name="strategic-alignment-with-industry-trends"/>
    <w:p>
      <w:pPr>
        <w:pStyle w:val="Heading2"/>
      </w:pPr>
      <w:r>
        <w:rPr>
          <w:rStyle w:val="SectionNumber"/>
        </w:rPr>
        <w:t xml:space="preserve">4.5</w:t>
      </w:r>
      <w:r>
        <w:tab/>
      </w:r>
      <w:r>
        <w:t xml:space="preserve">Strategic Alignment with Industry Trends</w:t>
      </w:r>
    </w:p>
    <w:bookmarkStart w:id="59"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9"/>
    <w:bookmarkStart w:id="60"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0"/>
    <w:bookmarkStart w:id="61"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97"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68"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68"/>
    <w:bookmarkStart w:id="69"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9"/>
    <w:bookmarkStart w:id="70"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0"/>
    <w:bookmarkStart w:id="71"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1"/>
    <w:bookmarkStart w:id="72"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2"/>
    <w:bookmarkEnd w:id="73"/>
    <w:bookmarkStart w:id="80"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78"/>
    <w:bookmarkStart w:id="79"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5"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5"/>
    <w:bookmarkStart w:id="86"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6"/>
    <w:bookmarkStart w:id="87"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87"/>
    <w:bookmarkEnd w:id="88"/>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9"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9"/>
    <w:bookmarkStart w:id="90"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0"/>
    <w:bookmarkStart w:id="91"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1"/>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4930"/>
        <w:tblLayout w:type="fixed"/>
        <w:tblLook w:firstRow="1" w:lastRow="0" w:firstColumn="0" w:lastColumn="0" w:noHBand="0" w:noVBand="0" w:val="0020"/>
      </w:tblPr>
      <w:tblGrid>
        <w:gridCol w:w="847"/>
        <w:gridCol w:w="1805"/>
        <w:gridCol w:w="2247"/>
        <w:gridCol w:w="1878"/>
        <w:gridCol w:w="1031"/>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HIMSS AMAM Stage</w:t>
            </w:r>
          </w:p>
        </w:tc>
        <w:tc>
          <w:tcPr/>
          <w:p>
            <w:pPr>
              <w:pStyle w:val="Compact"/>
            </w:pPr>
            <w:r>
              <w:t xml:space="preserve">Stages 0-2: Fragmented data, limited reporting</w:t>
            </w:r>
          </w:p>
        </w:tc>
        <w:tc>
          <w:tcPr/>
          <w:p>
            <w:pPr>
              <w:pStyle w:val="Compact"/>
            </w:pPr>
            <w:r>
              <w:t xml:space="preserve">Stages 3-4: Integrated warehouse, standardized definitions</w:t>
            </w:r>
          </w:p>
        </w:tc>
        <w:tc>
          <w:tcPr/>
          <w:p>
            <w:pPr>
              <w:pStyle w:val="Compact"/>
            </w:pPr>
            <w:r>
              <w:t xml:space="preserve">Stages 5-7: Predictive analytics, AI integration</w:t>
            </w:r>
          </w:p>
        </w:tc>
        <w:tc>
          <w:tcPr/>
          <w:p>
            <w:pPr>
              <w:pStyle w:val="Compac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pPr>
            <w:r>
              <w:t xml:space="preserve">Self-service</w:t>
            </w:r>
            <w:r>
              <w:t xml:space="preserve"> </w:t>
            </w:r>
            <w:r>
              <w:t xml:space="preserve">analytics</w:t>
            </w:r>
          </w:p>
        </w:tc>
        <w:tc>
          <w:tcPr/>
          <w:p>
            <w:pPr>
              <w:pStyle w:val="Compact"/>
            </w:pPr>
            <w:r>
              <w:t xml:space="preserve">None; all analytics require IT intervention</w:t>
            </w:r>
          </w:p>
        </w:tc>
        <w:tc>
          <w:tcPr/>
          <w:p>
            <w:pPr>
              <w:pStyle w:val="Compact"/>
            </w:pPr>
            <w:r>
              <w:t xml:space="preserve">Partial; BI tools available but underutilized</w:t>
            </w:r>
          </w:p>
        </w:tc>
        <w:tc>
          <w:tcPr/>
          <w:p>
            <w:pPr>
              <w:pStyle w:val="Compact"/>
            </w:pPr>
            <w:r>
              <w:t xml:space="preserve">Widespread; clinical staff access data directly</w:t>
            </w:r>
          </w:p>
        </w:tc>
        <w:tc>
          <w:tcPr/>
          <w:p>
            <w:pPr>
              <w:pStyle w:val="Compac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pPr>
            <w:r>
              <w:t xml:space="preserve">AI/NL interface</w:t>
            </w:r>
          </w:p>
        </w:tc>
        <w:tc>
          <w:tcPr/>
          <w:p>
            <w:pPr>
              <w:pStyle w:val="Compact"/>
            </w:pPr>
            <w:r>
              <w:t xml:space="preserve">No NL2SQL or conversational analytics</w:t>
            </w:r>
          </w:p>
        </w:tc>
        <w:tc>
          <w:tcPr/>
          <w:p>
            <w:pPr>
              <w:pStyle w:val="Compact"/>
            </w:pPr>
            <w:r>
              <w:t xml:space="preserve">Pilot programs or evaluation underway</w:t>
            </w:r>
          </w:p>
        </w:tc>
        <w:tc>
          <w:tcPr/>
          <w:p>
            <w:pPr>
              <w:pStyle w:val="Compact"/>
            </w:pPr>
            <w:r>
              <w:t xml:space="preserve">Natural language query capability deployed</w:t>
            </w:r>
          </w:p>
        </w:tc>
        <w:tc>
          <w:tcPr/>
          <w:p>
            <w:pPr>
              <w:pStyle w:val="Compac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rPr>
          <w:b/>
          <w:bCs/>
        </w:rPr>
        <w:t xml:space="preserve">Pillar 2: Workforce Agility</w:t>
      </w:r>
    </w:p>
    <w:tbl>
      <w:tblPr>
        <w:tblStyle w:val="Table"/>
        <w:tblW w:type="pct" w:w="4924"/>
        <w:tblLayout w:type="fixed"/>
        <w:tblLook w:firstRow="1" w:lastRow="0" w:firstColumn="0" w:lastColumn="0" w:noHBand="0" w:noVBand="0" w:val="0020"/>
      </w:tblPr>
      <w:tblGrid>
        <w:gridCol w:w="920"/>
        <w:gridCol w:w="1960"/>
        <w:gridCol w:w="1800"/>
        <w:gridCol w:w="1840"/>
        <w:gridCol w:w="1280"/>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First-year Staff</w:t>
            </w:r>
            <w:r>
              <w:t xml:space="preserve"> </w:t>
            </w:r>
            <w:r>
              <w:t xml:space="preserve">Turnover</w:t>
            </w:r>
          </w:p>
        </w:tc>
        <w:tc>
          <w:tcPr/>
          <w:p>
            <w:pPr>
              <w:pStyle w:val="BlockText"/>
            </w:pPr>
            <w:r>
              <w:t xml:space="preserve">30% (High Instability)</w:t>
            </w:r>
          </w:p>
        </w:tc>
        <w:tc>
          <w:tcPr/>
          <w:p>
            <w:pPr>
              <w:pStyle w:val="Compact"/>
            </w:pPr>
            <w:r>
              <w:t xml:space="preserve">15-30%</w:t>
            </w:r>
          </w:p>
        </w:tc>
        <w:tc>
          <w:tcPr/>
          <w:p>
            <w:pPr>
              <w:pStyle w:val="Compact"/>
            </w:pPr>
            <w:r>
              <w:t xml:space="preserve">&lt;15% (High Stability)</w:t>
            </w:r>
          </w:p>
        </w:tc>
        <w:tc>
          <w:tcPr/>
          <w:p>
            <w:pPr>
              <w:pStyle w:val="Compact"/>
            </w:pPr>
            <w:r>
              <w:t xml:space="preserve">(</w:t>
            </w:r>
            <w:hyperlink w:anchor="ref-nsi2025">
              <w:r>
                <w:rPr>
                  <w:rStyle w:val="Hyperlink"/>
                </w:rPr>
                <w:t xml:space="preserve">73</w:t>
              </w:r>
            </w:hyperlink>
            <w:r>
              <w:t xml:space="preserve">)</w:t>
            </w:r>
          </w:p>
        </w:tc>
      </w:tr>
      <w:tr>
        <w:tc>
          <w:tcPr/>
          <w:p>
            <w:pPr>
              <w:pStyle w:val="Compact"/>
            </w:pPr>
            <w:r>
              <w:t xml:space="preserve">Leadership</w:t>
            </w:r>
            <w:r>
              <w:t xml:space="preserve"> </w:t>
            </w:r>
            <w:r>
              <w:t xml:space="preserve">Stability (CIO)</w:t>
            </w:r>
          </w:p>
        </w:tc>
        <w:tc>
          <w:tcPr/>
          <w:p>
            <w:pPr>
              <w:pStyle w:val="Compact"/>
            </w:pPr>
            <w:r>
              <w:t xml:space="preserve">Tenure &lt; 3 years</w:t>
            </w:r>
          </w:p>
        </w:tc>
        <w:tc>
          <w:tcPr/>
          <w:p>
            <w:pPr>
              <w:pStyle w:val="Compact"/>
            </w:pPr>
            <w:r>
              <w:t xml:space="preserve">Tenure 3-5 years</w:t>
            </w:r>
          </w:p>
        </w:tc>
        <w:tc>
          <w:tcPr/>
          <w:p>
            <w:pPr>
              <w:pStyle w:val="Compact"/>
            </w:pPr>
            <w:r>
              <w:t xml:space="preserve">Tenure &gt; 5 years</w:t>
            </w:r>
          </w:p>
        </w:tc>
        <w:tc>
          <w:tcPr/>
          <w:p>
            <w:pPr>
              <w:pStyle w:val="Compact"/>
            </w:pPr>
            <w:r>
              <w:t xml:space="preserve">(</w:t>
            </w:r>
            <w:hyperlink w:anchor="ref-wittkieffer2024">
              <w:r>
                <w:rPr>
                  <w:rStyle w:val="Hyperlink"/>
                </w:rPr>
                <w:t xml:space="preserve">4</w:t>
              </w:r>
            </w:hyperlink>
            <w:r>
              <w:t xml:space="preserve">)</w:t>
            </w:r>
          </w:p>
        </w:tc>
      </w:tr>
      <w:tr>
        <w:tc>
          <w:tcPr/>
          <w:p>
            <w:pPr>
              <w:pStyle w:val="Compact"/>
            </w:pPr>
            <w:r>
              <w:t xml:space="preserve">Knowledge</w:t>
            </w:r>
            <w:r>
              <w:t xml:space="preserve"> </w:t>
            </w:r>
            <w:r>
              <w:t xml:space="preserve">concentration</w:t>
            </w:r>
          </w:p>
        </w:tc>
        <w:tc>
          <w:tcPr/>
          <w:p>
            <w:pPr>
              <w:pStyle w:val="Compact"/>
            </w:pPr>
            <w:r>
              <w:t xml:space="preserve">Critical expertise held by ≤3 individuals</w:t>
            </w:r>
          </w:p>
        </w:tc>
        <w:tc>
          <w:tcPr/>
          <w:p>
            <w:pPr>
              <w:pStyle w:val="Compact"/>
            </w:pPr>
            <w:r>
              <w:t xml:space="preserve">Partial documentation; some cross-training</w:t>
            </w:r>
          </w:p>
        </w:tc>
        <w:tc>
          <w:tcPr/>
          <w:p>
            <w:pPr>
              <w:pStyle w:val="Compact"/>
            </w:pPr>
            <w:r>
              <w:t xml:space="preserve">Distributed expertise; documented processes</w:t>
            </w:r>
          </w:p>
        </w:tc>
        <w:tc>
          <w:tcPr/>
          <w:p>
            <w:pPr>
              <w:pStyle w:val="Compac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pPr>
            <w:r>
              <w:t xml:space="preserve">Time-to-productivity</w:t>
            </w:r>
          </w:p>
        </w:tc>
        <w:tc>
          <w:tcPr/>
          <w:p>
            <w:pPr>
              <w:pStyle w:val="BlockText"/>
            </w:pPr>
            <w:r>
              <w:t xml:space="preserve">18 months (specialized roles)</w:t>
            </w:r>
          </w:p>
        </w:tc>
        <w:tc>
          <w:tcPr/>
          <w:p>
            <w:pPr>
              <w:pStyle w:val="Compact"/>
            </w:pPr>
            <w:r>
              <w:t xml:space="preserve">6-18 months</w:t>
            </w:r>
          </w:p>
        </w:tc>
        <w:tc>
          <w:tcPr/>
          <w:p>
            <w:pPr>
              <w:pStyle w:val="Compact"/>
            </w:pPr>
            <w:r>
              <w:t xml:space="preserve">&lt;6 months with structured onboarding</w:t>
            </w:r>
          </w:p>
        </w:tc>
        <w:tc>
          <w:tcPr/>
          <w:p>
            <w:pPr>
              <w:pStyle w:val="Compac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pPr>
            <w:r>
              <w:t xml:space="preserve">Tacit knowledge</w:t>
            </w:r>
            <w:r>
              <w:t xml:space="preserve"> </w:t>
            </w:r>
            <w:r>
              <w:t xml:space="preserve">capture</w:t>
            </w:r>
          </w:p>
        </w:tc>
        <w:tc>
          <w:tcPr/>
          <w:p>
            <w:pPr>
              <w:pStyle w:val="Compact"/>
            </w:pPr>
            <w:r>
              <w:t xml:space="preserve">Person-dependent; undocumented tribal</w:t>
            </w:r>
            <w:r>
              <w:t xml:space="preserve"> </w:t>
            </w:r>
            <w:r>
              <w:t xml:space="preserve">knowledge</w:t>
            </w:r>
          </w:p>
        </w:tc>
        <w:tc>
          <w:tcPr/>
          <w:p>
            <w:pPr>
              <w:pStyle w:val="Compact"/>
            </w:pPr>
            <w:r>
              <w:t xml:space="preserve">Partial documentation exists</w:t>
            </w:r>
          </w:p>
        </w:tc>
        <w:tc>
          <w:tcPr/>
          <w:p>
            <w:pPr>
              <w:pStyle w:val="Compact"/>
            </w:pPr>
            <w:r>
              <w:t xml:space="preserve">Expertise embedded in systems/AI</w:t>
            </w:r>
          </w:p>
        </w:tc>
        <w:tc>
          <w:tcPr/>
          <w:p>
            <w:pPr>
              <w:pStyle w:val="Compac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4929"/>
        <w:tblLayout w:type="fixed"/>
        <w:tblLook w:firstRow="1" w:lastRow="0" w:firstColumn="0" w:lastColumn="0" w:noHBand="0" w:noVBand="0" w:val="0020"/>
      </w:tblPr>
      <w:tblGrid>
        <w:gridCol w:w="863"/>
        <w:gridCol w:w="1989"/>
        <w:gridCol w:w="1914"/>
        <w:gridCol w:w="1764"/>
        <w:gridCol w:w="1276"/>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Data access</w:t>
            </w:r>
          </w:p>
        </w:tc>
        <w:tc>
          <w:tcPr/>
          <w:p>
            <w:pPr>
              <w:pStyle w:val="Compact"/>
            </w:pPr>
            <w:r>
              <w:t xml:space="preserve">SQL/technical expertise required for all queries</w:t>
            </w:r>
          </w:p>
        </w:tc>
        <w:tc>
          <w:tcPr/>
          <w:p>
            <w:pPr>
              <w:pStyle w:val="Compact"/>
            </w:pPr>
            <w:r>
              <w:t xml:space="preserve">IT queue for complex queries; basic self-service</w:t>
            </w:r>
          </w:p>
        </w:tc>
        <w:tc>
          <w:tcPr/>
          <w:p>
            <w:pPr>
              <w:pStyle w:val="Compact"/>
            </w:pPr>
            <w:r>
              <w:t xml:space="preserve">Natural language or visual query interfaces</w:t>
            </w:r>
          </w:p>
        </w:tc>
        <w:tc>
          <w:tcPr/>
          <w:p>
            <w:pPr>
              <w:pStyle w:val="Compac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pPr>
            <w:r>
              <w:t xml:space="preserve">Inter-operability</w:t>
            </w:r>
          </w:p>
        </w:tc>
        <w:tc>
          <w:tcPr/>
          <w:p>
            <w:pPr>
              <w:pStyle w:val="Compact"/>
            </w:pPr>
            <w:r>
              <w:t xml:space="preserve">Fragmented systems; manual reconciliation required</w:t>
            </w:r>
          </w:p>
        </w:tc>
        <w:tc>
          <w:tcPr/>
          <w:p>
            <w:pPr>
              <w:pStyle w:val="Compact"/>
            </w:pPr>
            <w:r>
              <w:t xml:space="preserve">Partial integration; some automated feeds</w:t>
            </w:r>
          </w:p>
        </w:tc>
        <w:tc>
          <w:tcPr/>
          <w:p>
            <w:pPr>
              <w:pStyle w:val="Compact"/>
            </w:pPr>
            <w:r>
              <w:t xml:space="preserve">Unified data platform; real-time integration</w:t>
            </w:r>
          </w:p>
        </w:tc>
        <w:tc>
          <w:tcPr/>
          <w:p>
            <w:pPr>
              <w:pStyle w:val="Compac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pPr>
            <w:r>
              <w:t xml:space="preserve">Skills gap impact</w:t>
            </w:r>
          </w:p>
        </w:tc>
        <w:tc>
          <w:tcPr/>
          <w:p>
            <w:pPr>
              <w:pStyle w:val="Compact"/>
            </w:pPr>
            <w:r>
              <w:t xml:space="preserve">Critical shortage preventing data utilization</w:t>
            </w:r>
          </w:p>
        </w:tc>
        <w:tc>
          <w:tcPr/>
          <w:p>
            <w:pPr>
              <w:pStyle w:val="Compact"/>
            </w:pPr>
            <w:r>
              <w:t xml:space="preserve">Acknowledged deficit with mitigation plans</w:t>
            </w:r>
          </w:p>
        </w:tc>
        <w:tc>
          <w:tcPr/>
          <w:p>
            <w:pPr>
              <w:pStyle w:val="Compact"/>
            </w:pPr>
            <w:r>
              <w:t xml:space="preserve">Sufficient analysts across departments</w:t>
            </w:r>
          </w:p>
        </w:tc>
        <w:tc>
          <w:tcPr/>
          <w:p>
            <w:pPr>
              <w:pStyle w:val="Compac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rPr>
          <w:b/>
          <w:bCs/>
        </w:rPr>
        <w:t xml:space="preserve">Multi-Pillar Convergence Assessment:</w:t>
      </w:r>
    </w:p>
    <w:tbl>
      <w:tblPr>
        <w:tblStyle w:val="Table"/>
        <w:tblW w:type="pct" w:w="4966"/>
        <w:tblLayout w:type="fixed"/>
        <w:tblLook w:firstRow="1" w:lastRow="0" w:firstColumn="0" w:lastColumn="0" w:noHBand="0" w:noVBand="0" w:val="0020"/>
      </w:tblPr>
      <w:tblGrid>
        <w:gridCol w:w="1444"/>
        <w:gridCol w:w="1980"/>
        <w:gridCol w:w="4441"/>
      </w:tblGrid>
      <w:tr>
        <w:trPr>
          <w:tblHeader w:val="on"/>
        </w:trPr>
        <w:tc>
          <w:tcPr/>
          <w:p>
            <w:pPr>
              <w:pStyle w:val="Compact"/>
            </w:pPr>
            <w:r>
              <w:t xml:space="preserve">Organizational Profile</w:t>
            </w:r>
          </w:p>
        </w:tc>
        <w:tc>
          <w:tcPr/>
          <w:p>
            <w:pPr>
              <w:pStyle w:val="Compact"/>
            </w:pPr>
            <w:r>
              <w:t xml:space="preserve">Framework Assessment</w:t>
            </w:r>
          </w:p>
        </w:tc>
        <w:tc>
          <w:tcPr/>
          <w:p>
            <w:pPr>
              <w:pStyle w:val="Compact"/>
            </w:pPr>
            <w:r>
              <w:t xml:space="preserve">Implications for Analysis</w:t>
            </w:r>
          </w:p>
        </w:tc>
      </w:tr>
      <w:tr>
        <w:tc>
          <w:tcPr/>
          <w:p>
            <w:pPr>
              <w:pStyle w:val="Compact"/>
            </w:pPr>
            <w:r>
              <w:t xml:space="preserve">All pillars Low Strength</w:t>
            </w:r>
          </w:p>
        </w:tc>
        <w:tc>
          <w:tcPr/>
          <w:p>
            <w:pPr>
              <w:pStyle w:val="Compact"/>
            </w:pPr>
            <w:r>
              <w:t xml:space="preserve">Self-reinforcing degradation cycle</w:t>
            </w:r>
          </w:p>
        </w:tc>
        <w:tc>
          <w:tcPr/>
          <w:p>
            <w:pPr>
              <w:pStyle w:val="Compact"/>
            </w:pPr>
            <w:r>
              <w:t xml:space="preserve">All three dimensions interact; comprehensive organizational assessment warranted</w:t>
            </w:r>
          </w:p>
        </w:tc>
      </w:tr>
      <w:tr>
        <w:tc>
          <w:tcPr/>
          <w:p>
            <w:pPr>
              <w:pStyle w:val="Compact"/>
            </w:pPr>
            <w:r>
              <w:t xml:space="preserve">1-2 pillars Low Strength</w:t>
            </w:r>
          </w:p>
        </w:tc>
        <w:tc>
          <w:tcPr/>
          <w:p>
            <w:pPr>
              <w:pStyle w:val="Compact"/>
            </w:pPr>
            <w:r>
              <w:t xml:space="preserve">Compounding effects present</w:t>
            </w:r>
          </w:p>
        </w:tc>
        <w:tc>
          <w:tcPr/>
          <w:p>
            <w:pPr>
              <w:pStyle w:val="Compact"/>
            </w:pPr>
            <w:r>
              <w:t xml:space="preserve">Framework reveals interconnections requiring multi-dimensional analysis</w:t>
            </w:r>
          </w:p>
        </w:tc>
      </w:tr>
      <w:tr>
        <w:tc>
          <w:tcPr/>
          <w:p>
            <w:pPr>
              <w:pStyle w:val="Compact"/>
            </w:pPr>
            <w:r>
              <w:t xml:space="preserve">0 pillars Low Strength</w:t>
            </w:r>
          </w:p>
        </w:tc>
        <w:tc>
          <w:tcPr/>
          <w:p>
            <w:pPr>
              <w:pStyle w:val="Compact"/>
            </w:pPr>
            <w:r>
              <w:t xml:space="preserve">Continuous improvement stance</w:t>
            </w:r>
          </w:p>
        </w:tc>
        <w:tc>
          <w:tcPr/>
          <w:p>
            <w:pPr>
              <w:pStyle w:val="Compac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pairs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5"/>
    <w:bookmarkEnd w:id="96"/>
    <w:bookmarkEnd w:id="97"/>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98"/>
    <w:bookmarkStart w:id="99"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99"/>
    <w:bookmarkStart w:id="100"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08"/>
    <w:bookmarkStart w:id="109" w:name="multimedia-appendix"/>
    <w:p>
      <w:pPr>
        <w:pStyle w:val="Heading1"/>
      </w:pPr>
      <w:r>
        <w:rPr>
          <w:rStyle w:val="SectionNumber"/>
        </w:rPr>
        <w:t xml:space="preserve">14</w:t>
      </w:r>
      <w:r>
        <w:tab/>
      </w:r>
      <w:r>
        <w:t xml:space="preserve">Multimedia Appendix</w:t>
      </w:r>
    </w:p>
    <w:p>
      <w:pPr>
        <w:pStyle w:val="FirstParagraph"/>
      </w:pPr>
      <w:r>
        <w:rPr>
          <w:b/>
          <w:bCs/>
        </w:rPr>
        <w:t xml:space="preserve">Multimedia Appendix 1:</w:t>
      </w:r>
      <w:r>
        <w:t xml:space="preserve"> </w:t>
      </w:r>
      <w:r>
        <w:t xml:space="preserve">HIMSS Analytics Maturity Assessment Model (AMAM) Stages and Healthcare NL2SQL Query Examples (see</w:t>
      </w:r>
      <w:r>
        <w:t xml:space="preserve"> </w:t>
      </w:r>
      <w:r>
        <w:rPr>
          <w:rStyle w:val="VerbatimChar"/>
        </w:rPr>
        <w:t xml:space="preserve">multimedia_appendix.pdf</w:t>
      </w:r>
      <w:r>
        <w:t xml:space="preserve">).</w:t>
      </w:r>
    </w:p>
    <w:bookmarkEnd w:id="109"/>
    <w:bookmarkStart w:id="382" w:name="references"/>
    <w:p>
      <w:pPr>
        <w:pStyle w:val="Heading1"/>
      </w:pPr>
      <w:r>
        <w:rPr>
          <w:rStyle w:val="SectionNumber"/>
        </w:rPr>
        <w:t xml:space="preserve">15</w:t>
      </w:r>
      <w:r>
        <w:tab/>
      </w:r>
      <w:r>
        <w:t xml:space="preserve">References</w:t>
      </w:r>
    </w:p>
    <w:bookmarkStart w:id="381" w:name="refs"/>
    <w:bookmarkStart w:id="111"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0">
        <w:r>
          <w:rPr>
            <w:rStyle w:val="Hyperlink"/>
          </w:rPr>
          <w:t xml:space="preserve">https://www.ahima.org/news-publications/press-room-press-releases/2023-press-releases/health-information-workforce-shortages-persist-as-ai-shows-promise-ahima-survey-reveals/</w:t>
        </w:r>
      </w:hyperlink>
    </w:p>
    <w:bookmarkEnd w:id="111"/>
    <w:bookmarkStart w:id="113"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2">
        <w:r>
          <w:rPr>
            <w:rStyle w:val="Hyperlink"/>
          </w:rPr>
          <w:t xml:space="preserve">https://www.himss.org/maturity-models/amam/</w:t>
        </w:r>
      </w:hyperlink>
    </w:p>
    <w:bookmarkEnd w:id="113"/>
    <w:bookmarkStart w:id="115"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6">
        <w:r>
          <w:rPr>
            <w:rStyle w:val="Hyperlink"/>
          </w:rPr>
          <w:t xml:space="preserve">https://api.wittkieffer.com/wp-content/uploads/2012/10/cio-insights-the-state-of-healthcare-it-leadership-wittkieffer-october-2024.pdf</w:t>
        </w:r>
      </w:hyperlink>
    </w:p>
    <w:bookmarkEnd w:id="117"/>
    <w:bookmarkStart w:id="119"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8">
        <w:r>
          <w:rPr>
            <w:rStyle w:val="Hyperlink"/>
          </w:rPr>
          <w:t xml:space="preserve">https://www.himss.org/resources/the-future-of-workforce/</w:t>
        </w:r>
      </w:hyperlink>
    </w:p>
    <w:bookmarkEnd w:id="119"/>
    <w:bookmarkStart w:id="121"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0">
        <w:r>
          <w:rPr>
            <w:rStyle w:val="Hyperlink"/>
          </w:rPr>
          <w:t xml:space="preserve">https://academic.oup.com/jpubhealth</w:t>
        </w:r>
      </w:hyperlink>
    </w:p>
    <w:bookmarkEnd w:id="121"/>
    <w:bookmarkStart w:id="123"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2">
        <w:r>
          <w:rPr>
            <w:rStyle w:val="Hyperlink"/>
          </w:rPr>
          <w:t xml:space="preserve">https://dl.acm.org/doi/10.1145/1017114.1017118</w:t>
        </w:r>
      </w:hyperlink>
    </w:p>
    <w:bookmarkEnd w:id="123"/>
    <w:bookmarkStart w:id="125"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4">
        <w:r>
          <w:rPr>
            <w:rStyle w:val="Hyperlink"/>
          </w:rPr>
          <w:t xml:space="preserve">https://www.nyulawreview.org/issues/volume-94-number-4/data-standardization/</w:t>
        </w:r>
      </w:hyperlink>
    </w:p>
    <w:bookmarkEnd w:id="125"/>
    <w:bookmarkStart w:id="126"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6"/>
    <w:bookmarkStart w:id="128"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138"/>
    <w:bookmarkStart w:id="140"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39">
        <w:r>
          <w:rPr>
            <w:rStyle w:val="Hyperlink"/>
          </w:rPr>
          <w:t xml:space="preserve">https://journalofbigdata.springeropen.com/articles/10.1186/s40537-019-0170-y</w:t>
        </w:r>
      </w:hyperlink>
    </w:p>
    <w:bookmarkEnd w:id="140"/>
    <w:bookmarkStart w:id="142"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1">
        <w:r>
          <w:rPr>
            <w:rStyle w:val="Hyperlink"/>
          </w:rPr>
          <w:t xml:space="preserve">https://www.tandfonline.com/doi/full/10.1080/20479700.2018.1531606</w:t>
        </w:r>
      </w:hyperlink>
    </w:p>
    <w:bookmarkEnd w:id="142"/>
    <w:bookmarkStart w:id="144"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3">
        <w:r>
          <w:rPr>
            <w:rStyle w:val="Hyperlink"/>
          </w:rPr>
          <w:t xml:space="preserve">https://www.tdx.cat/bitstream/handle/10803/695722/TGJBR1de1.pdf?sequence=1</w:t>
        </w:r>
      </w:hyperlink>
    </w:p>
    <w:bookmarkEnd w:id="144"/>
    <w:bookmarkStart w:id="146"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5">
        <w:r>
          <w:rPr>
            <w:rStyle w:val="Hyperlink"/>
          </w:rPr>
          <w:t xml:space="preserve">https://link.springer.com/content/pdf/10.1007/s10462-022-10246-w.pdf</w:t>
        </w:r>
      </w:hyperlink>
    </w:p>
    <w:bookmarkEnd w:id="146"/>
    <w:bookmarkStart w:id="148"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7">
        <w:r>
          <w:rPr>
            <w:rStyle w:val="Hyperlink"/>
          </w:rPr>
          <w:t xml:space="preserve">https://arxiv.org/abs/2403.09226</w:t>
        </w:r>
      </w:hyperlink>
    </w:p>
    <w:bookmarkEnd w:id="148"/>
    <w:bookmarkStart w:id="150"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9">
        <w:r>
          <w:rPr>
            <w:rStyle w:val="Hyperlink"/>
          </w:rPr>
          <w:t xml:space="preserve">https://dspace.flinders.edu.au/jspui/bitstream/2328/3326/4/AACODS_Checklist.pdf</w:t>
        </w:r>
      </w:hyperlink>
    </w:p>
    <w:bookmarkEnd w:id="150"/>
    <w:bookmarkStart w:id="152"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1">
        <w:r>
          <w:rPr>
            <w:rStyle w:val="Hyperlink"/>
          </w:rPr>
          <w:t xml:space="preserve">https://legacy.himss.org/news/new-analytics-maturity-adoption-model-pushes-digital-transformation-and-data-driven-decisions</w:t>
        </w:r>
      </w:hyperlink>
    </w:p>
    <w:bookmarkEnd w:id="152"/>
    <w:bookmarkStart w:id="154"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3">
        <w:r>
          <w:rPr>
            <w:rStyle w:val="Hyperlink"/>
          </w:rPr>
          <w:t xml:space="preserve">https://www.healthcatalyst.com/learn/insights/healthcare-analytics-adoption-model-roadmap-analytic-maturity</w:t>
        </w:r>
      </w:hyperlink>
    </w:p>
    <w:bookmarkEnd w:id="154"/>
    <w:bookmarkStart w:id="156"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5">
        <w:r>
          <w:rPr>
            <w:rStyle w:val="Hyperlink"/>
          </w:rPr>
          <w:t xml:space="preserve">https://ia.berkshirehealthcare.nhs.uk/citizen-developer-programme</w:t>
        </w:r>
      </w:hyperlink>
    </w:p>
    <w:bookmarkEnd w:id="156"/>
    <w:bookmarkStart w:id="158"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7">
        <w:r>
          <w:rPr>
            <w:rStyle w:val="Hyperlink"/>
          </w:rPr>
          <w:t xml:space="preserve">https://tei.forrester.com/go/microsoft/powerappstei/?lang=en-us</w:t>
        </w:r>
      </w:hyperlink>
    </w:p>
    <w:bookmarkEnd w:id="158"/>
    <w:bookmarkStart w:id="160"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59">
        <w:r>
          <w:rPr>
            <w:rStyle w:val="Hyperlink"/>
          </w:rPr>
          <w:t xml:space="preserve">https://www.oracle.com/human-capital-management/cost-employee-turnover-healthcare/</w:t>
        </w:r>
      </w:hyperlink>
    </w:p>
    <w:bookmarkEnd w:id="160"/>
    <w:bookmarkStart w:id="162"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1">
        <w:r>
          <w:rPr>
            <w:rStyle w:val="Hyperlink"/>
          </w:rPr>
          <w:t xml:space="preserve">https://www.precedenceresearch.com/healthcare-analytics-market</w:t>
        </w:r>
      </w:hyperlink>
    </w:p>
    <w:bookmarkEnd w:id="162"/>
    <w:bookmarkStart w:id="164"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3">
        <w:r>
          <w:rPr>
            <w:rStyle w:val="Hyperlink"/>
          </w:rPr>
          <w:t xml:space="preserve">https://newsroom.ibm.com/2022-01-21-Francisco-Partners-to-Acquire-IBMs-Healthcare-Data-and-Analytics-Assets</w:t>
        </w:r>
      </w:hyperlink>
    </w:p>
    <w:bookmarkEnd w:id="164"/>
    <w:bookmarkStart w:id="166"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5">
        <w:r>
          <w:rPr>
            <w:rStyle w:val="Hyperlink"/>
          </w:rPr>
          <w:t xml:space="preserve">https://www.cnbc.com/2021/01/04/haven-the-amazon-berkshire-jpmorgan-venture-to-disrupt-healthcare-is-disbanding-after-3-years.html</w:t>
        </w:r>
      </w:hyperlink>
    </w:p>
    <w:bookmarkEnd w:id="166"/>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7">
        <w:r>
          <w:rPr>
            <w:rStyle w:val="Hyperlink"/>
          </w:rPr>
          <w:t xml:space="preserve">https://doi.org/10.1201/9781003188162</w:t>
        </w:r>
      </w:hyperlink>
    </w:p>
    <w:bookmarkEnd w:id="168"/>
    <w:bookmarkStart w:id="170"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69">
        <w:r>
          <w:rPr>
            <w:rStyle w:val="Hyperlink"/>
          </w:rPr>
          <w:t xml:space="preserve">https://openurl.ebsco.com/EPDB%3Agcd%3A3%3A34056963/detailv2?sid=ebsco%3Aplink%3Ascholar&amp;id=ebsco%3Agcd%3A121526814</w:t>
        </w:r>
      </w:hyperlink>
    </w:p>
    <w:bookmarkEnd w:id="170"/>
    <w:bookmarkStart w:id="172" w:name="ref-rowley2007"/>
    <w:p>
      <w:pPr>
        <w:pStyle w:val="Bibliography"/>
      </w:pPr>
      <w:r>
        <w:t xml:space="preserve">32.</w:t>
      </w:r>
      <w:r>
        <w:t xml:space="preserve"> </w:t>
      </w:r>
      <w:r>
        <w:t xml:space="preserve">	</w:t>
      </w:r>
      <w:r>
        <w:t xml:space="preserve">Rowley J.</w:t>
      </w:r>
      <w:r>
        <w:t xml:space="preserve"> </w:t>
      </w:r>
      <w:hyperlink r:id="rId171">
        <w:r>
          <w:rPr>
            <w:rStyle w:val="Hyperlink"/>
          </w:rPr>
          <w:t xml:space="preserve">The wisdom hierarchy: representations of the DIKW hierarchy</w:t>
        </w:r>
      </w:hyperlink>
      <w:r>
        <w:t xml:space="preserve">. Journal of Information Science. 2007;33(2):163–80.</w:t>
      </w:r>
      <w:r>
        <w:t xml:space="preserve"> </w:t>
      </w:r>
    </w:p>
    <w:bookmarkEnd w:id="172"/>
    <w:bookmarkStart w:id="174"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3">
        <w:r>
          <w:rPr>
            <w:rStyle w:val="Hyperlink"/>
          </w:rPr>
          <w:t xml:space="preserve">https://onlinelibrary.wiley.com/doi/abs/10.1057/palgrave.emr.1500057</w:t>
        </w:r>
      </w:hyperlink>
    </w:p>
    <w:bookmarkEnd w:id="174"/>
    <w:bookmarkStart w:id="176"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5">
        <w:r>
          <w:rPr>
            <w:rStyle w:val="Hyperlink"/>
          </w:rPr>
          <w:t xml:space="preserve">https://doi.org/10.1108/JKM-08-2016-0338</w:t>
        </w:r>
      </w:hyperlink>
    </w:p>
    <w:bookmarkEnd w:id="176"/>
    <w:bookmarkStart w:id="178"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7">
        <w:r>
          <w:rPr>
            <w:rStyle w:val="Hyperlink"/>
          </w:rPr>
          <w:t xml:space="preserve">https://www.frontiersin.org/articles/10.3389/fpsyg.2019.02730</w:t>
        </w:r>
      </w:hyperlink>
    </w:p>
    <w:bookmarkEnd w:id="178"/>
    <w:bookmarkStart w:id="180"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9">
        <w:r>
          <w:rPr>
            <w:rStyle w:val="Hyperlink"/>
          </w:rPr>
          <w:t xml:space="preserve">https://www.emerald.com/insight/content/doi/10.1108/13673270610650067/full/html</w:t>
        </w:r>
      </w:hyperlink>
    </w:p>
    <w:bookmarkEnd w:id="180"/>
    <w:bookmarkStart w:id="182"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1">
        <w:r>
          <w:rPr>
            <w:rStyle w:val="Hyperlink"/>
          </w:rPr>
          <w:t xml:space="preserve">https://doi.org/10.1016/j.ijinfomgt.2003.12.012</w:t>
        </w:r>
      </w:hyperlink>
    </w:p>
    <w:bookmarkEnd w:id="182"/>
    <w:bookmarkStart w:id="184"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3">
        <w:r>
          <w:rPr>
            <w:rStyle w:val="Hyperlink"/>
          </w:rPr>
          <w:t xml:space="preserve">https://www.emerald.com/insight/content/doi/10.1108/JKM-03-2024-0262/full/html</w:t>
        </w:r>
      </w:hyperlink>
    </w:p>
    <w:bookmarkEnd w:id="184"/>
    <w:bookmarkStart w:id="186"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5">
        <w:r>
          <w:rPr>
            <w:rStyle w:val="Hyperlink"/>
          </w:rPr>
          <w:t xml:space="preserve">https://www.sciencedirect.com/science/article/abs/pii/S0040162516000500</w:t>
        </w:r>
      </w:hyperlink>
    </w:p>
    <w:bookmarkEnd w:id="186"/>
    <w:bookmarkStart w:id="188"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7">
        <w:r>
          <w:rPr>
            <w:rStyle w:val="Hyperlink"/>
          </w:rPr>
          <w:t xml:space="preserve">https://www.sciencedirect.com/science/article/abs/pii/S0148296316304891</w:t>
        </w:r>
      </w:hyperlink>
    </w:p>
    <w:bookmarkEnd w:id="188"/>
    <w:bookmarkStart w:id="189"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89"/>
    <w:bookmarkStart w:id="191"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0">
        <w:r>
          <w:rPr>
            <w:rStyle w:val="Hyperlink"/>
          </w:rPr>
          <w:t xml:space="preserve">https://www.tgh.org/news/tgh-press-releases/2025/june/tampa-general-hospital-awarded-highest-designation-analytics-himss</w:t>
        </w:r>
      </w:hyperlink>
    </w:p>
    <w:bookmarkEnd w:id="191"/>
    <w:bookmarkStart w:id="193"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2">
        <w:r>
          <w:rPr>
            <w:rStyle w:val="Hyperlink"/>
          </w:rPr>
          <w:t xml:space="preserve">https://www.prnewswire.com/news-releases/taiwans-first-hospital-to-achieve-amam-stage-7-certification-302390824.html</w:t>
        </w:r>
      </w:hyperlink>
    </w:p>
    <w:bookmarkEnd w:id="193"/>
    <w:bookmarkStart w:id="195"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4">
        <w:r>
          <w:rPr>
            <w:rStyle w:val="Hyperlink"/>
          </w:rPr>
          <w:t xml:space="preserve">https://medicalbuyer.co.in/2-medical-groups-in-saudi-arabia-achieve-stage-7-digital-maturity/</w:t>
        </w:r>
      </w:hyperlink>
    </w:p>
    <w:bookmarkEnd w:id="195"/>
    <w:bookmarkStart w:id="197"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6">
        <w:r>
          <w:rPr>
            <w:rStyle w:val="Hyperlink"/>
          </w:rPr>
          <w:t xml:space="preserve">https://www.jmir.org/2024/1/e56316</w:t>
        </w:r>
      </w:hyperlink>
    </w:p>
    <w:bookmarkEnd w:id="197"/>
    <w:bookmarkStart w:id="199"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8">
        <w:r>
          <w:rPr>
            <w:rStyle w:val="Hyperlink"/>
          </w:rPr>
          <w:t xml:space="preserve">https://onlinelibrary.wiley.com/doi/abs/10.1111/1467-8551.12332</w:t>
        </w:r>
      </w:hyperlink>
    </w:p>
    <w:bookmarkEnd w:id="199"/>
    <w:bookmarkStart w:id="201"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0">
        <w:r>
          <w:rPr>
            <w:rStyle w:val="Hyperlink"/>
          </w:rPr>
          <w:t xml:space="preserve">https://www.mdpi.com/2227-9032/13/1/1</w:t>
        </w:r>
      </w:hyperlink>
    </w:p>
    <w:bookmarkEnd w:id="201"/>
    <w:bookmarkStart w:id="203"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2">
        <w:r>
          <w:rPr>
            <w:rStyle w:val="Hyperlink"/>
          </w:rPr>
          <w:t xml:space="preserve">https://www.sciencedirect.com/science/article/pii/S1386505624001916</w:t>
        </w:r>
      </w:hyperlink>
    </w:p>
    <w:bookmarkEnd w:id="203"/>
    <w:bookmarkStart w:id="205"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4">
        <w:r>
          <w:rPr>
            <w:rStyle w:val="Hyperlink"/>
          </w:rPr>
          <w:t xml:space="preserve">https://scholarworks.waldenu.edu/cgi/viewcontent.cgi?article=12395&amp;context=dissertations</w:t>
        </w:r>
      </w:hyperlink>
    </w:p>
    <w:bookmarkEnd w:id="205"/>
    <w:bookmarkStart w:id="207"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6">
        <w:r>
          <w:rPr>
            <w:rStyle w:val="Hyperlink"/>
          </w:rPr>
          <w:t xml:space="preserve">https://www.nature.com/articles/s41746-019-0118-9</w:t>
        </w:r>
      </w:hyperlink>
    </w:p>
    <w:bookmarkEnd w:id="207"/>
    <w:bookmarkStart w:id="209"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8">
        <w:r>
          <w:rPr>
            <w:rStyle w:val="Hyperlink"/>
          </w:rPr>
          <w:t xml:space="preserve">https://www.sciencedirect.com/science/article/pii/S1386505623001405</w:t>
        </w:r>
      </w:hyperlink>
    </w:p>
    <w:bookmarkEnd w:id="209"/>
    <w:bookmarkStart w:id="211"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0">
        <w:r>
          <w:rPr>
            <w:rStyle w:val="Hyperlink"/>
          </w:rPr>
          <w:t xml:space="preserve">https://www.health.org.uk/publications/understanding-analytical-capability-in-health-care</w:t>
        </w:r>
      </w:hyperlink>
    </w:p>
    <w:bookmarkEnd w:id="211"/>
    <w:bookmarkStart w:id="213"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2">
        <w:r>
          <w:rPr>
            <w:rStyle w:val="Hyperlink"/>
          </w:rPr>
          <w:t xml:space="preserve">https://link.springer.com/article/10.1007/s10916-020-01665-9</w:t>
        </w:r>
      </w:hyperlink>
    </w:p>
    <w:bookmarkEnd w:id="213"/>
    <w:bookmarkStart w:id="215" w:name="ref-carvalho2019"/>
    <w:p>
      <w:pPr>
        <w:pStyle w:val="Bibliography"/>
      </w:pPr>
      <w:r>
        <w:t xml:space="preserve">54.</w:t>
      </w:r>
      <w:r>
        <w:t xml:space="preserve"> </w:t>
      </w:r>
      <w:r>
        <w:t xml:space="preserve">	</w:t>
      </w:r>
      <w:r>
        <w:t xml:space="preserve">Carvalho JV, Rocha Á, Vasconcelos J.</w:t>
      </w:r>
      <w:r>
        <w:t xml:space="preserve"> </w:t>
      </w:r>
      <w:hyperlink r:id="rId214">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5"/>
    <w:bookmarkStart w:id="217"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6">
        <w:r>
          <w:rPr>
            <w:rStyle w:val="Hyperlink"/>
          </w:rPr>
          <w:t xml:space="preserve">https://scholarworks.wmich.edu/ichita_transactions/37/</w:t>
        </w:r>
      </w:hyperlink>
    </w:p>
    <w:bookmarkEnd w:id="217"/>
    <w:bookmarkStart w:id="219"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18">
        <w:r>
          <w:rPr>
            <w:rStyle w:val="Hyperlink"/>
          </w:rPr>
          <w:t xml:space="preserve">https://onlinelibrary.wiley.com/doi/abs/10.1002/smr.2415</w:t>
        </w:r>
      </w:hyperlink>
    </w:p>
    <w:bookmarkEnd w:id="219"/>
    <w:bookmarkStart w:id="221"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0">
        <w:r>
          <w:rPr>
            <w:rStyle w:val="Hyperlink"/>
          </w:rPr>
          <w:t xml:space="preserve">https://www.sciencedirect.com/science/article/abs/pii/S0268401216305655</w:t>
        </w:r>
      </w:hyperlink>
    </w:p>
    <w:bookmarkEnd w:id="221"/>
    <w:bookmarkStart w:id="223"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2">
        <w:r>
          <w:rPr>
            <w:rStyle w:val="Hyperlink"/>
          </w:rPr>
          <w:t xml:space="preserve">https://jamanetwork.com/journals/jamanetworkopen/fullarticle/2777777</w:t>
        </w:r>
      </w:hyperlink>
    </w:p>
    <w:bookmarkEnd w:id="223"/>
    <w:bookmarkStart w:id="225"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4">
        <w:r>
          <w:rPr>
            <w:rStyle w:val="Hyperlink"/>
          </w:rPr>
          <w:t xml:space="preserve">https://academic.oup.com/jamia/article-abstract/9/6/600/1036696</w:t>
        </w:r>
      </w:hyperlink>
    </w:p>
    <w:bookmarkEnd w:id="225"/>
    <w:bookmarkStart w:id="227"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6">
        <w:r>
          <w:rPr>
            <w:rStyle w:val="Hyperlink"/>
          </w:rPr>
          <w:t xml:space="preserve">https://qualitysafety.bmj.com/content/22/3/219.short</w:t>
        </w:r>
      </w:hyperlink>
    </w:p>
    <w:bookmarkEnd w:id="227"/>
    <w:bookmarkStart w:id="229"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28">
        <w:r>
          <w:rPr>
            <w:rStyle w:val="Hyperlink"/>
          </w:rPr>
          <w:t xml:space="preserve">https://medinform.jmir.org/2020/11/e19612/</w:t>
        </w:r>
      </w:hyperlink>
    </w:p>
    <w:bookmarkEnd w:id="229"/>
    <w:bookmarkStart w:id="231"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0">
        <w:r>
          <w:rPr>
            <w:rStyle w:val="Hyperlink"/>
          </w:rPr>
          <w:t xml:space="preserve">https://www.sciencedirect.com/science/article/abs/pii/S1386505618300443</w:t>
        </w:r>
      </w:hyperlink>
    </w:p>
    <w:bookmarkEnd w:id="231"/>
    <w:bookmarkStart w:id="233"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2">
        <w:r>
          <w:rPr>
            <w:rStyle w:val="Hyperlink"/>
          </w:rPr>
          <w:t xml:space="preserve">https://link.springer.com/article/10.1186/s12911-021-01470-5</w:t>
        </w:r>
      </w:hyperlink>
    </w:p>
    <w:bookmarkEnd w:id="233"/>
    <w:bookmarkStart w:id="235"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4">
        <w:r>
          <w:rPr>
            <w:rStyle w:val="Hyperlink"/>
          </w:rPr>
          <w:t xml:space="preserve">https://academic.oup.com/database/article/doi/10.1093/database/bav121/2630096</w:t>
        </w:r>
      </w:hyperlink>
    </w:p>
    <w:bookmarkEnd w:id="235"/>
    <w:bookmarkStart w:id="237"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6">
        <w:r>
          <w:rPr>
            <w:rStyle w:val="Hyperlink"/>
          </w:rPr>
          <w:t xml:space="preserve">https://ieeexplore.ieee.org/abstract/document/8104211</w:t>
        </w:r>
      </w:hyperlink>
    </w:p>
    <w:bookmarkEnd w:id="237"/>
    <w:bookmarkStart w:id="23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38">
        <w:r>
          <w:rPr>
            <w:rStyle w:val="Hyperlink"/>
          </w:rPr>
          <w:t xml:space="preserve">https://www.jmir.org/2022/1/e25440/</w:t>
        </w:r>
      </w:hyperlink>
    </w:p>
    <w:bookmarkEnd w:id="239"/>
    <w:bookmarkStart w:id="241"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0">
        <w:r>
          <w:rPr>
            <w:rStyle w:val="Hyperlink"/>
          </w:rPr>
          <w:t xml:space="preserve">https://link.springer.com/article/10.1186/s12913-017-2697-y</w:t>
        </w:r>
      </w:hyperlink>
    </w:p>
    <w:bookmarkEnd w:id="241"/>
    <w:bookmarkStart w:id="243"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2">
        <w:r>
          <w:rPr>
            <w:rStyle w:val="Hyperlink"/>
          </w:rPr>
          <w:t xml:space="preserve">https://ebooks.iospress.nl/volumearticle/35106</w:t>
        </w:r>
      </w:hyperlink>
    </w:p>
    <w:bookmarkEnd w:id="243"/>
    <w:bookmarkStart w:id="245"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4">
        <w:r>
          <w:rPr>
            <w:rStyle w:val="Hyperlink"/>
          </w:rPr>
          <w:t xml:space="preserve">https://pmc.ncbi.nlm.nih.gov/articles/PMC10802134/</w:t>
        </w:r>
      </w:hyperlink>
    </w:p>
    <w:bookmarkEnd w:id="245"/>
    <w:bookmarkStart w:id="247"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6">
        <w:r>
          <w:rPr>
            <w:rStyle w:val="Hyperlink"/>
          </w:rPr>
          <w:t xml:space="preserve">https://pmc.ncbi.nlm.nih.gov/articles/PMC11919231/</w:t>
        </w:r>
      </w:hyperlink>
    </w:p>
    <w:bookmarkEnd w:id="247"/>
    <w:bookmarkStart w:id="249"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48">
        <w:r>
          <w:rPr>
            <w:rStyle w:val="Hyperlink"/>
          </w:rPr>
          <w:t xml:space="preserve">https://academic.oup.com/jpart/advance-article-abstract/doi/10.1093/jopart/muaf019/8162522</w:t>
        </w:r>
      </w:hyperlink>
    </w:p>
    <w:bookmarkEnd w:id="249"/>
    <w:bookmarkStart w:id="251"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2">
        <w:r>
          <w:rPr>
            <w:rStyle w:val="Hyperlink"/>
          </w:rPr>
          <w:t xml:space="preserve">https://www.nsinursingsolutions.com/documents/library/nsi_national_health_care_retention_report.pdf</w:t>
        </w:r>
      </w:hyperlink>
    </w:p>
    <w:bookmarkEnd w:id="253"/>
    <w:bookmarkStart w:id="255"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4">
        <w:r>
          <w:rPr>
            <w:rStyle w:val="Hyperlink"/>
          </w:rPr>
          <w:t xml:space="preserve">https://human-resources-health.biomedcentral.com/articles/10.1186/1478-4491-11-35</w:t>
        </w:r>
      </w:hyperlink>
    </w:p>
    <w:bookmarkEnd w:id="255"/>
    <w:bookmarkStart w:id="257"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6">
        <w:r>
          <w:rPr>
            <w:rStyle w:val="Hyperlink"/>
          </w:rPr>
          <w:t xml:space="preserve">https://pubmed.ncbi.nlm.nih.gov/20054502/</w:t>
        </w:r>
      </w:hyperlink>
    </w:p>
    <w:bookmarkEnd w:id="257"/>
    <w:bookmarkStart w:id="259"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8">
        <w:r>
          <w:rPr>
            <w:rStyle w:val="Hyperlink"/>
          </w:rPr>
          <w:t xml:space="preserve">https://pmc.ncbi.nlm.nih.gov/articles/PMC10243608/</w:t>
        </w:r>
      </w:hyperlink>
    </w:p>
    <w:bookmarkEnd w:id="259"/>
    <w:bookmarkStart w:id="261"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0">
        <w:r>
          <w:rPr>
            <w:rStyle w:val="Hyperlink"/>
          </w:rPr>
          <w:t xml:space="preserve">https://www.diva-portal.org/smash/record.jsf?pid=diva2:1684142</w:t>
        </w:r>
      </w:hyperlink>
    </w:p>
    <w:bookmarkEnd w:id="261"/>
    <w:bookmarkStart w:id="263"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2">
        <w:r>
          <w:rPr>
            <w:rStyle w:val="Hyperlink"/>
          </w:rPr>
          <w:t xml:space="preserve">https://www.redjournal.org/article/S0360-3016(16)00260-1/fulltext</w:t>
        </w:r>
      </w:hyperlink>
    </w:p>
    <w:bookmarkEnd w:id="263"/>
    <w:bookmarkStart w:id="265"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4">
        <w:r>
          <w:rPr>
            <w:rStyle w:val="Hyperlink"/>
          </w:rPr>
          <w:t xml:space="preserve">https://onlinelibrary.wiley.com/doi/abs/10.1111/j.1540-5885.2010.00798.x</w:t>
        </w:r>
      </w:hyperlink>
    </w:p>
    <w:bookmarkEnd w:id="265"/>
    <w:bookmarkStart w:id="267"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6">
        <w:r>
          <w:rPr>
            <w:rStyle w:val="Hyperlink"/>
          </w:rPr>
          <w:t xml:space="preserve">https://arxiv.org/abs/1908.01839</w:t>
        </w:r>
      </w:hyperlink>
    </w:p>
    <w:bookmarkEnd w:id="267"/>
    <w:bookmarkStart w:id="269"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8">
        <w:r>
          <w:rPr>
            <w:rStyle w:val="Hyperlink"/>
          </w:rPr>
          <w:t xml:space="preserve">https://academic.oup.com/jamia/article-abstract/26/4/294/5308980</w:t>
        </w:r>
      </w:hyperlink>
    </w:p>
    <w:bookmarkEnd w:id="269"/>
    <w:bookmarkStart w:id="271"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0">
        <w:r>
          <w:rPr>
            <w:rStyle w:val="Hyperlink"/>
          </w:rPr>
          <w:t xml:space="preserve">https://arxiv.org/abs/2508.08224</w:t>
        </w:r>
      </w:hyperlink>
    </w:p>
    <w:bookmarkEnd w:id="271"/>
    <w:bookmarkStart w:id="273"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2">
        <w:r>
          <w:rPr>
            <w:rStyle w:val="Hyperlink"/>
          </w:rPr>
          <w:t xml:space="preserve">https://arxiv.org/abs/2505.08775</w:t>
        </w:r>
      </w:hyperlink>
    </w:p>
    <w:bookmarkEnd w:id="273"/>
    <w:bookmarkStart w:id="275"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4">
        <w:r>
          <w:rPr>
            <w:rStyle w:val="Hyperlink"/>
          </w:rPr>
          <w:t xml:space="preserve">https://ai.nejm.org/doi/full/10.1056/AIdbp2500144</w:t>
        </w:r>
      </w:hyperlink>
    </w:p>
    <w:bookmarkEnd w:id="275"/>
    <w:bookmarkStart w:id="277"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6">
        <w:r>
          <w:rPr>
            <w:rStyle w:val="Hyperlink"/>
          </w:rPr>
          <w:t xml:space="preserve">https://www.nature.com/articles/s41746-024-01390-4</w:t>
        </w:r>
      </w:hyperlink>
    </w:p>
    <w:bookmarkEnd w:id="277"/>
    <w:bookmarkStart w:id="279"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78">
        <w:r>
          <w:rPr>
            <w:rStyle w:val="Hyperlink"/>
          </w:rPr>
          <w:t xml:space="preserve">https://www.mdpi.com/2504-2289/9/10/256</w:t>
        </w:r>
      </w:hyperlink>
    </w:p>
    <w:bookmarkEnd w:id="279"/>
    <w:bookmarkStart w:id="281"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0">
        <w:r>
          <w:rPr>
            <w:rStyle w:val="Hyperlink"/>
          </w:rPr>
          <w:t xml:space="preserve">https://arxiv.org/abs/2301.07695</w:t>
        </w:r>
      </w:hyperlink>
    </w:p>
    <w:bookmarkEnd w:id="281"/>
    <w:bookmarkStart w:id="283"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2">
        <w:r>
          <w:rPr>
            <w:rStyle w:val="Hyperlink"/>
          </w:rPr>
          <w:t xml:space="preserve">https://arxiv.org/abs/2411.05521</w:t>
        </w:r>
      </w:hyperlink>
    </w:p>
    <w:bookmarkEnd w:id="283"/>
    <w:bookmarkStart w:id="285"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4">
        <w:r>
          <w:rPr>
            <w:rStyle w:val="Hyperlink"/>
          </w:rPr>
          <w:t xml:space="preserve">https://arxiv.org/abs/2511.17559</w:t>
        </w:r>
      </w:hyperlink>
    </w:p>
    <w:bookmarkEnd w:id="285"/>
    <w:bookmarkStart w:id="287"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6">
        <w:r>
          <w:rPr>
            <w:rStyle w:val="Hyperlink"/>
          </w:rPr>
          <w:t xml:space="preserve">https://www.sciencedirect.com/science/article/pii/S0031320324008197</w:t>
        </w:r>
      </w:hyperlink>
    </w:p>
    <w:bookmarkEnd w:id="287"/>
    <w:bookmarkStart w:id="289"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88">
        <w:r>
          <w:rPr>
            <w:rStyle w:val="Hyperlink"/>
          </w:rPr>
          <w:t xml:space="preserve">https://al-kindipublisher.com/index.php/jcsts/article/view/9694</w:t>
        </w:r>
      </w:hyperlink>
    </w:p>
    <w:bookmarkEnd w:id="289"/>
    <w:bookmarkStart w:id="291"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0">
        <w:r>
          <w:rPr>
            <w:rStyle w:val="Hyperlink"/>
          </w:rPr>
          <w:t xml:space="preserve">https://www.sciencedirect.com/science/article/pii/S1532046424000650</w:t>
        </w:r>
      </w:hyperlink>
    </w:p>
    <w:bookmarkEnd w:id="291"/>
    <w:bookmarkStart w:id="293"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2">
        <w:r>
          <w:rPr>
            <w:rStyle w:val="Hyperlink"/>
          </w:rPr>
          <w:t xml:space="preserve">https://arxiv.org/abs/2511.14718</w:t>
        </w:r>
      </w:hyperlink>
    </w:p>
    <w:bookmarkEnd w:id="293"/>
    <w:bookmarkStart w:id="295"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4">
        <w:r>
          <w:rPr>
            <w:rStyle w:val="Hyperlink"/>
          </w:rPr>
          <w:t xml:space="preserve">https://dl.acm.org/doi/abs/10.1145/3318464.3389777</w:t>
        </w:r>
      </w:hyperlink>
    </w:p>
    <w:bookmarkEnd w:id="295"/>
    <w:bookmarkStart w:id="297"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6">
        <w:r>
          <w:rPr>
            <w:rStyle w:val="Hyperlink"/>
          </w:rPr>
          <w:t xml:space="preserve">https://www.sciencedirect.com/science/article/pii/S1532046414001592</w:t>
        </w:r>
      </w:hyperlink>
    </w:p>
    <w:bookmarkEnd w:id="297"/>
    <w:bookmarkStart w:id="299"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8">
        <w:r>
          <w:rPr>
            <w:rStyle w:val="Hyperlink"/>
          </w:rPr>
          <w:t xml:space="preserve">https://medinform.jmir.org/2019/3/e13331</w:t>
        </w:r>
      </w:hyperlink>
    </w:p>
    <w:bookmarkEnd w:id="299"/>
    <w:bookmarkStart w:id="301"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0">
        <w:r>
          <w:rPr>
            <w:rStyle w:val="Hyperlink"/>
          </w:rPr>
          <w:t xml:space="preserve">https://www.frontiersin.org/articles/10.3389/fdata.2024.1371680</w:t>
        </w:r>
      </w:hyperlink>
    </w:p>
    <w:bookmarkEnd w:id="301"/>
    <w:bookmarkStart w:id="303"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2">
        <w:r>
          <w:rPr>
            <w:rStyle w:val="Hyperlink"/>
          </w:rPr>
          <w:t xml:space="preserve">https://www.proquest.com/openview/0d955ee8209664a4447c9995a1b9e721/1?pq-origsite=gscholar&amp;cbl=326365</w:t>
        </w:r>
      </w:hyperlink>
    </w:p>
    <w:bookmarkEnd w:id="303"/>
    <w:bookmarkStart w:id="305"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4">
        <w:r>
          <w:rPr>
            <w:rStyle w:val="Hyperlink"/>
          </w:rPr>
          <w:t xml:space="preserve">https://sarcouncil.com/2025/06/ai-driven-mainframe-modernization-unlocking-legacy-data-for-cloud-analytics</w:t>
        </w:r>
      </w:hyperlink>
    </w:p>
    <w:bookmarkEnd w:id="305"/>
    <w:bookmarkStart w:id="307"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06">
        <w:r>
          <w:rPr>
            <w:rStyle w:val="Hyperlink"/>
          </w:rPr>
          <w:t xml:space="preserve">https://www.google.com/books/edition/ADVANCING_SELFSERVICE_BI_The_Rise_of_Aut/np01EQAAQBAJ</w:t>
        </w:r>
      </w:hyperlink>
    </w:p>
    <w:bookmarkEnd w:id="307"/>
    <w:bookmarkStart w:id="309" w:name="ref-samimi2025"/>
    <w:p>
      <w:pPr>
        <w:pStyle w:val="Bibliography"/>
      </w:pPr>
      <w:r>
        <w:t xml:space="preserve">101.</w:t>
      </w:r>
      <w:r>
        <w:t xml:space="preserve"> </w:t>
      </w:r>
      <w:r>
        <w:t xml:space="preserve">	</w:t>
      </w:r>
      <w:r>
        <w:t xml:space="preserve">Samimi R, Bhattacharya A, Gosak L, Stiglic G, Verbert K.</w:t>
      </w:r>
      <w:r>
        <w:t xml:space="preserve"> </w:t>
      </w:r>
      <w:hyperlink r:id="rId30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9"/>
    <w:bookmarkStart w:id="311" w:name="ref-ruoff2023"/>
    <w:p>
      <w:pPr>
        <w:pStyle w:val="Bibliography"/>
      </w:pPr>
      <w:r>
        <w:t xml:space="preserve">102.</w:t>
      </w:r>
      <w:r>
        <w:t xml:space="preserve"> </w:t>
      </w:r>
      <w:r>
        <w:t xml:space="preserve">	</w:t>
      </w:r>
      <w:r>
        <w:t xml:space="preserve">Ruoff M, Gnewuch U, Maedche A, Scheibehenne B.</w:t>
      </w:r>
      <w:r>
        <w:t xml:space="preserve"> </w:t>
      </w:r>
      <w:hyperlink r:id="rId31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1"/>
    <w:bookmarkStart w:id="313"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2">
        <w:r>
          <w:rPr>
            <w:rStyle w:val="Hyperlink"/>
          </w:rPr>
          <w:t xml:space="preserve">https://ieeexplore.ieee.org/abstract/document/9303381</w:t>
        </w:r>
      </w:hyperlink>
    </w:p>
    <w:bookmarkEnd w:id="313"/>
    <w:bookmarkStart w:id="315"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4">
        <w:r>
          <w:rPr>
            <w:rStyle w:val="Hyperlink"/>
          </w:rPr>
          <w:t xml:space="preserve">https://dl.acm.org/doi/abs/10.1145/3335082.3335094</w:t>
        </w:r>
      </w:hyperlink>
    </w:p>
    <w:bookmarkEnd w:id="315"/>
    <w:bookmarkStart w:id="317"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16">
        <w:r>
          <w:rPr>
            <w:rStyle w:val="Hyperlink"/>
          </w:rPr>
          <w:t xml:space="preserve">https://www.academia.edu/download/41283190/Design_and_evaluation_of_systems_to_supp20160117-25708-98zc50.pdf</w:t>
        </w:r>
      </w:hyperlink>
    </w:p>
    <w:bookmarkEnd w:id="317"/>
    <w:bookmarkStart w:id="319"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18">
        <w:r>
          <w:rPr>
            <w:rStyle w:val="Hyperlink"/>
          </w:rPr>
          <w:t xml:space="preserve">https://www.mdpi.com/1660-4601/17/12/4267</w:t>
        </w:r>
      </w:hyperlink>
    </w:p>
    <w:bookmarkEnd w:id="319"/>
    <w:bookmarkStart w:id="321"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0">
        <w:r>
          <w:rPr>
            <w:rStyle w:val="Hyperlink"/>
          </w:rPr>
          <w:t xml:space="preserve">https://wendyju.com/publications/18_ijee3593.pdf</w:t>
        </w:r>
      </w:hyperlink>
    </w:p>
    <w:bookmarkEnd w:id="321"/>
    <w:bookmarkStart w:id="323"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2">
        <w:r>
          <w:rPr>
            <w:rStyle w:val="Hyperlink"/>
          </w:rPr>
          <w:t xml:space="preserve">https://bioinform.jmir.org/2025/1/e63139</w:t>
        </w:r>
      </w:hyperlink>
    </w:p>
    <w:bookmarkEnd w:id="323"/>
    <w:bookmarkStart w:id="325"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4">
        <w:r>
          <w:rPr>
            <w:rStyle w:val="Hyperlink"/>
          </w:rPr>
          <w:t xml:space="preserve">https://sarcouncil.com/download-article/SJECS-209-_2025-630-636.pdf</w:t>
        </w:r>
      </w:hyperlink>
    </w:p>
    <w:bookmarkEnd w:id="325"/>
    <w:bookmarkStart w:id="327"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6">
        <w:r>
          <w:rPr>
            <w:rStyle w:val="Hyperlink"/>
          </w:rPr>
          <w:t xml:space="preserve">https://ieeexplore.ieee.org/document/10186753</w:t>
        </w:r>
      </w:hyperlink>
    </w:p>
    <w:bookmarkEnd w:id="327"/>
    <w:bookmarkStart w:id="329"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28">
        <w:r>
          <w:rPr>
            <w:rStyle w:val="Hyperlink"/>
          </w:rPr>
          <w:t xml:space="preserve">https://mds.marshall.edu/etd/1824/</w:t>
        </w:r>
      </w:hyperlink>
    </w:p>
    <w:bookmarkEnd w:id="329"/>
    <w:bookmarkStart w:id="331"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0">
        <w:r>
          <w:rPr>
            <w:rStyle w:val="Hyperlink"/>
          </w:rPr>
          <w:t xml:space="preserve">https://gisrrj.com/paper/GISRRJ236426.pdf</w:t>
        </w:r>
      </w:hyperlink>
    </w:p>
    <w:bookmarkEnd w:id="331"/>
    <w:bookmarkStart w:id="333"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2">
        <w:r>
          <w:rPr>
            <w:rStyle w:val="Hyperlink"/>
          </w:rPr>
          <w:t xml:space="preserve">https://ieeexplore.ieee.org/document/10297311</w:t>
        </w:r>
      </w:hyperlink>
    </w:p>
    <w:bookmarkEnd w:id="333"/>
    <w:bookmarkStart w:id="335"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4">
        <w:r>
          <w:rPr>
            <w:rStyle w:val="Hyperlink"/>
          </w:rPr>
          <w:t xml:space="preserve">https://ieeexplore.ieee.org/abstract/document/10373712/</w:t>
        </w:r>
      </w:hyperlink>
    </w:p>
    <w:bookmarkEnd w:id="335"/>
    <w:bookmarkStart w:id="337"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6">
        <w:r>
          <w:rPr>
            <w:rStyle w:val="Hyperlink"/>
          </w:rPr>
          <w:t xml:space="preserve">https://imjstb.com/index.php/Journal/article/view/95</w:t>
        </w:r>
      </w:hyperlink>
    </w:p>
    <w:bookmarkEnd w:id="337"/>
    <w:bookmarkStart w:id="339"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38">
        <w:r>
          <w:rPr>
            <w:rStyle w:val="Hyperlink"/>
          </w:rPr>
          <w:t xml:space="preserve">https://journals.sagepub.com/doi/full/10.1177/23743735241253785</w:t>
        </w:r>
      </w:hyperlink>
    </w:p>
    <w:bookmarkEnd w:id="339"/>
    <w:bookmarkStart w:id="341"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0">
        <w:r>
          <w:rPr>
            <w:rStyle w:val="Hyperlink"/>
          </w:rPr>
          <w:t xml:space="preserve">https://academic.oup.com/jamia/article/14/6/687/750453</w:t>
        </w:r>
      </w:hyperlink>
    </w:p>
    <w:bookmarkEnd w:id="341"/>
    <w:bookmarkStart w:id="343"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2">
        <w:r>
          <w:rPr>
            <w:rStyle w:val="Hyperlink"/>
          </w:rPr>
          <w:t xml:space="preserve">https://www.acpjournals.org/doi/10.7326/M19-0871</w:t>
        </w:r>
      </w:hyperlink>
    </w:p>
    <w:bookmarkEnd w:id="343"/>
    <w:bookmarkStart w:id="345"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4">
        <w:r>
          <w:rPr>
            <w:rStyle w:val="Hyperlink"/>
          </w:rPr>
          <w:t xml:space="preserve">https://www.sciencedirect.com/science/article/pii/S0168851021002396</w:t>
        </w:r>
      </w:hyperlink>
    </w:p>
    <w:bookmarkEnd w:id="345"/>
    <w:bookmarkStart w:id="347"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6">
        <w:r>
          <w:rPr>
            <w:rStyle w:val="Hyperlink"/>
          </w:rPr>
          <w:t xml:space="preserve">https://ieeexplore.ieee.org/abstract/document/8678513/</w:t>
        </w:r>
      </w:hyperlink>
    </w:p>
    <w:bookmarkEnd w:id="347"/>
    <w:bookmarkStart w:id="349"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8">
        <w:r>
          <w:rPr>
            <w:rStyle w:val="Hyperlink"/>
          </w:rPr>
          <w:t xml:space="preserve">https://oulurepo.oulu.fi/bitstream/handle/10024/27921/nbnfi-fe2020050424858.pdf</w:t>
        </w:r>
      </w:hyperlink>
    </w:p>
    <w:bookmarkEnd w:id="349"/>
    <w:bookmarkStart w:id="351"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0">
        <w:r>
          <w:rPr>
            <w:rStyle w:val="Hyperlink"/>
          </w:rPr>
          <w:t xml:space="preserve">https://www.academicradiology.org/article/S1076-6332(21)00140-9/abstract</w:t>
        </w:r>
      </w:hyperlink>
    </w:p>
    <w:bookmarkEnd w:id="351"/>
    <w:bookmarkStart w:id="353"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2">
        <w:r>
          <w:rPr>
            <w:rStyle w:val="Hyperlink"/>
          </w:rPr>
          <w:t xml:space="preserve">https://journals.sagepub.com/doi/abs/10.1177/00081256221094307</w:t>
        </w:r>
      </w:hyperlink>
    </w:p>
    <w:bookmarkEnd w:id="353"/>
    <w:bookmarkStart w:id="354"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354"/>
    <w:bookmarkStart w:id="356"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5">
        <w:r>
          <w:rPr>
            <w:rStyle w:val="Hyperlink"/>
          </w:rPr>
          <w:t xml:space="preserve">https://tools.totaleconomicimpact.com/go/microsoft/powerapps/</w:t>
        </w:r>
      </w:hyperlink>
    </w:p>
    <w:bookmarkEnd w:id="356"/>
    <w:bookmarkStart w:id="358"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7">
        <w:r>
          <w:rPr>
            <w:rStyle w:val="Hyperlink"/>
          </w:rPr>
          <w:t xml:space="preserve">https://medinform.jmir.org/2022/2/e32875</w:t>
        </w:r>
      </w:hyperlink>
    </w:p>
    <w:bookmarkEnd w:id="358"/>
    <w:bookmarkStart w:id="360"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lenz2007"/>
    <w:p>
      <w:pPr>
        <w:pStyle w:val="Bibliography"/>
      </w:pPr>
      <w:r>
        <w:t xml:space="preserve">128.</w:t>
      </w:r>
      <w:r>
        <w:t xml:space="preserve"> </w:t>
      </w:r>
      <w:r>
        <w:t xml:space="preserve">	</w:t>
      </w:r>
      <w:r>
        <w:t xml:space="preserve">Lenz R, Beyer M, Kuhn KA.</w:t>
      </w:r>
      <w:r>
        <w:t xml:space="preserve"> </w:t>
      </w:r>
      <w:hyperlink r:id="rId361">
        <w:r>
          <w:rPr>
            <w:rStyle w:val="Hyperlink"/>
          </w:rPr>
          <w:t xml:space="preserve">Semantic integration in healthcare networks</w:t>
        </w:r>
      </w:hyperlink>
      <w:r>
        <w:t xml:space="preserve">. International Journal of Medical Informatics. 2007;76(2-3):201–7.</w:t>
      </w:r>
      <w:r>
        <w:t xml:space="preserve"> </w:t>
      </w:r>
    </w:p>
    <w:bookmarkEnd w:id="362"/>
    <w:bookmarkStart w:id="364"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3">
        <w:r>
          <w:rPr>
            <w:rStyle w:val="Hyperlink"/>
          </w:rPr>
          <w:t xml:space="preserve">https://arxiv.org/pdf/2311.02082</w:t>
        </w:r>
      </w:hyperlink>
    </w:p>
    <w:bookmarkEnd w:id="364"/>
    <w:bookmarkStart w:id="366"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7">
        <w:r>
          <w:rPr>
            <w:rStyle w:val="Hyperlink"/>
          </w:rPr>
          <w:t xml:space="preserve">https://www.quantbeckman.com/api/v1/file/5b240742-bf0d-4f8c-a0f9-cb29fab42611.pdf</w:t>
        </w:r>
      </w:hyperlink>
    </w:p>
    <w:bookmarkEnd w:id="368"/>
    <w:bookmarkStart w:id="370"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9">
        <w:r>
          <w:rPr>
            <w:rStyle w:val="Hyperlink"/>
          </w:rPr>
          <w:t xml:space="preserve">https://mail.vldb.org/archives/website/2005/program/paper/fri/p1006-yu.pdf</w:t>
        </w:r>
      </w:hyperlink>
    </w:p>
    <w:bookmarkEnd w:id="370"/>
    <w:bookmarkStart w:id="372"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1">
        <w:r>
          <w:rPr>
            <w:rStyle w:val="Hyperlink"/>
          </w:rPr>
          <w:t xml:space="preserve">https://www.taylorfrancis.com/chapters/edit/10.1201/9781003716686-10/semantic-web-addressing-data-integration-challenges-semantic-data-fabric-healthcare-sivaranjani-tharunika-bhuvaneswari</w:t>
        </w:r>
      </w:hyperlink>
    </w:p>
    <w:bookmarkEnd w:id="372"/>
    <w:bookmarkStart w:id="374" w:name="ref-battula2025"/>
    <w:p>
      <w:pPr>
        <w:pStyle w:val="Bibliography"/>
      </w:pPr>
      <w:r>
        <w:t xml:space="preserve">134.</w:t>
      </w:r>
      <w:r>
        <w:t xml:space="preserve"> </w:t>
      </w:r>
      <w:r>
        <w:t xml:space="preserve">	</w:t>
      </w:r>
      <w:r>
        <w:t xml:space="preserve">Battula SKY.</w:t>
      </w:r>
      <w:r>
        <w:t xml:space="preserve"> </w:t>
      </w:r>
      <w:hyperlink r:id="rId37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4"/>
    <w:bookmarkStart w:id="376" w:name="ref-zimmermann2017"/>
    <w:p>
      <w:pPr>
        <w:pStyle w:val="Bibliography"/>
      </w:pPr>
      <w:r>
        <w:t xml:space="preserve">135.</w:t>
      </w:r>
      <w:r>
        <w:t xml:space="preserve"> </w:t>
      </w:r>
      <w:r>
        <w:t xml:space="preserve">	</w:t>
      </w:r>
      <w:r>
        <w:t xml:space="preserve">Zimmermann S, Rentrop C, Felden C.</w:t>
      </w:r>
      <w:r>
        <w:t xml:space="preserve"> </w:t>
      </w:r>
      <w:hyperlink r:id="rId375">
        <w:r>
          <w:rPr>
            <w:rStyle w:val="Hyperlink"/>
          </w:rPr>
          <w:t xml:space="preserve">A Multiple Case Study on the Nature and Management of Shadow Information Technology</w:t>
        </w:r>
      </w:hyperlink>
      <w:r>
        <w:t xml:space="preserve">. Journal of Information Systems. 2017;31(1):79–101.</w:t>
      </w:r>
      <w:r>
        <w:t xml:space="preserve"> </w:t>
      </w:r>
    </w:p>
    <w:bookmarkEnd w:id="376"/>
    <w:bookmarkStart w:id="378" w:name="ref-rivard1987"/>
    <w:p>
      <w:pPr>
        <w:pStyle w:val="Bibliography"/>
      </w:pPr>
      <w:r>
        <w:t xml:space="preserve">136.</w:t>
      </w:r>
      <w:r>
        <w:t xml:space="preserve"> </w:t>
      </w:r>
      <w:r>
        <w:t xml:space="preserve">	</w:t>
      </w:r>
      <w:r>
        <w:t xml:space="preserve">Rivard S.</w:t>
      </w:r>
      <w:r>
        <w:t xml:space="preserve"> </w:t>
      </w:r>
      <w:hyperlink r:id="rId377">
        <w:r>
          <w:rPr>
            <w:rStyle w:val="Hyperlink"/>
          </w:rPr>
          <w:t xml:space="preserve">Successful Implementation of End-User Computing</w:t>
        </w:r>
      </w:hyperlink>
      <w:r>
        <w:t xml:space="preserve">. Interfaces. 1987;17(3):25–33.</w:t>
      </w:r>
      <w:r>
        <w:t xml:space="preserve"> </w:t>
      </w:r>
    </w:p>
    <w:bookmarkEnd w:id="378"/>
    <w:bookmarkStart w:id="380" w:name="ref-kopper2020"/>
    <w:p>
      <w:pPr>
        <w:pStyle w:val="Bibliography"/>
      </w:pPr>
      <w:r>
        <w:t xml:space="preserve">137.</w:t>
      </w:r>
      <w:r>
        <w:t xml:space="preserve"> </w:t>
      </w:r>
      <w:r>
        <w:t xml:space="preserve">	</w:t>
      </w:r>
      <w:r>
        <w:t xml:space="preserve">Kopper A, Westner M, Strahringer S.</w:t>
      </w:r>
      <w:r>
        <w:t xml:space="preserve"> </w:t>
      </w:r>
      <w:hyperlink r:id="rId37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0"/>
    <w:bookmarkEnd w:id="381"/>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2026-01-15T16:39:12Z</dcterms:created>
  <dcterms:modified xsi:type="dcterms:W3CDTF">2026-01-15T16:39:12Z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