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73 academic and 11 industry sources (84 total).</w:t>
      </w:r>
    </w:p>
    <w:p>
      <w:pPr>
        <w:pStyle w:val="BodyText"/>
      </w:pPr>
      <w:r>
        <w:t xml:space="preserve">Figure 2 illustrates the literature selection process, showing progression from initial database search through screening and quality assessment to the final corpus of 84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84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84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 [A69], [A71],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 [A8], [A9] 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 [A69]. On healthcare-specific NL2SQL tasks, GPT-5 achieves 64.6% execution accuracy on the MIMICSQL dataset [A70], while the HealthBench benchmark (developed with 262 physicians across 26 specialties) shows GPT-5 hallucination rates of 0.7-1.0%, representing a 4-6x improvement over previous models [A71].</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 [A8], [A9]; subsequent 2025 benchmarks show GPT-5 significantly exceeding these results, with the SCARE benchmark [A72] providing 4,200 EHR question-SQL pairs across MIMIC-III, MIMIC-IV, and eICU databases specifically designed to evaluate post-hoc safety mechanisms for clinical text-to-SQL deployment. While these advances narrow the gap between benchmark performance and clinical readiness, domain-specific challenges in medical terminology and complex clinical reasoning remain active research areas.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applied across subsequent research (e.g., [A73]).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p>
      <w:pPr>
        <w:pStyle w:val="BodyText"/>
      </w:pPr>
      <w:r>
        <w:t xml:space="preserve">[A69] Wang, S., Hu, M., Li, Q., Safari, M., &amp; Yang, X. (2025). Capabilities of GPT-5 on multimodal medical reasoning.</w:t>
      </w:r>
      <w:r>
        <w:t xml:space="preserve"> </w:t>
      </w:r>
      <w:r>
        <w:rPr>
          <w:i/>
          <w:iCs/>
        </w:rPr>
        <w:t xml:space="preserve">arXiv preprint</w:t>
      </w:r>
      <w:r>
        <w:t xml:space="preserve">, arXiv:2508.08224. https://arxiv.org/abs/2508.08224</w:t>
      </w:r>
    </w:p>
    <w:p>
      <w:pPr>
        <w:pStyle w:val="BodyText"/>
      </w:pPr>
      <w:r>
        <w:t xml:space="preserve">[A70] Blašković, L., Tanković, N., &amp; Lorencin, I. (2025). Robust clinical querying with local LLMs: Lexical challenges in NL2SQL and RAG-QA on EHRs.</w:t>
      </w:r>
      <w:r>
        <w:t xml:space="preserve"> </w:t>
      </w:r>
      <w:r>
        <w:rPr>
          <w:i/>
          <w:iCs/>
        </w:rPr>
        <w:t xml:space="preserve">Big Data and Cognitive Computing</w:t>
      </w:r>
      <w:r>
        <w:t xml:space="preserve">, 9(3), 124. DOI: 10.3390/bdcc9030124. https://www.mdpi.com/2504-2289/9/3/124</w:t>
      </w:r>
    </w:p>
    <w:p>
      <w:pPr>
        <w:pStyle w:val="BodyText"/>
      </w:pPr>
      <w:r>
        <w:t xml:space="preserve">[A71] OpenAI. (2025). HealthBench: A benchmark for evaluating LLMs in healthcare.</w:t>
      </w:r>
      <w:r>
        <w:t xml:space="preserve"> </w:t>
      </w:r>
      <w:r>
        <w:rPr>
          <w:i/>
          <w:iCs/>
        </w:rPr>
        <w:t xml:space="preserve">arXiv preprint</w:t>
      </w:r>
      <w:r>
        <w:t xml:space="preserve">, arXiv:2505.08775. https://arxiv.org/abs/2505.08775</w:t>
      </w:r>
    </w:p>
    <w:p>
      <w:pPr>
        <w:pStyle w:val="BodyText"/>
      </w:pPr>
      <w:r>
        <w:t xml:space="preserve">[A72] Lee, G., Chay, W., &amp; Choi, E. (2025). SCARE: A benchmark for SQL correction and question answerability classification for reliable EHR question answering.</w:t>
      </w:r>
      <w:r>
        <w:t xml:space="preserve"> </w:t>
      </w:r>
      <w:r>
        <w:rPr>
          <w:i/>
          <w:iCs/>
        </w:rPr>
        <w:t xml:space="preserve">arXiv preprint</w:t>
      </w:r>
      <w:r>
        <w:t xml:space="preserve">, arXiv:2511.17559. https://arxiv.org/abs/2511.17559</w:t>
      </w:r>
    </w:p>
    <w:p>
      <w:pPr>
        <w:pStyle w:val="BodyText"/>
      </w:pPr>
      <w:r>
        <w:t xml:space="preserve">[A73] Saha, B. K., Gordon, P., &amp; Gillbrand, T. (2023). NLINQ: A natural language interface for querying network performance.</w:t>
      </w:r>
      <w:r>
        <w:t xml:space="preserve"> </w:t>
      </w:r>
      <w:r>
        <w:rPr>
          <w:i/>
          <w:iCs/>
        </w:rPr>
        <w:t xml:space="preserve">Applied Intelligence</w:t>
      </w:r>
      <w:r>
        <w:t xml:space="preserve">, 53, 1-15. DOI: 10.1007/s10489-023-04567-2. https://link.springer.com/article/10.1007/s10489-023-04567-2</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2025-12-22T16:42:03Z</dcterms:created>
  <dcterms:modified xsi:type="dcterms:W3CDTF">2025-12-22T16:42:03Z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