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w:t>
      </w:r>
      <w:r>
        <w:t xml:space="preserve"> </w:t>
      </w:r>
      <w:r>
        <w:t xml:space="preserve">Institutional</w:t>
      </w:r>
      <w:r>
        <w:t xml:space="preserve"> </w:t>
      </w:r>
      <w:r>
        <w:t xml:space="preserve">Amnesia:</w:t>
      </w:r>
      <w:r>
        <w:t xml:space="preserve"> </w:t>
      </w:r>
      <w:r>
        <w:t xml:space="preserve">A</w:t>
      </w:r>
      <w:r>
        <w:t xml:space="preserve"> </w:t>
      </w:r>
      <w:r>
        <w:t xml:space="preserve">Design</w:t>
      </w:r>
      <w:r>
        <w:t xml:space="preserve"> </w:t>
      </w:r>
      <w:r>
        <w:t xml:space="preserve">Science</w:t>
      </w:r>
      <w:r>
        <w:t xml:space="preserve"> </w:t>
      </w:r>
      <w:r>
        <w:t xml:space="preserve">Framework</w:t>
      </w:r>
      <w:r>
        <w:t xml:space="preserve"> </w:t>
      </w:r>
      <w:r>
        <w:t xml:space="preserve">for</w:t>
      </w:r>
      <w:r>
        <w:t xml:space="preserve"> </w:t>
      </w:r>
      <w:r>
        <w:t xml:space="preserve">Socio-Technical</w:t>
      </w:r>
      <w:r>
        <w:t xml:space="preserve"> </w:t>
      </w:r>
      <w:r>
        <w:t xml:space="preserve">Query</w:t>
      </w:r>
      <w:r>
        <w:t xml:space="preserve"> </w:t>
      </w:r>
      <w:r>
        <w:t xml:space="preserve">Governance</w:t>
      </w:r>
      <w:r>
        <w:t xml:space="preserve"> </w:t>
      </w:r>
      <w:r>
        <w:t xml:space="preserve">in</w:t>
      </w:r>
      <w:r>
        <w:t xml:space="preserve"> </w:t>
      </w:r>
      <w:r>
        <w:t xml:space="preserve">Healthcare</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Recent</w:t>
      </w:r>
      <w:r>
        <w:t xml:space="preserve"> </w:t>
      </w:r>
      <w:r>
        <w:t xml:space="preserve">data</w:t>
      </w:r>
      <w:r>
        <w:t xml:space="preserve"> </w:t>
      </w:r>
      <w:r>
        <w:t xml:space="preserve">reveals</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where</w:t>
      </w:r>
      <w:r>
        <w:t xml:space="preserve"> </w:t>
      </w:r>
      <w:r>
        <w:t xml:space="preserve">53%</w:t>
      </w:r>
      <w:r>
        <w:t xml:space="preserve"> </w:t>
      </w:r>
      <w:r>
        <w:t xml:space="preserve">of</w:t>
      </w:r>
      <w:r>
        <w:t xml:space="preserve"> </w:t>
      </w:r>
      <w:r>
        <w:t xml:space="preserve">healthcare</w:t>
      </w:r>
      <w:r>
        <w:t xml:space="preserve"> </w:t>
      </w:r>
      <w:r>
        <w:t xml:space="preserve">CIOs</w:t>
      </w:r>
      <w:r>
        <w:t xml:space="preserve"> </w:t>
      </w:r>
      <w:r>
        <w:t xml:space="preserve">have</w:t>
      </w:r>
      <w:r>
        <w:t xml:space="preserve"> </w:t>
      </w:r>
      <w:r>
        <w:t xml:space="preserve">less</w:t>
      </w:r>
      <w:r>
        <w:t xml:space="preserve"> </w:t>
      </w:r>
      <w:r>
        <w:t xml:space="preserve">than</w:t>
      </w:r>
      <w:r>
        <w:t xml:space="preserve"> </w:t>
      </w:r>
      <w:r>
        <w:t xml:space="preserve">three</w:t>
      </w:r>
      <w:r>
        <w:t xml:space="preserve"> </w:t>
      </w:r>
      <w:r>
        <w:t xml:space="preserve">years’</w:t>
      </w:r>
      <w:r>
        <w:t xml:space="preserve"> </w:t>
      </w:r>
      <w:r>
        <w:t xml:space="preserve">tenure</w:t>
      </w:r>
      <w:r>
        <w:t xml:space="preserve"> </w:t>
      </w:r>
      <w:r>
        <w:t xml:space="preserve">and</w:t>
      </w:r>
      <w:r>
        <w:t xml:space="preserve"> </w:t>
      </w:r>
      <w:r>
        <w:t xml:space="preserve">55%</w:t>
      </w:r>
      <w:r>
        <w:t xml:space="preserve"> </w:t>
      </w:r>
      <w:r>
        <w:t xml:space="preserve">of</w:t>
      </w:r>
      <w:r>
        <w:t xml:space="preserve"> </w:t>
      </w:r>
      <w:r>
        <w:t xml:space="preserve">informatics</w:t>
      </w:r>
      <w:r>
        <w:t xml:space="preserve"> </w:t>
      </w:r>
      <w:r>
        <w:t xml:space="preserve">specialists</w:t>
      </w:r>
      <w:r>
        <w:t xml:space="preserve"> </w:t>
      </w:r>
      <w:r>
        <w:t xml:space="preserve">intend</w:t>
      </w:r>
      <w:r>
        <w:t xml:space="preserve"> </w:t>
      </w:r>
      <w:r>
        <w:t xml:space="preserve">to</w:t>
      </w:r>
      <w:r>
        <w:t xml:space="preserve"> </w:t>
      </w:r>
      <w:r>
        <w:t xml:space="preserve">leave</w:t>
      </w:r>
      <w:r>
        <w:t xml:space="preserve"> </w:t>
      </w:r>
      <w:r>
        <w:t xml:space="preserve">their</w:t>
      </w:r>
      <w:r>
        <w:t xml:space="preserve"> </w:t>
      </w:r>
      <w:r>
        <w:t xml:space="preserve">roles.</w:t>
      </w:r>
      <w:r>
        <w:t xml:space="preserve"> </w:t>
      </w:r>
      <w:r>
        <w:t xml:space="preserve">This</w:t>
      </w:r>
      <w:r>
        <w:t xml:space="preserve"> </w:t>
      </w:r>
      <w:r>
        <w:t xml:space="preserve">churn</w:t>
      </w:r>
      <w:r>
        <w:t xml:space="preserve"> </w:t>
      </w:r>
      <w:r>
        <w:t xml:space="preserve">erases</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p>
    <w:p>
      <w:pPr>
        <w:pStyle w:val="Abstract"/>
      </w:pPr>
      <w:r>
        <w:rPr>
          <w:b/>
          <w:bCs/>
        </w:rPr>
        <w:t xml:space="preserve">Objective:</w:t>
      </w:r>
      <w:r>
        <w:t xml:space="preserve"> </w:t>
      </w:r>
      <w:r>
        <w:t xml:space="preserve">This</w:t>
      </w:r>
      <w:r>
        <w:t xml:space="preserve"> </w:t>
      </w:r>
      <w:r>
        <w:t xml:space="preserve">article</w:t>
      </w:r>
      <w:r>
        <w:t xml:space="preserve"> </w:t>
      </w:r>
      <w:r>
        <w:t xml:space="preserve">proposes</w:t>
      </w:r>
      <w:r>
        <w:t xml:space="preserve"> </w:t>
      </w:r>
      <w:r>
        <w:t xml:space="preserve">a</w:t>
      </w:r>
      <w:r>
        <w:t xml:space="preserve"> </w:t>
      </w:r>
      <w:r>
        <w:t xml:space="preserve">socio-technical</w:t>
      </w:r>
      <w:r>
        <w:t xml:space="preserve"> </w:t>
      </w:r>
      <w:r>
        <w:t xml:space="preserve">framework</w:t>
      </w:r>
      <w:r>
        <w:t xml:space="preserve"> </w:t>
      </w:r>
      <w:r>
        <w:t xml:space="preserve">to</w:t>
      </w:r>
      <w:r>
        <w:t xml:space="preserve"> </w:t>
      </w:r>
      <w:r>
        <w:t xml:space="preserve">mitigate</w:t>
      </w:r>
      <w:r>
        <w:t xml:space="preserve"> </w:t>
      </w:r>
      <w:r>
        <w:t xml:space="preserve">institutional</w:t>
      </w:r>
      <w:r>
        <w:t xml:space="preserve"> </w:t>
      </w:r>
      <w:r>
        <w:t xml:space="preserve">amnesia</w:t>
      </w:r>
      <w:r>
        <w:t xml:space="preserve"> </w:t>
      </w:r>
      <w:r>
        <w:t xml:space="preserve">by</w:t>
      </w:r>
      <w:r>
        <w:t xml:space="preserve"> </w:t>
      </w:r>
      <w:r>
        <w:t xml:space="preserve">decoupling</w:t>
      </w:r>
      <w:r>
        <w:t xml:space="preserve"> </w:t>
      </w:r>
      <w:r>
        <w:t xml:space="preserve">organizational</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staff</w:t>
      </w:r>
      <w:r>
        <w:t xml:space="preserve"> </w:t>
      </w:r>
      <w:r>
        <w:t xml:space="preserve">tenure.</w:t>
      </w:r>
      <w:r>
        <w:t xml:space="preserve"> </w:t>
      </w:r>
      <w:r>
        <w:t xml:space="preserve">We</w:t>
      </w:r>
      <w:r>
        <w:t xml:space="preserve"> </w:t>
      </w:r>
      <w:r>
        <w:t xml:space="preserve">aim</w:t>
      </w:r>
      <w:r>
        <w:t xml:space="preserve"> </w:t>
      </w:r>
      <w:r>
        <w:t xml:space="preserve">to</w:t>
      </w:r>
      <w:r>
        <w:t xml:space="preserve"> </w:t>
      </w:r>
      <w:r>
        <w:t xml:space="preserve">answer</w:t>
      </w:r>
      <w:r>
        <w:t xml:space="preserve"> </w:t>
      </w:r>
      <w:r>
        <w:t xml:space="preserve">the</w:t>
      </w:r>
      <w:r>
        <w:t xml:space="preserve"> </w:t>
      </w:r>
      <w:r>
        <w:t xml:space="preserve">research</w:t>
      </w:r>
      <w:r>
        <w:t xml:space="preserve"> </w:t>
      </w:r>
      <w:r>
        <w:t xml:space="preserve">question:</w:t>
      </w:r>
      <w:r>
        <w:t xml:space="preserve"> </w:t>
      </w:r>
      <w:r>
        <w:rPr>
          <w:i/>
          <w:iCs/>
        </w:rPr>
        <w:t xml:space="preserve">How</w:t>
      </w:r>
      <w:r>
        <w:rPr>
          <w:i/>
          <w:iCs/>
        </w:rPr>
        <w:t xml:space="preserve"> </w:t>
      </w:r>
      <w:r>
        <w:rPr>
          <w:i/>
          <w:iCs/>
        </w:rPr>
        <w:t xml:space="preserve">can</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maintain</w:t>
      </w:r>
      <w:r>
        <w:rPr>
          <w:i/>
          <w:iCs/>
        </w:rPr>
        <w:t xml:space="preserve"> </w:t>
      </w:r>
      <w:r>
        <w:rPr>
          <w:i/>
          <w:iCs/>
        </w:rPr>
        <w:t xml:space="preserve">analytics</w:t>
      </w:r>
      <w:r>
        <w:rPr>
          <w:i/>
          <w:iCs/>
        </w:rPr>
        <w:t xml:space="preserve"> </w:t>
      </w:r>
      <w:r>
        <w:rPr>
          <w:i/>
          <w:iCs/>
        </w:rPr>
        <w:t xml:space="preserve">maturity</w:t>
      </w:r>
      <w:r>
        <w:rPr>
          <w:i/>
          <w:iCs/>
        </w:rPr>
        <w:t xml:space="preserve"> </w:t>
      </w:r>
      <w:r>
        <w:rPr>
          <w:i/>
          <w:iCs/>
        </w:rPr>
        <w:t xml:space="preserve">when</w:t>
      </w:r>
      <w:r>
        <w:rPr>
          <w:i/>
          <w:iCs/>
        </w:rPr>
        <w:t xml:space="preserve"> </w:t>
      </w:r>
      <w:r>
        <w:rPr>
          <w:i/>
          <w:iCs/>
        </w:rPr>
        <w:t xml:space="preserve">workforce</w:t>
      </w:r>
      <w:r>
        <w:rPr>
          <w:i/>
          <w:iCs/>
        </w:rPr>
        <w:t xml:space="preserve"> </w:t>
      </w:r>
      <w:r>
        <w:rPr>
          <w:i/>
          <w:iCs/>
        </w:rPr>
        <w:t xml:space="preserve">turnover</w:t>
      </w:r>
      <w:r>
        <w:rPr>
          <w:i/>
          <w:iCs/>
        </w:rPr>
        <w:t xml:space="preserve"> </w:t>
      </w:r>
      <w:r>
        <w:rPr>
          <w:i/>
          <w:iCs/>
        </w:rPr>
        <w:t xml:space="preserve">exceeds</w:t>
      </w:r>
      <w:r>
        <w:rPr>
          <w:i/>
          <w:iCs/>
        </w:rPr>
        <w:t xml:space="preserve"> </w:t>
      </w:r>
      <w:r>
        <w:rPr>
          <w:i/>
          <w:iCs/>
        </w:rPr>
        <w:t xml:space="preserve">the</w:t>
      </w:r>
      <w:r>
        <w:rPr>
          <w:i/>
          <w:iCs/>
        </w:rPr>
        <w:t xml:space="preserve"> </w:t>
      </w:r>
      <w:r>
        <w:rPr>
          <w:i/>
          <w:iCs/>
        </w:rPr>
        <w:t xml:space="preserve">speed</w:t>
      </w:r>
      <w:r>
        <w:rPr>
          <w:i/>
          <w:iCs/>
        </w:rPr>
        <w:t xml:space="preserve"> </w:t>
      </w:r>
      <w:r>
        <w:rPr>
          <w:i/>
          <w:iCs/>
        </w:rPr>
        <w:t xml:space="preserve">of</w:t>
      </w:r>
      <w:r>
        <w:rPr>
          <w:i/>
          <w:iCs/>
        </w:rPr>
        <w:t xml:space="preserve"> </w:t>
      </w:r>
      <w:r>
        <w:rPr>
          <w:i/>
          <w:iCs/>
        </w:rPr>
        <w:t xml:space="preserve">documentation?</w:t>
      </w:r>
    </w:p>
    <w:p>
      <w:pPr>
        <w:pStyle w:val="Abstract"/>
      </w:pPr>
      <w:r>
        <w:rPr>
          <w:b/>
          <w:bCs/>
        </w:rPr>
        <w:t xml:space="preserve">Methods:</w:t>
      </w:r>
      <w:r>
        <w:t xml:space="preserve"> </w:t>
      </w:r>
      <w:r>
        <w:t xml:space="preserve">We</w:t>
      </w:r>
      <w:r>
        <w:t xml:space="preserve"> </w:t>
      </w:r>
      <w:r>
        <w:t xml:space="preserve">employed</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The</w:t>
      </w:r>
      <w:r>
        <w:t xml:space="preserve"> </w:t>
      </w:r>
      <w:r>
        <w:t xml:space="preserve">framework</w:t>
      </w:r>
      <w:r>
        <w:t xml:space="preserve"> </w:t>
      </w:r>
      <w:r>
        <w:t xml:space="preserve">is</w:t>
      </w:r>
      <w:r>
        <w:t xml:space="preserve"> </w:t>
      </w:r>
      <w:r>
        <w:t xml:space="preserve">grounded</w:t>
      </w:r>
      <w:r>
        <w:t xml:space="preserve"> </w:t>
      </w:r>
      <w:r>
        <w:t xml:space="preserve">in</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reinterpreting</w:t>
      </w:r>
      <w:r>
        <w:t xml:space="preserve"> </w:t>
      </w:r>
      <w:r>
        <w:t xml:space="preserve">“</w:t>
      </w:r>
      <w:r>
        <w:t xml:space="preserve">Socialization</w:t>
      </w:r>
      <w:r>
        <w:t xml:space="preserve">”</w:t>
      </w:r>
      <w:r>
        <w:t xml:space="preserve"> </w:t>
      </w:r>
      <w:r>
        <w:t xml:space="preserve">vulnerabilities</w:t>
      </w:r>
      <w:r>
        <w:t xml:space="preserve"> </w:t>
      </w:r>
      <w:r>
        <w:t xml:space="preserve">through</w:t>
      </w:r>
      <w:r>
        <w:t xml:space="preserve"> </w:t>
      </w:r>
      <w:r>
        <w:t xml:space="preserve">the</w:t>
      </w:r>
      <w:r>
        <w:t xml:space="preserve"> </w:t>
      </w:r>
      <w:r>
        <w:t xml:space="preserve">lens</w:t>
      </w:r>
      <w:r>
        <w:t xml:space="preserve"> </w:t>
      </w:r>
      <w:r>
        <w:t xml:space="preserve">of</w:t>
      </w:r>
      <w:r>
        <w:t xml:space="preserve"> </w:t>
      </w:r>
      <w:r>
        <w:t xml:space="preserve">workforce</w:t>
      </w:r>
      <w:r>
        <w:t xml:space="preserve"> </w:t>
      </w:r>
      <w:r>
        <w:t xml:space="preserve">turnover</w:t>
      </w:r>
      <w:r>
        <w:t xml:space="preserve"> </w:t>
      </w:r>
      <w:r>
        <w:t xml:space="preserve">data</w:t>
      </w:r>
      <w:r>
        <w:t xml:space="preserve"> </w:t>
      </w:r>
      <w:r>
        <w:t xml:space="preserve">(2024-2025).</w:t>
      </w:r>
    </w:p>
    <w:p>
      <w:pPr>
        <w:pStyle w:val="Abstract"/>
      </w:pPr>
      <w:r>
        <w:rPr>
          <w:b/>
          <w:bCs/>
        </w:rPr>
        <w:t xml:space="preserve">Results:</w:t>
      </w:r>
      <w:r>
        <w:t xml:space="preserve"> </w:t>
      </w:r>
      <w:r>
        <w:t xml:space="preserve">We</w:t>
      </w:r>
      <w:r>
        <w:t xml:space="preserve"> </w:t>
      </w:r>
      <w:r>
        <w:t xml:space="preserve">present</w:t>
      </w:r>
      <w:r>
        <w:t xml:space="preserve"> </w:t>
      </w:r>
      <w:r>
        <w:t xml:space="preserve">the</w:t>
      </w:r>
      <w:r>
        <w:t xml:space="preserve"> </w:t>
      </w:r>
      <w:r>
        <w:t xml:space="preserve">“</w:t>
      </w:r>
      <w:r>
        <w:t xml:space="preserve">Human-in-the-Loop</w:t>
      </w:r>
      <w:r>
        <w:t xml:space="preserve"> </w:t>
      </w:r>
      <w:r>
        <w:t xml:space="preserve">Semantic</w:t>
      </w:r>
      <w:r>
        <w:t xml:space="preserve"> </w:t>
      </w:r>
      <w:r>
        <w:t xml:space="preserve">Governance</w:t>
      </w:r>
      <w:r>
        <w:t xml:space="preserve">”</w:t>
      </w:r>
      <w:r>
        <w:t xml:space="preserve"> </w:t>
      </w:r>
      <w:r>
        <w:t xml:space="preserve">(HiL-SG)</w:t>
      </w:r>
      <w:r>
        <w:t xml:space="preserve"> </w:t>
      </w:r>
      <w:r>
        <w:t xml:space="preserve">framework.</w:t>
      </w:r>
      <w:r>
        <w:t xml:space="preserve"> </w:t>
      </w:r>
      <w:r>
        <w:t xml:space="preserve">This</w:t>
      </w:r>
      <w:r>
        <w:t xml:space="preserve"> </w:t>
      </w:r>
      <w:r>
        <w:t xml:space="preserve">architecture</w:t>
      </w:r>
      <w:r>
        <w:t xml:space="preserve"> </w:t>
      </w:r>
      <w:r>
        <w:t xml:space="preserve">functions</w:t>
      </w:r>
      <w:r>
        <w:t xml:space="preserve"> </w:t>
      </w:r>
      <w:r>
        <w:t xml:space="preserve">as</w:t>
      </w:r>
      <w:r>
        <w:t xml:space="preserve"> </w:t>
      </w:r>
      <w:r>
        <w:t xml:space="preserve">a</w:t>
      </w:r>
      <w:r>
        <w:t xml:space="preserve"> </w:t>
      </w:r>
      <w:r>
        <w:t xml:space="preserve">socio-technical</w:t>
      </w:r>
      <w:r>
        <w:t xml:space="preserve"> </w:t>
      </w:r>
      <w:r>
        <w:t xml:space="preserve">artifact</w:t>
      </w:r>
      <w:r>
        <w:t xml:space="preserve"> </w:t>
      </w:r>
      <w:r>
        <w:t xml:space="preserve">that</w:t>
      </w:r>
      <w:r>
        <w:t xml:space="preserve"> </w:t>
      </w:r>
      <w:r>
        <w:t xml:space="preserve">converts</w:t>
      </w:r>
      <w:r>
        <w:t xml:space="preserve"> </w:t>
      </w:r>
      <w:r>
        <w:t xml:space="preserve">tacit</w:t>
      </w:r>
      <w:r>
        <w:t xml:space="preserve"> </w:t>
      </w:r>
      <w:r>
        <w:t xml:space="preserve">domain</w:t>
      </w:r>
      <w:r>
        <w:t xml:space="preserve"> </w:t>
      </w:r>
      <w:r>
        <w:t xml:space="preserve">expertise</w:t>
      </w:r>
      <w:r>
        <w:t xml:space="preserve"> </w:t>
      </w:r>
      <w:r>
        <w:t xml:space="preserve">into</w:t>
      </w:r>
      <w:r>
        <w:t xml:space="preserve"> </w:t>
      </w:r>
      <w:r>
        <w:t xml:space="preserve">explicit,</w:t>
      </w:r>
      <w:r>
        <w:t xml:space="preserve"> </w:t>
      </w:r>
      <w:r>
        <w:t xml:space="preserve">executable</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(Natural</w:t>
      </w:r>
      <w:r>
        <w:t xml:space="preserve"> </w:t>
      </w:r>
      <w:r>
        <w:t xml:space="preserve">Language</w:t>
      </w:r>
      <w:r>
        <w:t xml:space="preserve"> </w:t>
      </w:r>
      <w:r>
        <w:t xml:space="preserve">+</w:t>
      </w:r>
      <w:r>
        <w:t xml:space="preserve"> </w:t>
      </w:r>
      <w:r>
        <w:t xml:space="preserve">SQL</w:t>
      </w:r>
      <w:r>
        <w:t xml:space="preserve"> </w:t>
      </w:r>
      <w:r>
        <w:t xml:space="preserve">+</w:t>
      </w:r>
      <w:r>
        <w:t xml:space="preserve"> </w:t>
      </w:r>
      <w:r>
        <w:t xml:space="preserve">Rationale).</w:t>
      </w:r>
      <w:r>
        <w:t xml:space="preserve"> </w:t>
      </w:r>
      <w:r>
        <w:t xml:space="preserve">By</w:t>
      </w:r>
      <w:r>
        <w:t xml:space="preserve"> </w:t>
      </w:r>
      <w:r>
        <w:t xml:space="preserve">shifting</w:t>
      </w:r>
      <w:r>
        <w:t xml:space="preserve"> </w:t>
      </w:r>
      <w:r>
        <w:t xml:space="preserve">the</w:t>
      </w:r>
      <w:r>
        <w:t xml:space="preserve"> </w:t>
      </w:r>
      <w:r>
        <w:t xml:space="preserve">locus</w:t>
      </w:r>
      <w:r>
        <w:t xml:space="preserve"> </w:t>
      </w:r>
      <w:r>
        <w:t xml:space="preserve">of</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the</w:t>
      </w:r>
      <w:r>
        <w:t xml:space="preserve"> </w:t>
      </w:r>
      <w:r>
        <w:t xml:space="preserve">framework</w:t>
      </w:r>
      <w:r>
        <w:t xml:space="preserve"> </w:t>
      </w:r>
      <w:r>
        <w:t xml:space="preserve">enables</w:t>
      </w:r>
      <w:r>
        <w:t xml:space="preserve"> </w:t>
      </w:r>
      <w:r>
        <w:t xml:space="preserve">an</w:t>
      </w:r>
      <w:r>
        <w:t xml:space="preserve"> </w:t>
      </w:r>
      <w:r>
        <w:t xml:space="preserve">“</w:t>
      </w:r>
      <w:r>
        <w:t xml:space="preserve">Analytics</w:t>
      </w:r>
      <w:r>
        <w:t xml:space="preserve"> </w:t>
      </w:r>
      <w:r>
        <w:t xml:space="preserve">Resilience</w:t>
      </w:r>
      <w:r>
        <w:t xml:space="preserve"> </w:t>
      </w:r>
      <w:r>
        <w:t xml:space="preserve">Index</w:t>
      </w:r>
      <w:r>
        <w:t xml:space="preserve">”</w:t>
      </w:r>
      <w:r>
        <w:t xml:space="preserve"> </w:t>
      </w:r>
      <w:r>
        <w:t xml:space="preserve">(ARI)</w:t>
      </w:r>
      <w:r>
        <w:t xml:space="preserve"> </w:t>
      </w:r>
      <w:r>
        <w:t xml:space="preserve">that</w:t>
      </w:r>
      <w:r>
        <w:t xml:space="preserve"> </w:t>
      </w:r>
      <w:r>
        <w:t xml:space="preserve">measures</w:t>
      </w:r>
      <w:r>
        <w:t xml:space="preserve"> </w:t>
      </w:r>
      <w:r>
        <w:t xml:space="preserve">an</w:t>
      </w:r>
      <w:r>
        <w:t xml:space="preserve"> </w:t>
      </w:r>
      <w:r>
        <w:t xml:space="preserve">organization’s</w:t>
      </w:r>
      <w:r>
        <w:t xml:space="preserve"> </w:t>
      </w:r>
      <w:r>
        <w:t xml:space="preserve">ability</w:t>
      </w:r>
      <w:r>
        <w:t xml:space="preserve"> </w:t>
      </w:r>
      <w:r>
        <w:t xml:space="preserve">to</w:t>
      </w:r>
      <w:r>
        <w:t xml:space="preserve"> </w:t>
      </w:r>
      <w:r>
        <w:t xml:space="preserve">sustain</w:t>
      </w:r>
      <w:r>
        <w:t xml:space="preserve"> </w:t>
      </w:r>
      <w:r>
        <w:t xml:space="preserve">insights</w:t>
      </w:r>
      <w:r>
        <w:t xml:space="preserve"> </w:t>
      </w:r>
      <w:r>
        <w:t xml:space="preserve">despite</w:t>
      </w:r>
      <w:r>
        <w:t xml:space="preserve"> </w:t>
      </w:r>
      <w:r>
        <w:t xml:space="preserve">staff</w:t>
      </w:r>
      <w:r>
        <w:t xml:space="preserve"> </w:t>
      </w:r>
      <w:r>
        <w:t xml:space="preserve">churn.</w:t>
      </w:r>
    </w:p>
    <w:p>
      <w:pPr>
        <w:pStyle w:val="Abstract"/>
      </w:pPr>
      <w:r>
        <w:rPr>
          <w:b/>
          <w:bCs/>
        </w:rPr>
        <w:t xml:space="preserve">Conclusions:</w:t>
      </w:r>
      <w:r>
        <w:t xml:space="preserve"> </w:t>
      </w:r>
      <w:r>
        <w:t xml:space="preserve">The</w:t>
      </w:r>
      <w:r>
        <w:t xml:space="preserve"> </w:t>
      </w:r>
      <w:r>
        <w:t xml:space="preserve">“</w:t>
      </w:r>
      <w:r>
        <w:t xml:space="preserve">Validator</w:t>
      </w:r>
      <w:r>
        <w:t xml:space="preserve"> </w:t>
      </w:r>
      <w:r>
        <w:t xml:space="preserve">Paradox</w:t>
      </w:r>
      <w:r>
        <w:t xml:space="preserve">”</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leave?—is</w:t>
      </w:r>
      <w:r>
        <w:t xml:space="preserve"> </w:t>
      </w:r>
      <w:r>
        <w:t xml:space="preserve">resolved</w:t>
      </w:r>
      <w:r>
        <w:t xml:space="preserve"> </w:t>
      </w:r>
      <w:r>
        <w:t xml:space="preserve">by</w:t>
      </w:r>
      <w:r>
        <w:t xml:space="preserve"> </w:t>
      </w:r>
      <w:r>
        <w:t xml:space="preserve">treating</w:t>
      </w:r>
      <w:r>
        <w:t xml:space="preserve"> </w:t>
      </w:r>
      <w:r>
        <w:t xml:space="preserve">validation</w:t>
      </w:r>
      <w:r>
        <w:t xml:space="preserve"> </w:t>
      </w:r>
      <w:r>
        <w:t xml:space="preserve">as</w:t>
      </w:r>
      <w:r>
        <w:t xml:space="preserve"> </w:t>
      </w:r>
      <w:r>
        <w:t xml:space="preserve">“</w:t>
      </w:r>
      <w:r>
        <w:t xml:space="preserve">standard</w:t>
      </w:r>
      <w:r>
        <w:t xml:space="preserve"> </w:t>
      </w:r>
      <w:r>
        <w:t xml:space="preserve">work</w:t>
      </w:r>
      <w:r>
        <w:t xml:space="preserve">”</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healthcare</w:t>
      </w:r>
      <w:r>
        <w:t xml:space="preserve"> </w:t>
      </w:r>
      <w:r>
        <w:t xml:space="preserve">systems</w:t>
      </w:r>
      <w:r>
        <w:t xml:space="preserve"> </w:t>
      </w:r>
      <w:r>
        <w:t xml:space="preserve">can</w:t>
      </w:r>
      <w:r>
        <w:t xml:space="preserve"> </w:t>
      </w:r>
      <w:r>
        <w:t xml:space="preserve">build</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the</w:t>
      </w:r>
      <w:r>
        <w:t xml:space="preserve"> </w:t>
      </w:r>
      <w:r>
        <w:t xml:space="preserve">regression</w:t>
      </w:r>
      <w:r>
        <w:t xml:space="preserve"> </w:t>
      </w:r>
      <w:r>
        <w:t xml:space="preserve">of</w:t>
      </w:r>
      <w:r>
        <w:t xml:space="preserve"> </w:t>
      </w:r>
      <w:r>
        <w:t xml:space="preserve">capabilities,</w:t>
      </w:r>
      <w:r>
        <w:t xml:space="preserve"> </w:t>
      </w:r>
      <w:r>
        <w:t xml:space="preserve">ensuring</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rPr>
          <w:rStyle w:val="SectionNumber"/>
        </w:rPr>
        <w:t xml:space="preserve">1</w:t>
      </w:r>
      <w:r>
        <w:tab/>
      </w:r>
      <w:r>
        <w:t xml:space="preserve">Introduction</w:t>
      </w:r>
    </w:p>
    <w:bookmarkStart w:id="20" w:name="Xfec3e249c041ad48e3405310ad2782fd43bbc9d"/>
    <w:p>
      <w:pPr>
        <w:pStyle w:val="Heading2"/>
      </w:pPr>
      <w:r>
        <w:rPr>
          <w:rStyle w:val="SectionNumber"/>
        </w:rPr>
        <w:t xml:space="preserve">1.1</w:t>
      </w:r>
      <w:r>
        <w:tab/>
      </w:r>
      <w:r>
        <w:t xml:space="preserve">The Triple Threat: A Crisis of Institutional Amnesia</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bookmarkEnd w:id="20"/>
    <w:bookmarkStart w:id="21" w:name="gap-analysis-the-speed-of-forgetting"/>
    <w:p>
      <w:pPr>
        <w:pStyle w:val="Heading2"/>
      </w:pPr>
      <w:r>
        <w:rPr>
          <w:rStyle w:val="SectionNumber"/>
        </w:rPr>
        <w:t xml:space="preserve">1.2</w:t>
      </w:r>
      <w:r>
        <w:tab/>
      </w:r>
      <w:r>
        <w:t xml:space="preserve">Gap Analysis: The Speed of Forgetting</w:t>
      </w:r>
    </w:p>
    <w:p>
      <w:pPr>
        <w:pStyle w:val="FirstParagraph"/>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strategies—wikis, data dictionaries, and documentation—have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average 2.9-year tenure</w:t>
      </w:r>
      <w:r>
        <w:t xml:space="preserve"> </w:t>
      </w:r>
      <w:r>
        <w:t xml:space="preserve">(</w:t>
      </w:r>
      <w:hyperlink w:anchor="ref-ang2004">
        <w:r>
          <w:rPr>
            <w:rStyle w:val="Hyperlink"/>
          </w:rPr>
          <w:t xml:space="preserve">13</w:t>
        </w:r>
      </w:hyperlink>
      <w:r>
        <w:t xml:space="preserve">)</w:t>
      </w:r>
      <w:r>
        <w:t xml:space="preserve"> </w:t>
      </w:r>
      <w:r>
        <w:t xml:space="preserve">relearning the same institutional secrets, only to leave just as they become productive</w:t>
      </w:r>
      <w:r>
        <w:t xml:space="preserve"> </w:t>
      </w:r>
      <w:r>
        <w:t xml:space="preserve">(</w:t>
      </w:r>
      <w:hyperlink w:anchor="ref-ledikwe2013">
        <w:r>
          <w:rPr>
            <w:rStyle w:val="Hyperlink"/>
          </w:rPr>
          <w:t xml:space="preserve">14</w:t>
        </w:r>
      </w:hyperlink>
      <w:r>
        <w:t xml:space="preserve">,</w:t>
      </w:r>
      <w:hyperlink w:anchor="ref-mantas2010">
        <w:r>
          <w:rPr>
            <w:rStyle w:val="Hyperlink"/>
          </w:rPr>
          <w:t xml:space="preserve">15</w:t>
        </w:r>
      </w:hyperlink>
      <w:r>
        <w:t xml:space="preserve">)</w:t>
      </w:r>
      <w:r>
        <w:t xml:space="preserve">.</w:t>
      </w:r>
    </w:p>
    <w:bookmarkEnd w:id="21"/>
    <w:bookmarkStart w:id="22" w:name="research-question"/>
    <w:p>
      <w:pPr>
        <w:pStyle w:val="Heading2"/>
      </w:pPr>
      <w:r>
        <w:rPr>
          <w:rStyle w:val="SectionNumber"/>
        </w:rPr>
        <w:t xml:space="preserve">1.3</w:t>
      </w:r>
      <w:r>
        <w:tab/>
      </w:r>
      <w:r>
        <w:t xml:space="preserve">Research Question</w:t>
      </w:r>
    </w:p>
    <w:p>
      <w:pPr>
        <w:pStyle w:val="FirstParagraph"/>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22"/>
    <w:bookmarkEnd w:id="23"/>
    <w:bookmarkStart w:id="24" w:name="methods"/>
    <w:p>
      <w:pPr>
        <w:pStyle w:val="Heading1"/>
      </w:pPr>
      <w:r>
        <w:rPr>
          <w:rStyle w:val="SectionNumber"/>
        </w:rPr>
        <w:t xml:space="preserve">2</w:t>
      </w:r>
      <w:r>
        <w:tab/>
      </w:r>
      <w:r>
        <w:t xml:space="preserve">Methods</w:t>
      </w:r>
    </w:p>
    <w:p>
      <w:pPr>
        <w:pStyle w:val="FirstParagraph"/>
      </w:pPr>
      <w:r>
        <w:t xml:space="preserve">We employed a Design Science Research (DSR) approach to develop the HiL-SG framework. DSR involves the creation and evaluation of innovative artifacts (constructs, models, methods, and instantiations) to solve identified organizational problems.</w:t>
      </w:r>
    </w:p>
    <w:p>
      <w:pPr>
        <w:pStyle w:val="BodyText"/>
      </w:pPr>
      <w:r>
        <w:t xml:space="preserve">Our methodology followed three steps:</w:t>
      </w:r>
      <w:r>
        <w:t xml:space="preserve"> </w:t>
      </w:r>
      <w:r>
        <w:t xml:space="preserve">1.</w:t>
      </w:r>
      <w:r>
        <w:t xml:space="preserve"> </w:t>
      </w:r>
      <w:r>
        <w:rPr>
          <w:b/>
          <w:bCs/>
        </w:rPr>
        <w:t xml:space="preserve">Problem Identification</w:t>
      </w:r>
      <w:r>
        <w:t xml:space="preserve">: We conducted a narrative review of the literature (n=139 sources) across three domains: healthcare analytics maturity, workforce turnover dynamics, and natural language processing. Grey literature was assessed using the AACODS checklist</w:t>
      </w:r>
      <w:r>
        <w:t xml:space="preserve"> </w:t>
      </w:r>
      <w:r>
        <w:t xml:space="preserve">(</w:t>
      </w:r>
      <w:hyperlink w:anchor="ref-tyndall2010">
        <w:r>
          <w:rPr>
            <w:rStyle w:val="Hyperlink"/>
          </w:rPr>
          <w:t xml:space="preserve">16</w:t>
        </w:r>
      </w:hyperlink>
      <w:r>
        <w:t xml:space="preserve">)</w:t>
      </w:r>
      <w:r>
        <w:t xml:space="preserve">.</w:t>
      </w:r>
      <w:r>
        <w:t xml:space="preserve"> </w:t>
      </w:r>
      <w:r>
        <w:t xml:space="preserve">2.</w:t>
      </w:r>
      <w:r>
        <w:t xml:space="preserve"> </w:t>
      </w:r>
      <w:r>
        <w:rPr>
          <w:b/>
          <w:bCs/>
        </w:rPr>
        <w:t xml:space="preserve">Theoretical Grounding</w:t>
      </w:r>
      <w:r>
        <w:t xml:space="preserve">: We analyzed the identified problem (</w:t>
      </w:r>
      <w:r>
        <w:t xml:space="preserve">“</w:t>
      </w:r>
      <w:r>
        <w:t xml:space="preserve">Institutional Amnesia</w:t>
      </w:r>
      <w:r>
        <w:t xml:space="preserve">”</w:t>
      </w:r>
      <w:r>
        <w:t xml:space="preserve">) through the lens of Nonaka’s SECI model of knowledge creation</w:t>
      </w:r>
      <w:r>
        <w:t xml:space="preserve"> </w:t>
      </w:r>
      <w:r>
        <w:t xml:space="preserve">(</w:t>
      </w:r>
      <w:hyperlink w:anchor="ref-farnese2019">
        <w:r>
          <w:rPr>
            <w:rStyle w:val="Hyperlink"/>
          </w:rPr>
          <w:t xml:space="preserve">17</w:t>
        </w:r>
      </w:hyperlink>
      <w:r>
        <w:t xml:space="preserve">)</w:t>
      </w:r>
      <w:r>
        <w:t xml:space="preserve">, mapping workforce turnover data to specific failure modes in knowledge transfer.</w:t>
      </w:r>
      <w:r>
        <w:t xml:space="preserve"> </w:t>
      </w:r>
      <w:r>
        <w:t xml:space="preserve">3.</w:t>
      </w:r>
      <w:r>
        <w:t xml:space="preserve"> </w:t>
      </w:r>
      <w:r>
        <w:rPr>
          <w:b/>
          <w:bCs/>
        </w:rPr>
        <w:t xml:space="preserve">Artifact Design</w:t>
      </w:r>
      <w:r>
        <w:t xml:space="preserve">: We designed the HiL-SG framework and the</w:t>
      </w:r>
      <w:r>
        <w:t xml:space="preserve"> </w:t>
      </w:r>
      <w:r>
        <w:t xml:space="preserve">“</w:t>
      </w:r>
      <w:r>
        <w:t xml:space="preserve">Validated Query Triple</w:t>
      </w:r>
      <w:r>
        <w:t xml:space="preserve">”</w:t>
      </w:r>
      <w:r>
        <w:t xml:space="preserve"> </w:t>
      </w:r>
      <w:r>
        <w:t xml:space="preserve">artifact as socio-technical solutions to the identified</w:t>
      </w:r>
      <w:r>
        <w:t xml:space="preserve"> </w:t>
      </w:r>
      <w:r>
        <w:t xml:space="preserve">“</w:t>
      </w:r>
      <w:r>
        <w:t xml:space="preserve">Socialization Failure,</w:t>
      </w:r>
      <w:r>
        <w:t xml:space="preserve">”</w:t>
      </w:r>
      <w:r>
        <w:t xml:space="preserve"> </w:t>
      </w:r>
      <w:r>
        <w:t xml:space="preserve">adhering to</w:t>
      </w:r>
      <w:r>
        <w:t xml:space="preserve"> </w:t>
      </w:r>
      <w:r>
        <w:t xml:space="preserve">“</w:t>
      </w:r>
      <w:r>
        <w:t xml:space="preserve">Human-on-the-Loop</w:t>
      </w:r>
      <w:r>
        <w:t xml:space="preserve">”</w:t>
      </w:r>
      <w:r>
        <w:t xml:space="preserve"> </w:t>
      </w:r>
      <w:r>
        <w:t xml:space="preserve">principles for AI safety</w:t>
      </w:r>
      <w:r>
        <w:t xml:space="preserve"> </w:t>
      </w:r>
      <w:r>
        <w:t xml:space="preserve">(</w:t>
      </w:r>
      <w:hyperlink w:anchor="ref-bravorocca2023">
        <w:r>
          <w:rPr>
            <w:rStyle w:val="Hyperlink"/>
          </w:rPr>
          <w:t xml:space="preserve">18</w:t>
        </w:r>
      </w:hyperlink>
      <w:r>
        <w:t xml:space="preserve">)</w:t>
      </w:r>
      <w:r>
        <w:t xml:space="preserve">.</w:t>
      </w:r>
    </w:p>
    <w:bookmarkEnd w:id="24"/>
    <w:bookmarkStart w:id="42" w:name="results"/>
    <w:p>
      <w:pPr>
        <w:pStyle w:val="Heading1"/>
      </w:pPr>
      <w:r>
        <w:rPr>
          <w:rStyle w:val="SectionNumber"/>
        </w:rPr>
        <w:t xml:space="preserve">3</w:t>
      </w:r>
      <w:r>
        <w:tab/>
      </w:r>
      <w:r>
        <w:t xml:space="preserve">Results</w:t>
      </w:r>
    </w:p>
    <w:bookmarkStart w:id="27" w:name="X8c12260936f021464010a467560da616bfc02c8"/>
    <w:p>
      <w:pPr>
        <w:pStyle w:val="Heading2"/>
      </w:pPr>
      <w:r>
        <w:rPr>
          <w:rStyle w:val="SectionNumber"/>
        </w:rPr>
        <w:t xml:space="preserve">3.1</w:t>
      </w:r>
      <w:r>
        <w:tab/>
      </w:r>
      <w:r>
        <w:t xml:space="preserve">Theoretical Framework: SECI for the Unstable Workforce</w:t>
      </w:r>
    </w:p>
    <w:p>
      <w:pPr>
        <w:pStyle w:val="FirstParagraph"/>
      </w:pPr>
      <w:r>
        <w:t xml:space="preserve">We ground our approach in Nonaka’s SECI Model of knowledge creation (Socialization, Externalization, Combination, Internalization), reinterpreted for the crisis of the modern healthcare workforce.</w:t>
      </w:r>
    </w:p>
    <w:bookmarkStart w:id="25" w:name="the-broken-cycle-socialization-failure"/>
    <w:p>
      <w:pPr>
        <w:pStyle w:val="Heading3"/>
      </w:pPr>
      <w:r>
        <w:rPr>
          <w:rStyle w:val="SectionNumber"/>
        </w:rPr>
        <w:t xml:space="preserve">3.1.1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transfer of tacit knowledge (experience, context) between individuals through shared experience</w:t>
      </w:r>
      <w:r>
        <w:t xml:space="preserve"> </w:t>
      </w:r>
      <w:r>
        <w:t xml:space="preserve">(</w:t>
      </w:r>
      <w:hyperlink w:anchor="ref-farnese2019">
        <w:r>
          <w:rPr>
            <w:rStyle w:val="Hyperlink"/>
          </w:rPr>
          <w:t xml:space="preserve">17</w:t>
        </w:r>
      </w:hyperlink>
      <w:r>
        <w:t xml:space="preserve">)</w:t>
      </w:r>
      <w:r>
        <w:t xml:space="preserve">. In the current healthcare environment, this mechanism has collapsed. High turnover rates fracture the social networks required for mentorship</w:t>
      </w:r>
      <w:r>
        <w:t xml:space="preserve"> </w:t>
      </w:r>
      <w:r>
        <w:t xml:space="preserve">(</w:t>
      </w:r>
      <w:hyperlink w:anchor="ref-wu2024">
        <w:r>
          <w:rPr>
            <w:rStyle w:val="Hyperlink"/>
          </w:rPr>
          <w:t xml:space="preserve">19</w:t>
        </w:r>
      </w:hyperlink>
      <w:r>
        <w:t xml:space="preserve">,</w:t>
      </w:r>
      <w:hyperlink w:anchor="ref-ren2024">
        <w:r>
          <w:rPr>
            <w:rStyle w:val="Hyperlink"/>
          </w:rPr>
          <w:t xml:space="preserve">20</w:t>
        </w:r>
      </w:hyperlink>
      <w:r>
        <w:t xml:space="preserve">)</w:t>
      </w:r>
      <w:r>
        <w:t xml:space="preserve">. When a senior analyst leaves every 3 years, the</w:t>
      </w:r>
      <w:r>
        <w:t xml:space="preserve"> </w:t>
      </w:r>
      <w:r>
        <w:t xml:space="preserve">“</w:t>
      </w:r>
      <w:r>
        <w:t xml:space="preserve">apprenticeship</w:t>
      </w:r>
      <w:r>
        <w:t xml:space="preserve">”</w:t>
      </w:r>
      <w:r>
        <w:t xml:space="preserve"> </w:t>
      </w:r>
      <w:r>
        <w:t xml:space="preserve">model of informatics breaks down. Socialization is no longer a viable strategy for resilience</w:t>
      </w:r>
      <w:r>
        <w:t xml:space="preserve"> </w:t>
      </w:r>
      <w:r>
        <w:t xml:space="preserve">(</w:t>
      </w:r>
      <w:hyperlink w:anchor="ref-massingham2018">
        <w:r>
          <w:rPr>
            <w:rStyle w:val="Hyperlink"/>
          </w:rPr>
          <w:t xml:space="preserve">21</w:t>
        </w:r>
      </w:hyperlink>
      <w:r>
        <w:t xml:space="preserve">)</w:t>
      </w:r>
      <w:r>
        <w:t xml:space="preserve">.</w:t>
      </w:r>
    </w:p>
    <w:bookmarkEnd w:id="25"/>
    <w:bookmarkStart w:id="26" w:name="Xf458f350ef8764fcb7ec571ecbc945d28921a42"/>
    <w:p>
      <w:pPr>
        <w:pStyle w:val="Heading3"/>
      </w:pPr>
      <w:r>
        <w:rPr>
          <w:rStyle w:val="SectionNumber"/>
        </w:rPr>
        <w:t xml:space="preserve">3.1.2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22</w:t>
        </w:r>
      </w:hyperlink>
      <w:r>
        <w:t xml:space="preserve">)</w:t>
      </w:r>
      <w:r>
        <w:t xml:space="preserve">. However, traditional externalization (writing reports) is too slow and low-fidelity</w:t>
      </w:r>
      <w:r>
        <w:t xml:space="preserve"> </w:t>
      </w:r>
      <w:r>
        <w:t xml:space="preserve">(</w:t>
      </w:r>
      <w:hyperlink w:anchor="ref-goffin2011">
        <w:r>
          <w:rPr>
            <w:rStyle w:val="Hyperlink"/>
          </w:rPr>
          <w:t xml:space="preserve">23</w:t>
        </w:r>
      </w:hyperlink>
      <w:r>
        <w:t xml:space="preserve">,</w:t>
      </w:r>
      <w:hyperlink w:anchor="ref-foos2006">
        <w:r>
          <w:rPr>
            <w:rStyle w:val="Hyperlink"/>
          </w:rPr>
          <w:t xml:space="preserve">24</w:t>
        </w:r>
      </w:hyperlink>
      <w:r>
        <w:t xml:space="preserve">)</w:t>
      </w:r>
      <w:r>
        <w:t xml:space="preserve">.</w:t>
      </w:r>
    </w:p>
    <w:p>
      <w:pPr>
        <w:pStyle w:val="BodyText"/>
      </w:pPr>
      <w:r>
        <w:t xml:space="preserve">We propose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25</w:t>
        </w:r>
      </w:hyperlink>
      <w:r>
        <w:t xml:space="preserve">)</w:t>
      </w:r>
      <w:r>
        <w:t xml:space="preserve">.</w:t>
      </w:r>
    </w:p>
    <w:bookmarkEnd w:id="26"/>
    <w:bookmarkEnd w:id="27"/>
    <w:bookmarkStart w:id="36" w:name="X2578c12eceeb8a90cc0ab211145bf64a93b2846"/>
    <w:p>
      <w:pPr>
        <w:pStyle w:val="Heading2"/>
      </w:pPr>
      <w:r>
        <w:rPr>
          <w:rStyle w:val="SectionNumber"/>
        </w:rPr>
        <w:t xml:space="preserve">3.2</w:t>
      </w:r>
      <w:r>
        <w:tab/>
      </w:r>
      <w:r>
        <w:t xml:space="preserve">Human-in-the-Loop Semantic Governance (HiL-SG)</w:t>
      </w:r>
    </w:p>
    <w:p>
      <w:pPr>
        <w:pStyle w:val="FirstParagraph"/>
      </w:pPr>
      <w:r>
        <w:t xml:space="preserve">We rename the traditional</w:t>
      </w:r>
      <w:r>
        <w:t xml:space="preserve"> </w:t>
      </w:r>
      <w:r>
        <w:t xml:space="preserve">“</w:t>
      </w:r>
      <w:r>
        <w:t xml:space="preserve">Validated Query Cycle</w:t>
      </w:r>
      <w:r>
        <w:t xml:space="preserv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34" w:name="the-hil-sg-architecture"/>
    <w:p>
      <w:pPr>
        <w:pStyle w:val="Heading3"/>
      </w:pPr>
      <w:r>
        <w:rPr>
          <w:rStyle w:val="SectionNumber"/>
        </w:rPr>
        <w:t xml:space="preserve">3.2.1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w:t>
      </w:r>
      <w:r>
        <w:t xml:space="preserve">Query &amp; Refine</w:t>
      </w:r>
      <w:r>
        <w:t xml:space="preserve">’</w:t>
      </w:r>
      <w:r>
        <w:t xml:space="preserve"> </w:t>
      </w:r>
      <w:r>
        <w:t xml:space="preserve">loop. The critical validation step (dotted line) shows domain experts confirming SQL before results flow to</w:t>
      </w:r>
      <w:r>
        <w:t xml:space="preserve"> </w:t>
      </w:r>
      <w:r>
        <w:t xml:space="preserve">‘</w:t>
      </w:r>
      <w:r>
        <w:t xml:space="preserve">Organizational Memory</w:t>
      </w:r>
      <w:r>
        <w:t xml:space="preserve">’</w:t>
      </w:r>
      <w:r>
        <w:t xml:space="preserve"> </w:t>
      </w:r>
      <w:r>
        <w:t xml:space="preserve">(dashed line), where they persist independent of staff tenure.</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8798350"/>
            <wp:effectExtent b="0" l="0" r="0" t="0"/>
            <wp:docPr descr="Six step validated query cycle for Human-in-the-Loop Semantic Governance. The cycle progresses from Natural Language Intent to AI-generated SQL, expert review and correction, creation of a Validated Query Triple, storage in organizational memory, and reuse for future queries."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4267200" cy="8798350"/>
                    </a:xfrm>
                    <a:prstGeom prst="rect">
                      <a:avLst/>
                    </a:prstGeom>
                    <a:noFill/>
                    <a:ln w="9525">
                      <a:noFill/>
                      <a:headEnd/>
                      <a:tailEnd/>
                    </a:ln>
                  </pic:spPr>
                </pic:pic>
              </a:graphicData>
            </a:graphic>
          </wp:inline>
        </w:drawing>
      </w:r>
    </w:p>
    <w:p>
      <w:pPr>
        <w:pStyle w:val="ImageCaption"/>
      </w:pPr>
      <w:r>
        <w:t xml:space="preserve">Six step validated query cycle for Human-in-the-Loop Semantic Governance. The cycle progresses from Natural Language Intent to AI-generated SQL, expert review and correction, creation of a Validated Query Triple, storage in organizational memory, and reuse for future queries.</w:t>
      </w:r>
    </w:p>
    <w:bookmarkEnd w:id="34"/>
    <w:bookmarkStart w:id="35" w:name="the-process-of-externalization"/>
    <w:p>
      <w:pPr>
        <w:pStyle w:val="Heading3"/>
      </w:pPr>
      <w:r>
        <w:rPr>
          <w:rStyle w:val="SectionNumber"/>
        </w:rPr>
        <w:t xml:space="preserve">3.2.2</w:t>
      </w:r>
      <w:r>
        <w:tab/>
      </w:r>
      <w:r>
        <w:t xml:space="preserve">The Process of Externalization</w:t>
      </w:r>
    </w:p>
    <w:p>
      <w:pPr>
        <w:pStyle w:val="Compact"/>
        <w:numPr>
          <w:ilvl w:val="0"/>
          <w:numId w:val="1001"/>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26</w:t>
        </w:r>
      </w:hyperlink>
      <w:r>
        <w:t xml:space="preserve">)</w:t>
      </w:r>
      <w:r>
        <w:t xml:space="preserve">.</w:t>
      </w:r>
    </w:p>
    <w:p>
      <w:pPr>
        <w:pStyle w:val="Compact"/>
        <w:numPr>
          <w:ilvl w:val="0"/>
          <w:numId w:val="1001"/>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27</w:t>
        </w:r>
      </w:hyperlink>
      <w:r>
        <w:t xml:space="preserve">)</w:t>
      </w:r>
      <w:r>
        <w:t xml:space="preserve">.</w:t>
      </w:r>
    </w:p>
    <w:p>
      <w:pPr>
        <w:pStyle w:val="Compact"/>
        <w:numPr>
          <w:ilvl w:val="0"/>
          <w:numId w:val="1001"/>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Human-on-the-Loop</w:t>
      </w:r>
      <w:r>
        <w:t xml:space="preserve">”</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28</w:t>
        </w:r>
      </w:hyperlink>
      <w:r>
        <w:t xml:space="preserve">)</w:t>
      </w:r>
      <w:r>
        <w:t xml:space="preserve">.</w:t>
      </w:r>
    </w:p>
    <w:p>
      <w:pPr>
        <w:pStyle w:val="Compact"/>
        <w:numPr>
          <w:ilvl w:val="0"/>
          <w:numId w:val="1001"/>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29</w:t>
        </w:r>
      </w:hyperlink>
      <w:r>
        <w:t xml:space="preserve">)</w:t>
      </w:r>
      <w:r>
        <w:t xml:space="preserve">.</w:t>
      </w:r>
    </w:p>
    <w:p>
      <w:pPr>
        <w:pStyle w:val="Compact"/>
        <w:numPr>
          <w:ilvl w:val="0"/>
          <w:numId w:val="1001"/>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30</w:t>
        </w:r>
      </w:hyperlink>
      <w:r>
        <w:t xml:space="preserve">)</w:t>
      </w:r>
      <w:r>
        <w:t xml:space="preserve">.</w:t>
      </w:r>
    </w:p>
    <w:bookmarkEnd w:id="35"/>
    <w:bookmarkEnd w:id="36"/>
    <w:bookmarkStart w:id="40" w:name="empirical-grounding-the-evidence-base"/>
    <w:p>
      <w:pPr>
        <w:pStyle w:val="Heading2"/>
      </w:pPr>
      <w:r>
        <w:rPr>
          <w:rStyle w:val="SectionNumber"/>
        </w:rPr>
        <w:t xml:space="preserve">3.3</w:t>
      </w:r>
      <w:r>
        <w:tab/>
      </w:r>
      <w:r>
        <w:t xml:space="preserve">Empirical Grounding: The Evidence Base</w:t>
      </w:r>
    </w:p>
    <w:p>
      <w:pPr>
        <w:pStyle w:val="FirstParagraph"/>
      </w:pPr>
      <w:r>
        <w:t xml:space="preserve">The HiL-SG framework is supported by three pillars of empirical evidence synthesized from over 130 sources.</w:t>
      </w:r>
    </w:p>
    <w:bookmarkStart w:id="37" w:name="pillar-1-analytics-maturity-evidence"/>
    <w:p>
      <w:pPr>
        <w:pStyle w:val="Heading3"/>
      </w:pPr>
      <w:r>
        <w:rPr>
          <w:rStyle w:val="SectionNumber"/>
        </w:rPr>
        <w:t xml:space="preserve">3.3.1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31</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32</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33</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issues—such as the 39-71% missing data rates in cancer databases</w:t>
      </w:r>
      <w:r>
        <w:t xml:space="preserve"> </w:t>
      </w:r>
      <w:r>
        <w:t xml:space="preserve">(</w:t>
      </w:r>
      <w:hyperlink w:anchor="ref-yang2021">
        <w:r>
          <w:rPr>
            <w:rStyle w:val="Hyperlink"/>
          </w:rPr>
          <w:t xml:space="preserve">34</w:t>
        </w:r>
      </w:hyperlink>
      <w:r>
        <w:t xml:space="preserve">)</w:t>
      </w:r>
      <w:r>
        <w:t xml:space="preserve">—remain uncorrected because the experts who understand the context are leaving.</w:t>
      </w:r>
    </w:p>
    <w:bookmarkEnd w:id="37"/>
    <w:bookmarkStart w:id="38" w:name="pillar-2-workforce-agility-evidence"/>
    <w:p>
      <w:pPr>
        <w:pStyle w:val="Heading3"/>
      </w:pPr>
      <w:r>
        <w:rPr>
          <w:rStyle w:val="SectionNumber"/>
        </w:rPr>
        <w:t xml:space="preserve">3.3.2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21</w:t>
        </w:r>
      </w:hyperlink>
      <w:r>
        <w:t xml:space="preserve">,</w:t>
      </w:r>
      <w:hyperlink w:anchor="ref-oracle2024">
        <w:r>
          <w:rPr>
            <w:rStyle w:val="Hyperlink"/>
          </w:rPr>
          <w:t xml:space="preserve">35</w:t>
        </w:r>
      </w:hyperlink>
      <w:r>
        <w:t xml:space="preserve">)</w:t>
      </w:r>
      <w:r>
        <w:t xml:space="preserve">. With 30% of new employees leaving within their first year</w:t>
      </w:r>
      <w:r>
        <w:t xml:space="preserve"> </w:t>
      </w:r>
      <w:r>
        <w:t xml:space="preserve">(</w:t>
      </w:r>
      <w:hyperlink w:anchor="ref-nsi2025">
        <w:r>
          <w:rPr>
            <w:rStyle w:val="Hyperlink"/>
          </w:rPr>
          <w:t xml:space="preserve">36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14</w:t>
        </w:r>
      </w:hyperlink>
      <w:r>
        <w:t xml:space="preserve">,</w:t>
      </w:r>
      <w:hyperlink w:anchor="ref-konrad2022">
        <w:r>
          <w:rPr>
            <w:rStyle w:val="Hyperlink"/>
          </w:rPr>
          <w:t xml:space="preserve">37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bookmarkEnd w:id="38"/>
    <w:bookmarkStart w:id="39" w:name="pillar-3-technical-enablement-evidence"/>
    <w:p>
      <w:pPr>
        <w:pStyle w:val="Heading3"/>
      </w:pPr>
      <w:r>
        <w:rPr>
          <w:rStyle w:val="SectionNumber"/>
        </w:rPr>
        <w:t xml:space="preserve">3.3.3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38</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39</w:t>
        </w:r>
      </w:hyperlink>
      <w:r>
        <w:t xml:space="preserve">)</w:t>
      </w:r>
      <w:r>
        <w:t xml:space="preserve">. While current models are</w:t>
      </w:r>
      <w:r>
        <w:t xml:space="preserve">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27</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40</w:t>
        </w:r>
      </w:hyperlink>
      <w:r>
        <w:t xml:space="preserve">)</w:t>
      </w:r>
      <w:r>
        <w:t xml:space="preserve">. These tools function as the</w:t>
      </w:r>
      <w:r>
        <w:t xml:space="preserve"> </w:t>
      </w:r>
      <w:r>
        <w:t xml:space="preserve">“</w:t>
      </w:r>
      <w:r>
        <w:t xml:space="preserve">externalization engine</w:t>
      </w:r>
      <w:r>
        <w:t xml:space="preserve">”</w:t>
      </w:r>
      <w:r>
        <w:t xml:space="preserve"> </w:t>
      </w:r>
      <w:r>
        <w:t xml:space="preserve">required for the HiL-SG framework.</w:t>
      </w:r>
    </w:p>
    <w:bookmarkEnd w:id="39"/>
    <w:bookmarkEnd w:id="40"/>
    <w:bookmarkStart w:id="41" w:name="analytics-resilience-index-ari"/>
    <w:p>
      <w:pPr>
        <w:pStyle w:val="Heading2"/>
      </w:pPr>
      <w:r>
        <w:rPr>
          <w:rStyle w:val="SectionNumber"/>
        </w:rPr>
        <w:t xml:space="preserve">3.4</w:t>
      </w:r>
      <w:r>
        <w:tab/>
      </w:r>
      <w:r>
        <w:t xml:space="preserve">Analytics Resilience Index (ARI)</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w:t>
            </w:r>
            <w:r>
              <w:t xml:space="preserve">Hero</w:t>
            </w:r>
            <w:r>
              <w:t xml:space="preserve">”</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29</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21</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25</w:t>
              </w:r>
            </w:hyperlink>
            <w:r>
              <w:t xml:space="preserve">,</w:t>
            </w:r>
            <w:hyperlink w:anchor="ref-mosqueirarey2023">
              <w:r>
                <w:rPr>
                  <w:rStyle w:val="Hyperlink"/>
                </w:rPr>
                <w:t xml:space="preserve">28</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41</w:t>
              </w:r>
            </w:hyperlink>
            <w:r>
              <w:t xml:space="preserve">,</w:t>
            </w:r>
            <w:hyperlink w:anchor="ref-battula2025">
              <w:r>
                <w:rPr>
                  <w:rStyle w:val="Hyperlink"/>
                </w:rPr>
                <w:t xml:space="preserve">42</w:t>
              </w:r>
            </w:hyperlink>
            <w:r>
              <w:t xml:space="preserve">)</w:t>
            </w:r>
          </w:p>
        </w:tc>
      </w:tr>
    </w:tbl>
    <w:bookmarkEnd w:id="41"/>
    <w:bookmarkEnd w:id="42"/>
    <w:bookmarkStart w:id="47" w:name="discussion"/>
    <w:p>
      <w:pPr>
        <w:pStyle w:val="Heading1"/>
      </w:pPr>
      <w:r>
        <w:rPr>
          <w:rStyle w:val="SectionNumber"/>
        </w:rPr>
        <w:t xml:space="preserve">4</w:t>
      </w:r>
      <w:r>
        <w:tab/>
      </w:r>
      <w:r>
        <w:t xml:space="preserve">Discussion</w:t>
      </w:r>
    </w:p>
    <w:bookmarkStart w:id="43" w:name="the-validator-paradox-and-standard-work"/>
    <w:p>
      <w:pPr>
        <w:pStyle w:val="Heading2"/>
      </w:pPr>
      <w:r>
        <w:rPr>
          <w:rStyle w:val="SectionNumber"/>
        </w:rPr>
        <w:t xml:space="preserve">4.1</w:t>
      </w:r>
      <w:r>
        <w:tab/>
      </w:r>
      <w:r>
        <w:t xml:space="preserve">The Validator Paradox and Standard Work</w:t>
      </w:r>
    </w:p>
    <w:p>
      <w:pPr>
        <w:pStyle w:val="FirstParagraph"/>
      </w:pPr>
      <w:r>
        <w:t xml:space="preserve">A critical criticism of HiL-SG is the</w:t>
      </w:r>
      <w:r>
        <w:t xml:space="preserve"> </w:t>
      </w:r>
      <w:r>
        <w:rPr>
          <w:b/>
          <w:bCs/>
        </w:rPr>
        <w:t xml:space="preserve">Validator Paradox</w:t>
      </w:r>
      <w:r>
        <w:t xml:space="preserve">:</w:t>
      </w:r>
      <w:r>
        <w:t xml:space="preserve"> </w:t>
      </w:r>
      <w:r>
        <w:rPr>
          <w:i/>
          <w:iCs/>
        </w:rPr>
        <w:t xml:space="preserve">If the experts are leaving, who is left to validate the AI?</w:t>
      </w:r>
      <w:r>
        <w:t xml:space="preserve"> </w:t>
      </w:r>
      <w:r>
        <w:t xml:space="preserve">We resolve this by reframing validation through Lean</w:t>
      </w:r>
      <w:r>
        <w:t xml:space="preserve"> </w:t>
      </w:r>
      <w:r>
        <w:t xml:space="preserve">“</w:t>
      </w:r>
      <w:r>
        <w:t xml:space="preserve">Standard Work</w:t>
      </w:r>
      <w:r>
        <w:t xml:space="preserve">”</w:t>
      </w:r>
      <w:r>
        <w:t xml:space="preserve"> </w:t>
      </w:r>
      <w:r>
        <w:t xml:space="preserve">(</w:t>
      </w:r>
      <w:hyperlink w:anchor="ref-alukal2006">
        <w:r>
          <w:rPr>
            <w:rStyle w:val="Hyperlink"/>
          </w:rPr>
          <w:t xml:space="preserve">43</w:t>
        </w:r>
      </w:hyperlink>
      <w:r>
        <w:t xml:space="preserve">)</w:t>
      </w:r>
      <w:r>
        <w:t xml:space="preserve">. Validation is the establishment of the</w:t>
      </w:r>
      <w:r>
        <w:t xml:space="preserve"> </w:t>
      </w:r>
      <w:r>
        <w:rPr>
          <w:i/>
          <w:iCs/>
        </w:rPr>
        <w:t xml:space="preserve">current known standard</w:t>
      </w:r>
      <w:r>
        <w:t xml:space="preserve">. When an analyst validates a query, they act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preventing the organization from sliding back to zero. This aligns with UC Davis Health’s success in moving from AMAM Stage 0 to 6 by establishing standardized</w:t>
      </w:r>
      <w:r>
        <w:t xml:space="preserve"> </w:t>
      </w:r>
      <w:r>
        <w:t xml:space="preserve">“</w:t>
      </w:r>
      <w:r>
        <w:t xml:space="preserve">S.M.A.R.T.</w:t>
      </w:r>
      <w:r>
        <w:t xml:space="preserve">”</w:t>
      </w:r>
      <w:r>
        <w:t xml:space="preserve"> </w:t>
      </w:r>
      <w:r>
        <w:t xml:space="preserve">definitions</w:t>
      </w:r>
      <w:r>
        <w:t xml:space="preserve"> </w:t>
      </w:r>
      <w:r>
        <w:t xml:space="preserve">(</w:t>
      </w:r>
      <w:hyperlink w:anchor="ref-himss2025ucdavis">
        <w:r>
          <w:rPr>
            <w:rStyle w:val="Hyperlink"/>
          </w:rPr>
          <w:t xml:space="preserve">44</w:t>
        </w:r>
      </w:hyperlink>
      <w:r>
        <w:t xml:space="preserve">)</w:t>
      </w:r>
      <w:r>
        <w:t xml:space="preserve">.</w:t>
      </w:r>
    </w:p>
    <w:bookmarkEnd w:id="43"/>
    <w:bookmarkStart w:id="44" w:name="safety-cognitive-forcing-functions"/>
    <w:p>
      <w:pPr>
        <w:pStyle w:val="Heading2"/>
      </w:pPr>
      <w:r>
        <w:rPr>
          <w:rStyle w:val="SectionNumber"/>
        </w:rPr>
        <w:t xml:space="preserve">4.2</w:t>
      </w:r>
      <w:r>
        <w:tab/>
      </w:r>
      <w:r>
        <w:t xml:space="preserve">Safety: Cognitive Forcing Functions</w:t>
      </w:r>
    </w:p>
    <w:p>
      <w:pPr>
        <w:pStyle w:val="FirstParagraph"/>
      </w:pPr>
      <w:r>
        <w:t xml:space="preserve">Automating analytics risks</w:t>
      </w:r>
      <w:r>
        <w:t xml:space="preserve"> </w:t>
      </w:r>
      <w:r>
        <w:t xml:space="preserve">“</w:t>
      </w:r>
      <w:r>
        <w:t xml:space="preserve">laundering hallucinations.</w:t>
      </w:r>
      <w:r>
        <w:t xml:space="preserve">”</w:t>
      </w:r>
      <w:r>
        <w:t xml:space="preserve"> </w:t>
      </w:r>
      <w:r>
        <w:t xml:space="preserve">HiL-SG mitigates this via</w:t>
      </w:r>
      <w:r>
        <w:t xml:space="preserve"> </w:t>
      </w:r>
      <w:r>
        <w:rPr>
          <w:b/>
          <w:bCs/>
        </w:rPr>
        <w:t xml:space="preserve">Cognitive Forcing Functions</w:t>
      </w:r>
      <w:r>
        <w:t xml:space="preserve"> </w:t>
      </w:r>
      <w:r>
        <w:t xml:space="preserve">(</w:t>
      </w:r>
      <w:hyperlink w:anchor="ref-ziletti2024">
        <w:r>
          <w:rPr>
            <w:rStyle w:val="Hyperlink"/>
          </w:rPr>
          <w:t xml:space="preserve">27</w:t>
        </w:r>
      </w:hyperlink>
      <w:r>
        <w:t xml:space="preserve">)</w:t>
      </w:r>
      <w:r>
        <w:t xml:space="preserve">. By requiring AI to explain logic</w:t>
      </w:r>
      <w:r>
        <w:t xml:space="preserve"> </w:t>
      </w:r>
      <w:r>
        <w:rPr>
          <w:i/>
          <w:iCs/>
        </w:rPr>
        <w:t xml:space="preserve">before</w:t>
      </w:r>
      <w:r>
        <w:t xml:space="preserve"> </w:t>
      </w:r>
      <w:r>
        <w:t xml:space="preserve">results, we force the user to engage analytical thinking. User studies show this reduces error recovery time by 30-40 seconds</w:t>
      </w:r>
      <w:r>
        <w:t xml:space="preserve"> </w:t>
      </w:r>
      <w:r>
        <w:t xml:space="preserve">(</w:t>
      </w:r>
      <w:hyperlink w:anchor="ref-ipeirotis2025">
        <w:r>
          <w:rPr>
            <w:rStyle w:val="Hyperlink"/>
          </w:rPr>
          <w:t xml:space="preserve">45</w:t>
        </w:r>
      </w:hyperlink>
      <w:r>
        <w:t xml:space="preserve">)</w:t>
      </w:r>
      <w:r>
        <w:t xml:space="preserve">.</w:t>
      </w:r>
    </w:p>
    <w:bookmarkEnd w:id="44"/>
    <w:bookmarkStart w:id="45" w:name="Xf414813cd0afe621d2dc19456f0dc09d0fd73a3"/>
    <w:p>
      <w:pPr>
        <w:pStyle w:val="Heading2"/>
      </w:pPr>
      <w:r>
        <w:rPr>
          <w:rStyle w:val="SectionNumber"/>
        </w:rPr>
        <w:t xml:space="preserve">4.3</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46</w:t>
        </w:r>
      </w:hyperlink>
      <w:r>
        <w:t xml:space="preserve">,</w:t>
      </w:r>
      <w:hyperlink w:anchor="ref-strickland2019">
        <w:r>
          <w:rPr>
            <w:rStyle w:val="Hyperlink"/>
          </w:rPr>
          <w:t xml:space="preserve">47</w:t>
        </w:r>
      </w:hyperlink>
      <w:r>
        <w:t xml:space="preserve">)</w:t>
      </w:r>
      <w:r>
        <w:t xml:space="preserve">, Haven</w:t>
      </w:r>
      <w:r>
        <w:t xml:space="preserve"> </w:t>
      </w:r>
      <w:r>
        <w:t xml:space="preserve">(</w:t>
      </w:r>
      <w:hyperlink w:anchor="ref-lavito2021">
        <w:r>
          <w:rPr>
            <w:rStyle w:val="Hyperlink"/>
          </w:rPr>
          <w:t xml:space="preserve">48</w:t>
        </w:r>
      </w:hyperlink>
      <w:r>
        <w:t xml:space="preserve">,</w:t>
      </w:r>
      <w:hyperlink w:anchor="ref-acchiardo2021">
        <w:r>
          <w:rPr>
            <w:rStyle w:val="Hyperlink"/>
          </w:rPr>
          <w:t xml:space="preserve">49</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50</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5"/>
    <w:bookmarkStart w:id="46" w:name="limitations"/>
    <w:p>
      <w:pPr>
        <w:pStyle w:val="Heading2"/>
      </w:pPr>
      <w:r>
        <w:rPr>
          <w:rStyle w:val="SectionNumber"/>
        </w:rPr>
        <w:t xml:space="preserve">4.4</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(2024–2025)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46"/>
    <w:bookmarkEnd w:id="47"/>
    <w:bookmarkStart w:id="49" w:name="conclusion"/>
    <w:p>
      <w:pPr>
        <w:pStyle w:val="Heading1"/>
      </w:pPr>
      <w:r>
        <w:rPr>
          <w:rStyle w:val="SectionNumber"/>
        </w:rPr>
        <w:t xml:space="preserve">5</w:t>
      </w:r>
      <w:r>
        <w:tab/>
      </w:r>
      <w:r>
        <w:t xml:space="preserve">Conclusion</w:t>
      </w:r>
    </w:p>
    <w:bookmarkStart w:id="48" w:name="strategic-implications"/>
    <w:p>
      <w:pPr>
        <w:pStyle w:val="Heading2"/>
      </w:pPr>
      <w:r>
        <w:rPr>
          <w:rStyle w:val="SectionNumber"/>
        </w:rPr>
        <w:t xml:space="preserve">5.1</w:t>
      </w:r>
      <w:r>
        <w:tab/>
      </w:r>
      <w:r>
        <w:t xml:space="preserve">Strategic Implications</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End w:id="49"/>
    <w:bookmarkStart w:id="50"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50"/>
    <w:bookmarkStart w:id="51" w:name="author-contributions"/>
    <w:p>
      <w:pPr>
        <w:pStyle w:val="Heading1"/>
      </w:pPr>
      <w:r>
        <w:rPr>
          <w:rStyle w:val="SectionNumber"/>
        </w:rPr>
        <w:t xml:space="preserve">7</w:t>
      </w:r>
      <w:r>
        <w:tab/>
      </w:r>
      <w:r>
        <w:t xml:space="preserve">Author Contributions</w:t>
      </w:r>
    </w:p>
    <w:p>
      <w:pPr>
        <w:pStyle w:val="FirstParagraph"/>
      </w:pPr>
      <w:r>
        <w:t xml:space="preserve">S.T.H. conceived the research, conducted the literature review, and wrote the manuscript.</w:t>
      </w:r>
    </w:p>
    <w:bookmarkEnd w:id="51"/>
    <w:bookmarkStart w:id="52" w:name="conflicts-of-interest"/>
    <w:p>
      <w:pPr>
        <w:pStyle w:val="Heading1"/>
      </w:pPr>
      <w:r>
        <w:rPr>
          <w:rStyle w:val="SectionNumber"/>
        </w:rPr>
        <w:t xml:space="preserve">8</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2"/>
    <w:bookmarkStart w:id="53" w:name="data-availability"/>
    <w:p>
      <w:pPr>
        <w:pStyle w:val="Heading1"/>
      </w:pPr>
      <w:r>
        <w:rPr>
          <w:rStyle w:val="SectionNumber"/>
        </w:rPr>
        <w:t xml:space="preserve">9</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53"/>
    <w:bookmarkStart w:id="54" w:name="funding"/>
    <w:p>
      <w:pPr>
        <w:pStyle w:val="Heading1"/>
      </w:pPr>
      <w:r>
        <w:rPr>
          <w:rStyle w:val="SectionNumber"/>
        </w:rPr>
        <w:t xml:space="preserve">10</w:t>
      </w:r>
      <w:r>
        <w:tab/>
      </w:r>
      <w:r>
        <w:t xml:space="preserve">Funding</w:t>
      </w:r>
    </w:p>
    <w:p>
      <w:pPr>
        <w:pStyle w:val="FirstParagraph"/>
      </w:pPr>
      <w:r>
        <w:t xml:space="preserve">Yuimedi provided funding for the author’s time writing and researching this manuscript.</w:t>
      </w:r>
    </w:p>
    <w:bookmarkEnd w:id="54"/>
    <w:bookmarkStart w:id="55" w:name="abbreviations"/>
    <w:p>
      <w:pPr>
        <w:pStyle w:val="Heading1"/>
      </w:pPr>
      <w:r>
        <w:rPr>
          <w:rStyle w:val="SectionNumber"/>
        </w:rPr>
        <w:t xml:space="preserve">11</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5"/>
    <w:bookmarkStart w:id="156" w:name="references"/>
    <w:p>
      <w:pPr>
        <w:pStyle w:val="Heading1"/>
      </w:pPr>
      <w:r>
        <w:rPr>
          <w:rStyle w:val="SectionNumber"/>
        </w:rPr>
        <w:t xml:space="preserve">12</w:t>
      </w:r>
      <w:r>
        <w:tab/>
      </w:r>
      <w:r>
        <w:t xml:space="preserve">References</w:t>
      </w:r>
    </w:p>
    <w:bookmarkStart w:id="155" w:name="refs"/>
    <w:bookmarkStart w:id="57"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6">
        <w:r>
          <w:rPr>
            <w:rStyle w:val="Hyperlink"/>
          </w:rPr>
          <w:t xml:space="preserve">https://www.himss.org/maturity-models/amam/</w:t>
        </w:r>
      </w:hyperlink>
    </w:p>
    <w:bookmarkEnd w:id="57"/>
    <w:bookmarkStart w:id="59"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8">
        <w:r>
          <w:rPr>
            <w:rStyle w:val="Hyperlink"/>
          </w:rPr>
          <w:t xml:space="preserve">https://www.nyulawreview.org/issues/volume-94-number-4/data-standardization/</w:t>
        </w:r>
      </w:hyperlink>
    </w:p>
    <w:bookmarkEnd w:id="59"/>
    <w:bookmarkStart w:id="60"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60"/>
    <w:bookmarkStart w:id="62"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61">
        <w:r>
          <w:rPr>
            <w:rStyle w:val="Hyperlink"/>
          </w:rPr>
          <w:t xml:space="preserve">https://academic.oup.com/jpart/advance-article-abstract/doi/10.1093/jopart/muaf019/8162522</w:t>
        </w:r>
      </w:hyperlink>
    </w:p>
    <w:bookmarkEnd w:id="62"/>
    <w:bookmarkStart w:id="64"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63">
        <w:r>
          <w:rPr>
            <w:rStyle w:val="Hyperlink"/>
          </w:rPr>
          <w:t xml:space="preserve">https://api.wittkieffer.com/wp-content/uploads/2012/10/cio-insights-the-state-of-healthcare-it-leadership-wittkieffer-october-2024.pdf</w:t>
        </w:r>
      </w:hyperlink>
    </w:p>
    <w:bookmarkEnd w:id="64"/>
    <w:bookmarkStart w:id="66"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65">
        <w:r>
          <w:rPr>
            <w:rStyle w:val="Hyperlink"/>
          </w:rPr>
          <w:t xml:space="preserve">https://www.himss.org/resources/the-future-of-workforce/</w:t>
        </w:r>
      </w:hyperlink>
    </w:p>
    <w:bookmarkEnd w:id="66"/>
    <w:bookmarkStart w:id="68"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67">
        <w:r>
          <w:rPr>
            <w:rStyle w:val="Hyperlink"/>
          </w:rPr>
          <w:t xml:space="preserve">https://academic.oup.com/jpubhealth</w:t>
        </w:r>
      </w:hyperlink>
    </w:p>
    <w:bookmarkEnd w:id="68"/>
    <w:bookmarkStart w:id="70"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69">
        <w:r>
          <w:rPr>
            <w:rStyle w:val="Hyperlink"/>
          </w:rPr>
          <w:t xml:space="preserve">https://www.ahima.org/news-publications/press-room-press-releases/2023-press-releases/health-information-workforce-shortages-persist-as-ai-shows-promise-ahima-survey-reveals/</w:t>
        </w:r>
      </w:hyperlink>
    </w:p>
    <w:bookmarkEnd w:id="70"/>
    <w:bookmarkStart w:id="72"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71">
        <w:r>
          <w:rPr>
            <w:rStyle w:val="Hyperlink"/>
          </w:rPr>
          <w:t xml:space="preserve">https://www.sciencedirect.com/science/article/abs/pii/S0040162516000500</w:t>
        </w:r>
      </w:hyperlink>
    </w:p>
    <w:bookmarkEnd w:id="72"/>
    <w:bookmarkStart w:id="74"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73">
        <w:r>
          <w:rPr>
            <w:rStyle w:val="Hyperlink"/>
          </w:rPr>
          <w:t xml:space="preserve">https://arxiv.org/abs/1908.01839</w:t>
        </w:r>
      </w:hyperlink>
    </w:p>
    <w:bookmarkEnd w:id="74"/>
    <w:bookmarkStart w:id="76"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75">
        <w:r>
          <w:rPr>
            <w:rStyle w:val="Hyperlink"/>
          </w:rPr>
          <w:t xml:space="preserve">https://onlinelibrary.wiley.com/doi/abs/10.1057/palgrave.emr.1500057</w:t>
        </w:r>
      </w:hyperlink>
    </w:p>
    <w:bookmarkEnd w:id="76"/>
    <w:bookmarkStart w:id="78"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77">
        <w:r>
          <w:rPr>
            <w:rStyle w:val="Hyperlink"/>
          </w:rPr>
          <w:t xml:space="preserve">https://www.redjournal.org/article/S0360-3016(16)00260-1/fulltext</w:t>
        </w:r>
      </w:hyperlink>
    </w:p>
    <w:bookmarkEnd w:id="78"/>
    <w:bookmarkStart w:id="80"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79">
        <w:r>
          <w:rPr>
            <w:rStyle w:val="Hyperlink"/>
          </w:rPr>
          <w:t xml:space="preserve">https://dl.acm.org/doi/10.1145/1017114.1017118</w:t>
        </w:r>
      </w:hyperlink>
    </w:p>
    <w:bookmarkEnd w:id="80"/>
    <w:bookmarkStart w:id="82" w:name="ref-ledikwe2013"/>
    <w:p>
      <w:pPr>
        <w:pStyle w:val="Bibliography"/>
      </w:pPr>
      <w:r>
        <w:t xml:space="preserve">14.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81">
        <w:r>
          <w:rPr>
            <w:rStyle w:val="Hyperlink"/>
          </w:rPr>
          <w:t xml:space="preserve">https://human-resources-health.biomedcentral.com/articles/10.1186/1478-4491-11-35</w:t>
        </w:r>
      </w:hyperlink>
    </w:p>
    <w:bookmarkEnd w:id="82"/>
    <w:bookmarkStart w:id="84" w:name="ref-mantas2010"/>
    <w:p>
      <w:pPr>
        <w:pStyle w:val="Bibliography"/>
      </w:pPr>
      <w:r>
        <w:t xml:space="preserve">15.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83">
        <w:r>
          <w:rPr>
            <w:rStyle w:val="Hyperlink"/>
          </w:rPr>
          <w:t xml:space="preserve">https://pubmed.ncbi.nlm.nih.gov/20054502/</w:t>
        </w:r>
      </w:hyperlink>
    </w:p>
    <w:bookmarkEnd w:id="84"/>
    <w:bookmarkStart w:id="86" w:name="ref-tyndall2010"/>
    <w:p>
      <w:pPr>
        <w:pStyle w:val="Bibliography"/>
      </w:pPr>
      <w:r>
        <w:t xml:space="preserve">16.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5">
        <w:r>
          <w:rPr>
            <w:rStyle w:val="Hyperlink"/>
          </w:rPr>
          <w:t xml:space="preserve">https://dspace.flinders.edu.au/jspui/bitstream/2328/3326/4/AACODS_Checklist.pdf</w:t>
        </w:r>
      </w:hyperlink>
    </w:p>
    <w:bookmarkEnd w:id="86"/>
    <w:bookmarkStart w:id="88" w:name="ref-farnese2019"/>
    <w:p>
      <w:pPr>
        <w:pStyle w:val="Bibliography"/>
      </w:pPr>
      <w:r>
        <w:t xml:space="preserve">17.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87">
        <w:r>
          <w:rPr>
            <w:rStyle w:val="Hyperlink"/>
          </w:rPr>
          <w:t xml:space="preserve">https://www.frontiersin.org/articles/10.3389/fpsyg.2019.02730</w:t>
        </w:r>
      </w:hyperlink>
    </w:p>
    <w:bookmarkEnd w:id="88"/>
    <w:bookmarkStart w:id="90"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89">
        <w:r>
          <w:rPr>
            <w:rStyle w:val="Hyperlink"/>
          </w:rPr>
          <w:t xml:space="preserve">https://www.tdx.cat/bitstream/handle/10803/695722/TGJBR1de1.pdf?sequence=1</w:t>
        </w:r>
      </w:hyperlink>
    </w:p>
    <w:bookmarkEnd w:id="90"/>
    <w:bookmarkStart w:id="92" w:name="ref-wu2024"/>
    <w:p>
      <w:pPr>
        <w:pStyle w:val="Bibliography"/>
      </w:pPr>
      <w:r>
        <w:t xml:space="preserve">19.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91">
        <w:r>
          <w:rPr>
            <w:rStyle w:val="Hyperlink"/>
          </w:rPr>
          <w:t xml:space="preserve">https://pmc.ncbi.nlm.nih.gov/articles/PMC10802134/</w:t>
        </w:r>
      </w:hyperlink>
    </w:p>
    <w:bookmarkEnd w:id="92"/>
    <w:bookmarkStart w:id="94" w:name="ref-ren2024"/>
    <w:p>
      <w:pPr>
        <w:pStyle w:val="Bibliography"/>
      </w:pPr>
      <w:r>
        <w:t xml:space="preserve">20.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93">
        <w:r>
          <w:rPr>
            <w:rStyle w:val="Hyperlink"/>
          </w:rPr>
          <w:t xml:space="preserve">https://pmc.ncbi.nlm.nih.gov/articles/PMC11919231/</w:t>
        </w:r>
      </w:hyperlink>
    </w:p>
    <w:bookmarkEnd w:id="94"/>
    <w:bookmarkStart w:id="96" w:name="ref-massingham2018"/>
    <w:p>
      <w:pPr>
        <w:pStyle w:val="Bibliography"/>
      </w:pPr>
      <w:r>
        <w:t xml:space="preserve">21.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95">
        <w:r>
          <w:rPr>
            <w:rStyle w:val="Hyperlink"/>
          </w:rPr>
          <w:t xml:space="preserve">https://doi.org/10.1108/JKM-08-2016-0338</w:t>
        </w:r>
      </w:hyperlink>
    </w:p>
    <w:bookmarkEnd w:id="96"/>
    <w:bookmarkStart w:id="98" w:name="ref-zhang2025"/>
    <w:p>
      <w:pPr>
        <w:pStyle w:val="Bibliography"/>
      </w:pPr>
      <w:r>
        <w:t xml:space="preserve">22.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97">
        <w:r>
          <w:rPr>
            <w:rStyle w:val="Hyperlink"/>
          </w:rPr>
          <w:t xml:space="preserve">https://www.emerald.com/insight/content/doi/10.1108/JKM-03-2024-0262/full/html</w:t>
        </w:r>
      </w:hyperlink>
    </w:p>
    <w:bookmarkEnd w:id="98"/>
    <w:bookmarkStart w:id="100" w:name="ref-goffin2011"/>
    <w:p>
      <w:pPr>
        <w:pStyle w:val="Bibliography"/>
      </w:pPr>
      <w:r>
        <w:t xml:space="preserve">23.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99">
        <w:r>
          <w:rPr>
            <w:rStyle w:val="Hyperlink"/>
          </w:rPr>
          <w:t xml:space="preserve">https://onlinelibrary.wiley.com/doi/abs/10.1111/j.1540-5885.2010.00798.x</w:t>
        </w:r>
      </w:hyperlink>
    </w:p>
    <w:bookmarkEnd w:id="100"/>
    <w:bookmarkStart w:id="102" w:name="ref-foos2006"/>
    <w:p>
      <w:pPr>
        <w:pStyle w:val="Bibliography"/>
      </w:pPr>
      <w:r>
        <w:t xml:space="preserve">24.</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01">
        <w:r>
          <w:rPr>
            <w:rStyle w:val="Hyperlink"/>
          </w:rPr>
          <w:t xml:space="preserve">https://www.emerald.com/insight/content/doi/10.1108/13673270610650067/full/html</w:t>
        </w:r>
      </w:hyperlink>
    </w:p>
    <w:bookmarkEnd w:id="102"/>
    <w:bookmarkStart w:id="104" w:name="ref-moore2018"/>
    <w:p>
      <w:pPr>
        <w:pStyle w:val="Bibliography"/>
      </w:pPr>
      <w:r>
        <w:t xml:space="preserve">25.</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103">
        <w:r>
          <w:rPr>
            <w:rStyle w:val="Hyperlink"/>
          </w:rPr>
          <w:t xml:space="preserve">https://wendyju.com/publications/18_ijee3593.pdf</w:t>
        </w:r>
      </w:hyperlink>
    </w:p>
    <w:bookmarkEnd w:id="104"/>
    <w:bookmarkStart w:id="106" w:name="ref-lee2023"/>
    <w:p>
      <w:pPr>
        <w:pStyle w:val="Bibliography"/>
      </w:pPr>
      <w:r>
        <w:t xml:space="preserve">26.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05">
        <w:r>
          <w:rPr>
            <w:rStyle w:val="Hyperlink"/>
          </w:rPr>
          <w:t xml:space="preserve">https://arxiv.org/abs/2301.07695</w:t>
        </w:r>
      </w:hyperlink>
    </w:p>
    <w:bookmarkEnd w:id="106"/>
    <w:bookmarkStart w:id="108" w:name="ref-ziletti2024"/>
    <w:p>
      <w:pPr>
        <w:pStyle w:val="Bibliography"/>
      </w:pPr>
      <w:r>
        <w:t xml:space="preserve">27.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07">
        <w:r>
          <w:rPr>
            <w:rStyle w:val="Hyperlink"/>
          </w:rPr>
          <w:t xml:space="preserve">https://arxiv.org/abs/2403.09226</w:t>
        </w:r>
      </w:hyperlink>
    </w:p>
    <w:bookmarkEnd w:id="108"/>
    <w:bookmarkStart w:id="110" w:name="ref-mosqueirarey2023"/>
    <w:p>
      <w:pPr>
        <w:pStyle w:val="Bibliography"/>
      </w:pPr>
      <w:r>
        <w:t xml:space="preserve">28.</w:t>
      </w:r>
      <w:r>
        <w:t xml:space="preserve"> </w:t>
      </w:r>
      <w:r>
        <w:t xml:space="preserve">	</w:t>
      </w:r>
      <w:r>
        <w:t xml:space="preserve">Mosqueira-Rey E et al. Human-in-the-loop machine learning: A state of the art. Artificial Intelligence Review [Internet]. 2023;56:3005–54. Available from:</w:t>
      </w:r>
      <w:r>
        <w:t xml:space="preserve"> </w:t>
      </w:r>
      <w:hyperlink r:id="rId109">
        <w:r>
          <w:rPr>
            <w:rStyle w:val="Hyperlink"/>
          </w:rPr>
          <w:t xml:space="preserve">https://link.springer.com/content/pdf/10.1007/s10462-022-10246-w.pdf</w:t>
        </w:r>
      </w:hyperlink>
    </w:p>
    <w:bookmarkEnd w:id="110"/>
    <w:bookmarkStart w:id="112" w:name="ref-benbya2004"/>
    <w:p>
      <w:pPr>
        <w:pStyle w:val="Bibliography"/>
      </w:pPr>
      <w:r>
        <w:t xml:space="preserve">29.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11">
        <w:r>
          <w:rPr>
            <w:rStyle w:val="Hyperlink"/>
          </w:rPr>
          <w:t xml:space="preserve">https://doi.org/10.1016/j.ijinfomgt.2003.12.012</w:t>
        </w:r>
      </w:hyperlink>
    </w:p>
    <w:bookmarkEnd w:id="112"/>
    <w:bookmarkStart w:id="114" w:name="ref-whittaker2008"/>
    <w:p>
      <w:pPr>
        <w:pStyle w:val="Bibliography"/>
      </w:pPr>
      <w:r>
        <w:t xml:space="preserve">30.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13">
        <w:r>
          <w:rPr>
            <w:rStyle w:val="Hyperlink"/>
          </w:rPr>
          <w:t xml:space="preserve">https://www.academia.edu/download/41283190/Design_and_evaluation_of_systems_to_supp20160117-25708-98zc50.pdf</w:t>
        </w:r>
      </w:hyperlink>
    </w:p>
    <w:bookmarkEnd w:id="114"/>
    <w:bookmarkStart w:id="116" w:name="ref-himss2024news"/>
    <w:p>
      <w:pPr>
        <w:pStyle w:val="Bibliography"/>
      </w:pPr>
      <w:r>
        <w:t xml:space="preserve">31.</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health2020"/>
    <w:p>
      <w:pPr>
        <w:pStyle w:val="Bibliography"/>
      </w:pPr>
      <w:r>
        <w:t xml:space="preserve">32.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7">
        <w:r>
          <w:rPr>
            <w:rStyle w:val="Hyperlink"/>
          </w:rPr>
          <w:t xml:space="preserve">https://www.healthcatalyst.com/learn/insights/healthcare-analytics-adoption-model-roadmap-analytic-maturity</w:t>
        </w:r>
      </w:hyperlink>
    </w:p>
    <w:bookmarkEnd w:id="118"/>
    <w:bookmarkStart w:id="120" w:name="ref-snowdon2024"/>
    <w:p>
      <w:pPr>
        <w:pStyle w:val="Bibliography"/>
      </w:pPr>
      <w:r>
        <w:t xml:space="preserve">33.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9">
        <w:r>
          <w:rPr>
            <w:rStyle w:val="Hyperlink"/>
          </w:rPr>
          <w:t xml:space="preserve">https://www.jmir.org/2024/1/e56316</w:t>
        </w:r>
      </w:hyperlink>
    </w:p>
    <w:bookmarkEnd w:id="120"/>
    <w:bookmarkStart w:id="122" w:name="ref-yang2021"/>
    <w:p>
      <w:pPr>
        <w:pStyle w:val="Bibliography"/>
      </w:pPr>
      <w:r>
        <w:t xml:space="preserve">34.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1">
        <w:r>
          <w:rPr>
            <w:rStyle w:val="Hyperlink"/>
          </w:rPr>
          <w:t xml:space="preserve">https://jamanetwork.com/journals/jamanetworkopen/fullarticle/2777777</w:t>
        </w:r>
      </w:hyperlink>
    </w:p>
    <w:bookmarkEnd w:id="122"/>
    <w:bookmarkStart w:id="124" w:name="ref-oracle2024"/>
    <w:p>
      <w:pPr>
        <w:pStyle w:val="Bibliography"/>
      </w:pPr>
      <w:r>
        <w:t xml:space="preserve">35.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23">
        <w:r>
          <w:rPr>
            <w:rStyle w:val="Hyperlink"/>
          </w:rPr>
          <w:t xml:space="preserve">https://www.oracle.com/human-capital-management/cost-employee-turnover-healthcare/</w:t>
        </w:r>
      </w:hyperlink>
    </w:p>
    <w:bookmarkEnd w:id="124"/>
    <w:bookmarkStart w:id="126" w:name="ref-nsi2025"/>
    <w:p>
      <w:pPr>
        <w:pStyle w:val="Bibliography"/>
      </w:pPr>
      <w:r>
        <w:t xml:space="preserve">36.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konrad2022"/>
    <w:p>
      <w:pPr>
        <w:pStyle w:val="Bibliography"/>
      </w:pPr>
      <w:r>
        <w:t xml:space="preserve">37.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27">
        <w:r>
          <w:rPr>
            <w:rStyle w:val="Hyperlink"/>
          </w:rPr>
          <w:t xml:space="preserve">https://www.diva-portal.org/smash/record.jsf?pid=diva2:1684142</w:t>
        </w:r>
      </w:hyperlink>
    </w:p>
    <w:bookmarkEnd w:id="128"/>
    <w:bookmarkStart w:id="130" w:name="ref-dadi2025"/>
    <w:p>
      <w:pPr>
        <w:pStyle w:val="Bibliography"/>
      </w:pPr>
      <w:r>
        <w:t xml:space="preserve">38.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29">
        <w:r>
          <w:rPr>
            <w:rStyle w:val="Hyperlink"/>
          </w:rPr>
          <w:t xml:space="preserve">https://al-kindipublisher.com/index.php/jcsts/article/view/9694</w:t>
        </w:r>
      </w:hyperlink>
    </w:p>
    <w:bookmarkEnd w:id="130"/>
    <w:bookmarkStart w:id="132" w:name="ref-yang2025"/>
    <w:p>
      <w:pPr>
        <w:pStyle w:val="Bibliography"/>
      </w:pPr>
      <w:r>
        <w:t xml:space="preserve">39.</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31">
        <w:r>
          <w:rPr>
            <w:rStyle w:val="Hyperlink"/>
          </w:rPr>
          <w:t xml:space="preserve">https://bioinform.jmir.org/2025/1/e63139</w:t>
        </w:r>
      </w:hyperlink>
    </w:p>
    <w:bookmarkEnd w:id="132"/>
    <w:bookmarkStart w:id="134" w:name="ref-marshan2024"/>
    <w:p>
      <w:pPr>
        <w:pStyle w:val="Bibliography"/>
      </w:pPr>
      <w:r>
        <w:t xml:space="preserve">40.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3">
        <w:r>
          <w:rPr>
            <w:rStyle w:val="Hyperlink"/>
          </w:rPr>
          <w:t xml:space="preserve">https://www.frontiersin.org/articles/10.3389/fdata.2024.1371680</w:t>
        </w:r>
      </w:hyperlink>
    </w:p>
    <w:bookmarkEnd w:id="134"/>
    <w:bookmarkStart w:id="136" w:name="ref-mannapur2025"/>
    <w:p>
      <w:pPr>
        <w:pStyle w:val="Bibliography"/>
      </w:pPr>
      <w:r>
        <w:t xml:space="preserve">41.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35">
        <w:r>
          <w:rPr>
            <w:rStyle w:val="Hyperlink"/>
          </w:rPr>
          <w:t xml:space="preserve">https://www.quantbeckman.com/api/v1/file/5b240742-bf0d-4f8c-a0f9-cb29fab42611.pdf</w:t>
        </w:r>
      </w:hyperlink>
    </w:p>
    <w:bookmarkEnd w:id="136"/>
    <w:bookmarkStart w:id="138" w:name="ref-battula2025"/>
    <w:p>
      <w:pPr>
        <w:pStyle w:val="Bibliography"/>
      </w:pPr>
      <w:r>
        <w:t xml:space="preserve">42.</w:t>
      </w:r>
      <w:r>
        <w:t xml:space="preserve"> </w:t>
      </w:r>
      <w:r>
        <w:t xml:space="preserve">	</w:t>
      </w:r>
      <w:r>
        <w:t xml:space="preserve">Battula SKY.</w:t>
      </w:r>
      <w:r>
        <w:t xml:space="preserve"> </w:t>
      </w:r>
      <w:hyperlink r:id="rId13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38"/>
    <w:bookmarkStart w:id="140" w:name="ref-alukal2006"/>
    <w:p>
      <w:pPr>
        <w:pStyle w:val="Bibliography"/>
      </w:pPr>
      <w:r>
        <w:t xml:space="preserve">43.</w:t>
      </w:r>
      <w:r>
        <w:t xml:space="preserve"> </w:t>
      </w:r>
      <w:r>
        <w:t xml:space="preserve">	</w:t>
      </w:r>
      <w:r>
        <w:t xml:space="preserve">Alukal VG, Manos A. Lean kaizen: A simplified approach to process improvement [Internet]. Milwaukee, WI: ASQ Quality Press; 2006. Available from:</w:t>
      </w:r>
      <w:r>
        <w:t xml:space="preserve"> </w:t>
      </w:r>
      <w:hyperlink r:id="rId139">
        <w:r>
          <w:rPr>
            <w:rStyle w:val="Hyperlink"/>
          </w:rPr>
          <w:t xml:space="preserve">https://books.google.com/books?id=9uqiEAAAQBAJ</w:t>
        </w:r>
      </w:hyperlink>
    </w:p>
    <w:bookmarkEnd w:id="140"/>
    <w:bookmarkStart w:id="142" w:name="ref-himss2025ucdavis"/>
    <w:p>
      <w:pPr>
        <w:pStyle w:val="Bibliography"/>
      </w:pPr>
      <w:r>
        <w:t xml:space="preserve">44.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41">
        <w:r>
          <w:rPr>
            <w:rStyle w:val="Hyperlink"/>
          </w:rPr>
          <w:t xml:space="preserve">https://pages.himss.org/LP-HA-Case-Study-UC-Davis.html</w:t>
        </w:r>
      </w:hyperlink>
    </w:p>
    <w:bookmarkEnd w:id="142"/>
    <w:bookmarkStart w:id="144" w:name="ref-ipeirotis2025"/>
    <w:p>
      <w:pPr>
        <w:pStyle w:val="Bibliography"/>
      </w:pPr>
      <w:r>
        <w:t xml:space="preserve">45.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43">
        <w:r>
          <w:rPr>
            <w:rStyle w:val="Hyperlink"/>
          </w:rPr>
          <w:t xml:space="preserve">https://arxiv.org/abs/2511.14718</w:t>
        </w:r>
      </w:hyperlink>
    </w:p>
    <w:bookmarkEnd w:id="144"/>
    <w:bookmarkStart w:id="146" w:name="ref-ibm2022"/>
    <w:p>
      <w:pPr>
        <w:pStyle w:val="Bibliography"/>
      </w:pPr>
      <w:r>
        <w:t xml:space="preserve">46.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45">
        <w:r>
          <w:rPr>
            <w:rStyle w:val="Hyperlink"/>
          </w:rPr>
          <w:t xml:space="preserve">https://newsroom.ibm.com/2022-01-21-Francisco-Partners-to-Acquire-IBMs-Healthcare-Data-and-Analytics-Assets</w:t>
        </w:r>
      </w:hyperlink>
    </w:p>
    <w:bookmarkEnd w:id="146"/>
    <w:bookmarkStart w:id="148" w:name="ref-strickland2019"/>
    <w:p>
      <w:pPr>
        <w:pStyle w:val="Bibliography"/>
      </w:pPr>
      <w:r>
        <w:t xml:space="preserve">47.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47">
        <w:r>
          <w:rPr>
            <w:rStyle w:val="Hyperlink"/>
          </w:rPr>
          <w:t xml:space="preserve">https://ieeexplore.ieee.org/abstract/document/8678513/</w:t>
        </w:r>
      </w:hyperlink>
    </w:p>
    <w:bookmarkEnd w:id="148"/>
    <w:bookmarkStart w:id="150" w:name="ref-lavito2021"/>
    <w:p>
      <w:pPr>
        <w:pStyle w:val="Bibliography"/>
      </w:pPr>
      <w:r>
        <w:t xml:space="preserve">48.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49">
        <w:r>
          <w:rPr>
            <w:rStyle w:val="Hyperlink"/>
          </w:rPr>
          <w:t xml:space="preserve">https://www.cnbc.com/2021/01/04/haven-the-amazon-berkshire-jpmorgan-venture-to-disrupt-healthcare-is-disbanding-after-3-years.html</w:t>
        </w:r>
      </w:hyperlink>
    </w:p>
    <w:bookmarkEnd w:id="150"/>
    <w:bookmarkStart w:id="152" w:name="ref-acchiardo2021"/>
    <w:p>
      <w:pPr>
        <w:pStyle w:val="Bibliography"/>
      </w:pPr>
      <w:r>
        <w:t xml:space="preserve">49.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51">
        <w:r>
          <w:rPr>
            <w:rStyle w:val="Hyperlink"/>
          </w:rPr>
          <w:t xml:space="preserve">https://www.academicradiology.org/article/S1076-6332(21)00140-9/abstract</w:t>
        </w:r>
      </w:hyperlink>
    </w:p>
    <w:bookmarkEnd w:id="152"/>
    <w:bookmarkStart w:id="154" w:name="ref-yang2020"/>
    <w:p>
      <w:pPr>
        <w:pStyle w:val="Bibliography"/>
      </w:pPr>
      <w:r>
        <w:t xml:space="preserve">50.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53">
        <w:r>
          <w:rPr>
            <w:rStyle w:val="Hyperlink"/>
          </w:rPr>
          <w:t xml:space="preserve">https://oulurepo.oulu.fi/bitstream/handle/10024/27921/nbnfi-fe2020050424858.pdf</w:t>
        </w:r>
      </w:hyperlink>
    </w:p>
    <w:bookmarkEnd w:id="154"/>
    <w:bookmarkEnd w:id="155"/>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61" Target="https://academic.oup.com/jpart/advance-article-abstract/doi/10.1093/jopart/muaf019/8162522" TargetMode="External" /><Relationship Type="http://schemas.openxmlformats.org/officeDocument/2006/relationships/hyperlink" Id="rId67" Target="https://academic.oup.com/jpubhealth" TargetMode="External" /><Relationship Type="http://schemas.openxmlformats.org/officeDocument/2006/relationships/hyperlink" Id="rId129" Target="https://al-kindipublisher.com/index.php/jcsts/article/view/9694" TargetMode="External" /><Relationship Type="http://schemas.openxmlformats.org/officeDocument/2006/relationships/hyperlink" Id="rId63" Target="https://api.wittkieffer.com/wp-content/uploads/2012/10/cio-insights-the-state-of-healthcare-it-leadership-wittkieffer-october-2024.pdf" TargetMode="External" /><Relationship Type="http://schemas.openxmlformats.org/officeDocument/2006/relationships/hyperlink" Id="rId73" Target="https://arxiv.org/abs/1908.01839"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31"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79" Target="https://dl.acm.org/doi/10.1145/1017114.1017118" TargetMode="External" /><Relationship Type="http://schemas.openxmlformats.org/officeDocument/2006/relationships/hyperlink" Id="rId111" Target="https://doi.org/10.1016/j.ijinfomgt.2003.12.012" TargetMode="External" /><Relationship Type="http://schemas.openxmlformats.org/officeDocument/2006/relationships/hyperlink" Id="rId95" Target="https://doi.org/10.1108/JKM-08-2016-0338" TargetMode="External" /><Relationship Type="http://schemas.openxmlformats.org/officeDocument/2006/relationships/hyperlink" Id="rId137" Target="https://doi.org/10.63282/3050-9262.IJAIDSML-V6I4P130" TargetMode="External" /><Relationship Type="http://schemas.openxmlformats.org/officeDocument/2006/relationships/hyperlink" Id="rId85" Target="https://dspace.flinders.edu.au/jspui/bitstream/2328/3326/4/AACODS_Checklist.pdf" TargetMode="External" /><Relationship Type="http://schemas.openxmlformats.org/officeDocument/2006/relationships/hyperlink" Id="rId81"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21" Target="https://jamanetwork.com/journals/jamanetworkopen/fullarticle/2777777" TargetMode="External" /><Relationship Type="http://schemas.openxmlformats.org/officeDocument/2006/relationships/hyperlink" Id="rId109"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75" Target="https://onlinelibrary.wiley.com/doi/abs/10.1057/palgrave.emr.1500057" TargetMode="External" /><Relationship Type="http://schemas.openxmlformats.org/officeDocument/2006/relationships/hyperlink" Id="rId9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91" Target="https://pmc.ncbi.nlm.nih.gov/articles/PMC10802134/" TargetMode="External" /><Relationship Type="http://schemas.openxmlformats.org/officeDocument/2006/relationships/hyperlink" Id="rId93" Target="https://pmc.ncbi.nlm.nih.gov/articles/PMC11919231/" TargetMode="External" /><Relationship Type="http://schemas.openxmlformats.org/officeDocument/2006/relationships/hyperlink" Id="rId83" Target="https://pubmed.ncbi.nlm.nih.gov/20054502/" TargetMode="External" /><Relationship Type="http://schemas.openxmlformats.org/officeDocument/2006/relationships/hyperlink" Id="rId103" Target="https://wendyju.com/publications/18_ijee3593.pdf" TargetMode="External" /><Relationship Type="http://schemas.openxmlformats.org/officeDocument/2006/relationships/hyperlink" Id="rId113"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69" Target="https://www.ahima.org/news-publications/press-room-press-releases/2023-press-releases/health-information-workforce-shortages-persist-as-ai-shows-promise-ahima-survey-reveals/"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127" Target="https://www.diva-portal.org/smash/record.jsf?pid=diva2:1684142" TargetMode="External" /><Relationship Type="http://schemas.openxmlformats.org/officeDocument/2006/relationships/hyperlink" Id="rId101" Target="https://www.emerald.com/insight/content/doi/10.1108/13673270610650067/full/html" TargetMode="External" /><Relationship Type="http://schemas.openxmlformats.org/officeDocument/2006/relationships/hyperlink" Id="rId97" Target="https://www.emerald.com/insight/content/doi/10.1108/JKM-03-2024-0262/full/html" TargetMode="External" /><Relationship Type="http://schemas.openxmlformats.org/officeDocument/2006/relationships/hyperlink" Id="rId133" Target="https://www.frontiersin.org/articles/10.3389/fdata.2024.1371680" TargetMode="External" /><Relationship Type="http://schemas.openxmlformats.org/officeDocument/2006/relationships/hyperlink" Id="rId87" Target="https://www.frontiersin.org/articles/10.3389/fpsyg.2019.02730"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17" Target="https://www.healthcatalyst.com/learn/insights/healthcare-analytics-adoption-model-roadmap-analytic-maturity" TargetMode="External" /><Relationship Type="http://schemas.openxmlformats.org/officeDocument/2006/relationships/hyperlink" Id="rId56" Target="https://www.himss.org/maturity-models/amam/" TargetMode="External" /><Relationship Type="http://schemas.openxmlformats.org/officeDocument/2006/relationships/hyperlink" Id="rId65" Target="https://www.himss.org/resources/the-future-of-workforce/" TargetMode="External" /><Relationship Type="http://schemas.openxmlformats.org/officeDocument/2006/relationships/hyperlink" Id="rId119" Target="https://www.jmir.org/2024/1/e56316"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58" Target="https://www.nyulawreview.org/issues/volume-94-number-4/data-standardization/" TargetMode="External" /><Relationship Type="http://schemas.openxmlformats.org/officeDocument/2006/relationships/hyperlink" Id="rId123"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77" Target="https://www.redjournal.org/article/S0360-3016(16)00260-1/fulltext" TargetMode="External" /><Relationship Type="http://schemas.openxmlformats.org/officeDocument/2006/relationships/hyperlink" Id="rId71" Target="https://www.sciencedirect.com/science/article/abs/pii/S0040162516000500" TargetMode="External" /><Relationship Type="http://schemas.openxmlformats.org/officeDocument/2006/relationships/hyperlink" Id="rId8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1" Target="https://academic.oup.com/jpart/advance-article-abstract/doi/10.1093/jopart/muaf019/8162522" TargetMode="External" /><Relationship Type="http://schemas.openxmlformats.org/officeDocument/2006/relationships/hyperlink" Id="rId67" Target="https://academic.oup.com/jpubhealth" TargetMode="External" /><Relationship Type="http://schemas.openxmlformats.org/officeDocument/2006/relationships/hyperlink" Id="rId129" Target="https://al-kindipublisher.com/index.php/jcsts/article/view/9694" TargetMode="External" /><Relationship Type="http://schemas.openxmlformats.org/officeDocument/2006/relationships/hyperlink" Id="rId63" Target="https://api.wittkieffer.com/wp-content/uploads/2012/10/cio-insights-the-state-of-healthcare-it-leadership-wittkieffer-october-2024.pdf" TargetMode="External" /><Relationship Type="http://schemas.openxmlformats.org/officeDocument/2006/relationships/hyperlink" Id="rId73" Target="https://arxiv.org/abs/1908.01839"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31"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79" Target="https://dl.acm.org/doi/10.1145/1017114.1017118" TargetMode="External" /><Relationship Type="http://schemas.openxmlformats.org/officeDocument/2006/relationships/hyperlink" Id="rId111" Target="https://doi.org/10.1016/j.ijinfomgt.2003.12.012" TargetMode="External" /><Relationship Type="http://schemas.openxmlformats.org/officeDocument/2006/relationships/hyperlink" Id="rId95" Target="https://doi.org/10.1108/JKM-08-2016-0338" TargetMode="External" /><Relationship Type="http://schemas.openxmlformats.org/officeDocument/2006/relationships/hyperlink" Id="rId137" Target="https://doi.org/10.63282/3050-9262.IJAIDSML-V6I4P130" TargetMode="External" /><Relationship Type="http://schemas.openxmlformats.org/officeDocument/2006/relationships/hyperlink" Id="rId85" Target="https://dspace.flinders.edu.au/jspui/bitstream/2328/3326/4/AACODS_Checklist.pdf" TargetMode="External" /><Relationship Type="http://schemas.openxmlformats.org/officeDocument/2006/relationships/hyperlink" Id="rId81"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21" Target="https://jamanetwork.com/journals/jamanetworkopen/fullarticle/2777777" TargetMode="External" /><Relationship Type="http://schemas.openxmlformats.org/officeDocument/2006/relationships/hyperlink" Id="rId109"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75" Target="https://onlinelibrary.wiley.com/doi/abs/10.1057/palgrave.emr.1500057" TargetMode="External" /><Relationship Type="http://schemas.openxmlformats.org/officeDocument/2006/relationships/hyperlink" Id="rId9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91" Target="https://pmc.ncbi.nlm.nih.gov/articles/PMC10802134/" TargetMode="External" /><Relationship Type="http://schemas.openxmlformats.org/officeDocument/2006/relationships/hyperlink" Id="rId93" Target="https://pmc.ncbi.nlm.nih.gov/articles/PMC11919231/" TargetMode="External" /><Relationship Type="http://schemas.openxmlformats.org/officeDocument/2006/relationships/hyperlink" Id="rId83" Target="https://pubmed.ncbi.nlm.nih.gov/20054502/" TargetMode="External" /><Relationship Type="http://schemas.openxmlformats.org/officeDocument/2006/relationships/hyperlink" Id="rId103" Target="https://wendyju.com/publications/18_ijee3593.pdf" TargetMode="External" /><Relationship Type="http://schemas.openxmlformats.org/officeDocument/2006/relationships/hyperlink" Id="rId113"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69" Target="https://www.ahima.org/news-publications/press-room-press-releases/2023-press-releases/health-information-workforce-shortages-persist-as-ai-shows-promise-ahima-survey-reveals/"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127" Target="https://www.diva-portal.org/smash/record.jsf?pid=diva2:1684142" TargetMode="External" /><Relationship Type="http://schemas.openxmlformats.org/officeDocument/2006/relationships/hyperlink" Id="rId101" Target="https://www.emerald.com/insight/content/doi/10.1108/13673270610650067/full/html" TargetMode="External" /><Relationship Type="http://schemas.openxmlformats.org/officeDocument/2006/relationships/hyperlink" Id="rId97" Target="https://www.emerald.com/insight/content/doi/10.1108/JKM-03-2024-0262/full/html" TargetMode="External" /><Relationship Type="http://schemas.openxmlformats.org/officeDocument/2006/relationships/hyperlink" Id="rId133" Target="https://www.frontiersin.org/articles/10.3389/fdata.2024.1371680" TargetMode="External" /><Relationship Type="http://schemas.openxmlformats.org/officeDocument/2006/relationships/hyperlink" Id="rId87" Target="https://www.frontiersin.org/articles/10.3389/fpsyg.2019.02730"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17" Target="https://www.healthcatalyst.com/learn/insights/healthcare-analytics-adoption-model-roadmap-analytic-maturity" TargetMode="External" /><Relationship Type="http://schemas.openxmlformats.org/officeDocument/2006/relationships/hyperlink" Id="rId56" Target="https://www.himss.org/maturity-models/amam/" TargetMode="External" /><Relationship Type="http://schemas.openxmlformats.org/officeDocument/2006/relationships/hyperlink" Id="rId65" Target="https://www.himss.org/resources/the-future-of-workforce/" TargetMode="External" /><Relationship Type="http://schemas.openxmlformats.org/officeDocument/2006/relationships/hyperlink" Id="rId119" Target="https://www.jmir.org/2024/1/e56316"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58" Target="https://www.nyulawreview.org/issues/volume-94-number-4/data-standardization/" TargetMode="External" /><Relationship Type="http://schemas.openxmlformats.org/officeDocument/2006/relationships/hyperlink" Id="rId123"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77" Target="https://www.redjournal.org/article/S0360-3016(16)00260-1/fulltext" TargetMode="External" /><Relationship Type="http://schemas.openxmlformats.org/officeDocument/2006/relationships/hyperlink" Id="rId71" Target="https://www.sciencedirect.com/science/article/abs/pii/S0040162516000500" TargetMode="External" /><Relationship Type="http://schemas.openxmlformats.org/officeDocument/2006/relationships/hyperlink" Id="rId8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2026-01-22T19:53:56Z</dcterms:created>
  <dcterms:modified xsi:type="dcterms:W3CDTF">2026-01-22T19:53:56Z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a “Triple Threat” of low analytics maturity, high workforce instability, and semantic technical barriers. Recent data reveals a crisis of “Institutional Amnesia,” where 53% of healthcare CIOs have less than three years’ tenure and 55% of informatics specialists intend to leave their roles. This churn erases the tacit knowledge required to navigate complex clinical data schemas, trapping organizations in a cycle of low maturity.Objective: This article proposes a socio-technical framework to mitigate institutional amnesia by decoupling organizational analytical capability from individual staff tenure. We aim to answer the research question: How can health systems maintain analytics maturity when workforce turnover exceeds the speed of documentation?Methods: We employed a Design Science Research (DSR) approach, synthesizing evidence from healthcare informatics, knowledge management, and natural language processing. The framework is grounded in Nonaka’s SECI model of knowledge creation, reinterpreting “Socialization” vulnerabilities through the lens of workforce turnover data (2024-2025).Results: We present the “Human-in-the-Loop Semantic Governance” (HiL-SG) framework. This architecture functions as a socio-technical artifact that converts tacit domain expertise into explicit, executable “Validated Query Triples” (Natural Language + SQL + Rationale). By shifting the locus of knowledge from volatile human memory to durable semantic artifacts, the framework enables an “Analytics Resilience Index” (ARI) that measures an organization’s ability to sustain insights despite staff churn.Conclusions: The “Validator Paradox”—who validates the AI when experts leave?—is resolved by treating validation as “standard work” rather than eternal truth. By embedding knowledge capture into the daily workflow of query generation, healthcare systems can build a “knowledge ratchet” that prevents the regression of capabilities, ensuring that analytics maturity advances even as the workforce evolves.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2.1.0</vt:lpwstr>
  </property>
</Properties>
</file>